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3661C" w14:textId="55FCC270" w:rsidR="007C3624" w:rsidRDefault="00DB1672" w:rsidP="003618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b/>
          <w:color w:val="0E0E0E"/>
        </w:rPr>
      </w:pPr>
      <w:r>
        <w:rPr>
          <w:rFonts w:ascii="Calibri" w:eastAsia="Calibri" w:hAnsi="Calibri" w:cs="Calibri"/>
          <w:b/>
          <w:color w:val="0E0E0E"/>
        </w:rPr>
        <w:t xml:space="preserve">The Recent </w:t>
      </w:r>
      <w:r w:rsidR="009E69E0">
        <w:rPr>
          <w:rFonts w:ascii="Calibri" w:eastAsia="Calibri" w:hAnsi="Calibri" w:cs="Calibri"/>
          <w:b/>
          <w:color w:val="0E0E0E"/>
        </w:rPr>
        <w:t>Polio cVDPV2 Outbreak in Gaza</w:t>
      </w:r>
      <w:r w:rsidR="00350008">
        <w:rPr>
          <w:rFonts w:ascii="Calibri" w:eastAsia="Calibri" w:hAnsi="Calibri" w:cs="Calibri"/>
          <w:b/>
          <w:color w:val="0E0E0E"/>
        </w:rPr>
        <w:t xml:space="preserve"> – Challenges and </w:t>
      </w:r>
      <w:r w:rsidR="00F46384">
        <w:rPr>
          <w:rFonts w:ascii="Calibri" w:eastAsia="Calibri" w:hAnsi="Calibri" w:cs="Calibri"/>
          <w:b/>
          <w:color w:val="0E0E0E"/>
        </w:rPr>
        <w:t>Opportunities</w:t>
      </w:r>
    </w:p>
    <w:p w14:paraId="74A2502A" w14:textId="77777777" w:rsidR="007C3624" w:rsidRDefault="007C3624" w:rsidP="007C36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b/>
          <w:color w:val="0E0E0E"/>
        </w:rPr>
      </w:pPr>
    </w:p>
    <w:p w14:paraId="00000002" w14:textId="7DC11DD4" w:rsidR="005020D6" w:rsidRDefault="00CA46F5" w:rsidP="007C36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b/>
          <w:color w:val="0E0E0E"/>
        </w:rPr>
        <w:t>Background</w:t>
      </w:r>
    </w:p>
    <w:p w14:paraId="2ED03A5B" w14:textId="7CD505F8" w:rsidR="00FF02E1" w:rsidRDefault="000119E3" w:rsidP="0036181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b/>
          <w:bCs/>
          <w:color w:val="0E0E0E"/>
        </w:rPr>
      </w:pPr>
      <w:r w:rsidRPr="00764287">
        <w:rPr>
          <w:rFonts w:ascii="Calibri" w:eastAsia="Calibri" w:hAnsi="Calibri" w:cs="Calibri"/>
          <w:color w:val="0E0E0E"/>
        </w:rPr>
        <w:t xml:space="preserve">The global effort to eradicate polio faces a complex web of challenges as it enters its final stages. Despite significant progress,  </w:t>
      </w:r>
      <w:r w:rsidR="007E3915">
        <w:rPr>
          <w:rFonts w:ascii="Calibri" w:eastAsia="Calibri" w:hAnsi="Calibri" w:cs="Calibri"/>
          <w:color w:val="0E0E0E"/>
        </w:rPr>
        <w:t xml:space="preserve">wild </w:t>
      </w:r>
      <w:r w:rsidRPr="00764287">
        <w:rPr>
          <w:rFonts w:ascii="Calibri" w:eastAsia="Calibri" w:hAnsi="Calibri" w:cs="Calibri"/>
          <w:color w:val="0E0E0E"/>
        </w:rPr>
        <w:t>virus</w:t>
      </w:r>
      <w:r w:rsidR="007E3915">
        <w:rPr>
          <w:rFonts w:ascii="Calibri" w:eastAsia="Calibri" w:hAnsi="Calibri" w:cs="Calibri"/>
          <w:color w:val="0E0E0E"/>
        </w:rPr>
        <w:t xml:space="preserve"> </w:t>
      </w:r>
      <w:r w:rsidR="009A3004">
        <w:rPr>
          <w:rFonts w:ascii="Calibri" w:eastAsia="Calibri" w:hAnsi="Calibri" w:cs="Calibri"/>
          <w:color w:val="0E0E0E"/>
        </w:rPr>
        <w:t>transmission</w:t>
      </w:r>
      <w:r w:rsidRPr="00764287">
        <w:rPr>
          <w:rFonts w:ascii="Calibri" w:eastAsia="Calibri" w:hAnsi="Calibri" w:cs="Calibri"/>
          <w:color w:val="0E0E0E"/>
        </w:rPr>
        <w:t xml:space="preserve"> persists in Afghanistan and Pakistan. These endemic countries grapple with security issues and inaccessibility in certain regions, </w:t>
      </w:r>
      <w:r w:rsidR="00AB6E73">
        <w:rPr>
          <w:rFonts w:ascii="Calibri" w:eastAsia="Calibri" w:hAnsi="Calibri" w:cs="Calibri"/>
          <w:color w:val="0E0E0E"/>
        </w:rPr>
        <w:t xml:space="preserve">hindering vaccination efforts. </w:t>
      </w:r>
      <w:r w:rsidRPr="00764287">
        <w:rPr>
          <w:rFonts w:ascii="Calibri" w:eastAsia="Calibri" w:hAnsi="Calibri" w:cs="Calibri"/>
          <w:color w:val="0E0E0E"/>
        </w:rPr>
        <w:t>. Compounding this problem is the emergence of vaccine-derived poliovirus</w:t>
      </w:r>
      <w:r w:rsidR="00DA75AA">
        <w:rPr>
          <w:rFonts w:ascii="Calibri" w:eastAsia="Calibri" w:hAnsi="Calibri" w:cs="Calibri"/>
          <w:color w:val="0E0E0E"/>
        </w:rPr>
        <w:t xml:space="preserve"> type 2</w:t>
      </w:r>
      <w:r w:rsidRPr="00764287">
        <w:rPr>
          <w:rFonts w:ascii="Calibri" w:eastAsia="Calibri" w:hAnsi="Calibri" w:cs="Calibri"/>
          <w:color w:val="0E0E0E"/>
        </w:rPr>
        <w:t xml:space="preserve"> </w:t>
      </w:r>
      <w:r w:rsidR="00914EF2">
        <w:rPr>
          <w:rFonts w:ascii="Calibri" w:eastAsia="Calibri" w:hAnsi="Calibri" w:cs="Calibri"/>
          <w:color w:val="0E0E0E"/>
        </w:rPr>
        <w:t xml:space="preserve">(cVDPV2) </w:t>
      </w:r>
      <w:r w:rsidRPr="00764287">
        <w:rPr>
          <w:rFonts w:ascii="Calibri" w:eastAsia="Calibri" w:hAnsi="Calibri" w:cs="Calibri"/>
          <w:color w:val="0E0E0E"/>
        </w:rPr>
        <w:t>outbreaks in previously polio-free areas</w:t>
      </w:r>
      <w:r w:rsidR="00DA75AA">
        <w:rPr>
          <w:rFonts w:ascii="Calibri" w:eastAsia="Calibri" w:hAnsi="Calibri" w:cs="Calibri"/>
          <w:color w:val="0E0E0E"/>
        </w:rPr>
        <w:t>,</w:t>
      </w:r>
      <w:r w:rsidRPr="00764287">
        <w:rPr>
          <w:rFonts w:ascii="Calibri" w:eastAsia="Calibri" w:hAnsi="Calibri" w:cs="Calibri"/>
          <w:color w:val="0E0E0E"/>
        </w:rPr>
        <w:t xml:space="preserve"> including in Israel and Gaza</w:t>
      </w:r>
      <w:r w:rsidR="00465FE8">
        <w:rPr>
          <w:rFonts w:ascii="Calibri" w:eastAsia="Calibri" w:hAnsi="Calibri" w:cs="Calibri"/>
          <w:color w:val="0E0E0E"/>
        </w:rPr>
        <w:t xml:space="preserve"> </w:t>
      </w:r>
      <w:r w:rsidR="00C47F4D">
        <w:rPr>
          <w:rFonts w:ascii="Calibri" w:eastAsia="Calibri" w:hAnsi="Calibri" w:cs="Calibri"/>
          <w:color w:val="0E0E0E"/>
        </w:rPr>
        <w:t>[1]</w:t>
      </w:r>
      <w:r w:rsidR="008C29D5">
        <w:rPr>
          <w:rFonts w:ascii="Calibri" w:eastAsia="Calibri" w:hAnsi="Calibri" w:cs="Calibri"/>
          <w:color w:val="0E0E0E"/>
        </w:rPr>
        <w:t>. The curren</w:t>
      </w:r>
      <w:r w:rsidR="00F054F6">
        <w:rPr>
          <w:rFonts w:ascii="Calibri" w:eastAsia="Calibri" w:hAnsi="Calibri" w:cs="Calibri"/>
          <w:color w:val="0E0E0E"/>
        </w:rPr>
        <w:t>t</w:t>
      </w:r>
      <w:r w:rsidR="007A2948">
        <w:rPr>
          <w:rFonts w:ascii="Calibri" w:eastAsia="Calibri" w:hAnsi="Calibri" w:cs="Calibri"/>
          <w:color w:val="0E0E0E"/>
        </w:rPr>
        <w:t xml:space="preserve">, </w:t>
      </w:r>
      <w:r w:rsidR="008C3003">
        <w:rPr>
          <w:rFonts w:ascii="Calibri" w:eastAsia="Calibri" w:hAnsi="Calibri" w:cs="Calibri"/>
          <w:color w:val="0E0E0E"/>
        </w:rPr>
        <w:t xml:space="preserve">major conflict </w:t>
      </w:r>
      <w:r w:rsidR="008C29D5">
        <w:rPr>
          <w:rFonts w:ascii="Calibri" w:eastAsia="Calibri" w:hAnsi="Calibri" w:cs="Calibri"/>
          <w:color w:val="0E0E0E"/>
        </w:rPr>
        <w:t>has led</w:t>
      </w:r>
      <w:r w:rsidR="00A606C9">
        <w:rPr>
          <w:rFonts w:ascii="Calibri" w:eastAsia="Calibri" w:hAnsi="Calibri" w:cs="Calibri"/>
          <w:color w:val="0E0E0E"/>
        </w:rPr>
        <w:t xml:space="preserve"> to </w:t>
      </w:r>
      <w:r w:rsidR="008C29D5">
        <w:rPr>
          <w:rFonts w:ascii="Calibri" w:eastAsia="Calibri" w:hAnsi="Calibri" w:cs="Calibri"/>
          <w:color w:val="0E0E0E"/>
        </w:rPr>
        <w:t xml:space="preserve">a </w:t>
      </w:r>
      <w:r w:rsidR="00A606C9">
        <w:rPr>
          <w:rFonts w:ascii="Calibri" w:eastAsia="Calibri" w:hAnsi="Calibri" w:cs="Calibri"/>
          <w:color w:val="0E0E0E"/>
        </w:rPr>
        <w:t xml:space="preserve">humanitarian crisis </w:t>
      </w:r>
      <w:r w:rsidR="00F054F6">
        <w:rPr>
          <w:rFonts w:ascii="Calibri" w:eastAsia="Calibri" w:hAnsi="Calibri" w:cs="Calibri"/>
          <w:color w:val="0E0E0E"/>
        </w:rPr>
        <w:t xml:space="preserve">and </w:t>
      </w:r>
      <w:r w:rsidR="00A25BC6">
        <w:rPr>
          <w:rFonts w:ascii="Calibri" w:eastAsia="Calibri" w:hAnsi="Calibri" w:cs="Calibri"/>
          <w:color w:val="0E0E0E"/>
        </w:rPr>
        <w:t xml:space="preserve"> </w:t>
      </w:r>
      <w:r w:rsidR="00721A2D">
        <w:rPr>
          <w:rFonts w:ascii="Calibri" w:eastAsia="Calibri" w:hAnsi="Calibri" w:cs="Calibri"/>
          <w:color w:val="0E0E0E"/>
        </w:rPr>
        <w:t>the</w:t>
      </w:r>
      <w:r w:rsidR="00A606C9">
        <w:rPr>
          <w:rFonts w:ascii="Calibri" w:eastAsia="Calibri" w:hAnsi="Calibri" w:cs="Calibri"/>
          <w:color w:val="0E0E0E"/>
        </w:rPr>
        <w:t xml:space="preserve"> displacement of </w:t>
      </w:r>
      <w:r w:rsidR="00A25BC6">
        <w:rPr>
          <w:rFonts w:ascii="Calibri" w:eastAsia="Calibri" w:hAnsi="Calibri" w:cs="Calibri"/>
          <w:color w:val="0E0E0E"/>
        </w:rPr>
        <w:t>over</w:t>
      </w:r>
      <w:r w:rsidR="00721A2D">
        <w:rPr>
          <w:rFonts w:ascii="Calibri" w:eastAsia="Calibri" w:hAnsi="Calibri" w:cs="Calibri"/>
          <w:color w:val="0E0E0E"/>
        </w:rPr>
        <w:t xml:space="preserve"> </w:t>
      </w:r>
      <w:r w:rsidR="00003543">
        <w:rPr>
          <w:rFonts w:ascii="Calibri" w:eastAsia="Calibri" w:hAnsi="Calibri" w:cs="Calibri"/>
          <w:color w:val="0E0E0E"/>
        </w:rPr>
        <w:t xml:space="preserve">people in both Gaza and Israel, </w:t>
      </w:r>
      <w:proofErr w:type="spellStart"/>
      <w:r w:rsidR="00003543">
        <w:rPr>
          <w:rFonts w:ascii="Calibri" w:eastAsia="Calibri" w:hAnsi="Calibri" w:cs="Calibri"/>
          <w:color w:val="0E0E0E"/>
        </w:rPr>
        <w:t>rsulting</w:t>
      </w:r>
      <w:proofErr w:type="spellEnd"/>
      <w:r w:rsidR="00003543">
        <w:rPr>
          <w:rFonts w:ascii="Calibri" w:eastAsia="Calibri" w:hAnsi="Calibri" w:cs="Calibri"/>
          <w:color w:val="0E0E0E"/>
        </w:rPr>
        <w:t xml:space="preserve"> in .</w:t>
      </w:r>
      <w:r w:rsidR="00A25BC6">
        <w:rPr>
          <w:rFonts w:ascii="Calibri" w:eastAsia="Calibri" w:hAnsi="Calibri" w:cs="Calibri"/>
          <w:color w:val="0E0E0E"/>
        </w:rPr>
        <w:t xml:space="preserve"> This has</w:t>
      </w:r>
      <w:r w:rsidR="00B33C44">
        <w:rPr>
          <w:rFonts w:ascii="Calibri" w:eastAsia="Calibri" w:hAnsi="Calibri" w:cs="Calibri"/>
          <w:color w:val="0E0E0E"/>
        </w:rPr>
        <w:t> also resulted in a reduction of polio vaccination coverage.</w:t>
      </w:r>
    </w:p>
    <w:p w14:paraId="6538876D" w14:textId="77777777" w:rsidR="005D4862" w:rsidRDefault="005D4862" w:rsidP="005D4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tl/>
        </w:rPr>
      </w:pPr>
      <w:r>
        <w:rPr>
          <w:rFonts w:ascii="Calibri" w:eastAsia="Calibri" w:hAnsi="Calibri" w:cs="Calibri"/>
          <w:b/>
          <w:color w:val="0E0E0E"/>
        </w:rPr>
        <w:t>Global Epidemiology of cVDPV2</w:t>
      </w:r>
    </w:p>
    <w:p w14:paraId="44B05A5B" w14:textId="7CEC9D9C" w:rsidR="005D4862" w:rsidRPr="00B2781A" w:rsidRDefault="005D4862" w:rsidP="005D4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t>Unvaccinated groups in regions with poor water, sanitation, hygienic conditions, fragile health systems, and ongoing wars and conflicts are at heightened risk for circulating vaccine-derived poliovirus (</w:t>
      </w:r>
      <w:proofErr w:type="spellStart"/>
      <w:r>
        <w:rPr>
          <w:rFonts w:ascii="Calibri" w:eastAsia="Calibri" w:hAnsi="Calibri" w:cs="Calibri"/>
          <w:color w:val="0E0E0E"/>
        </w:rPr>
        <w:t>cVDPV</w:t>
      </w:r>
      <w:proofErr w:type="spellEnd"/>
      <w:r>
        <w:rPr>
          <w:rFonts w:ascii="Calibri" w:eastAsia="Calibri" w:hAnsi="Calibri" w:cs="Calibri"/>
          <w:color w:val="0E0E0E"/>
        </w:rPr>
        <w:t>). In recent years, cVDPV2 has emerged as a significant global public health concern</w:t>
      </w:r>
      <w:r w:rsidR="00B33C44">
        <w:rPr>
          <w:rFonts w:ascii="Calibri" w:eastAsia="Calibri" w:hAnsi="Calibri" w:cs="Calibri"/>
          <w:color w:val="0E0E0E"/>
        </w:rPr>
        <w:t>,</w:t>
      </w:r>
      <w:r>
        <w:rPr>
          <w:rFonts w:ascii="Calibri" w:eastAsia="Calibri" w:hAnsi="Calibri" w:cs="Calibri"/>
          <w:color w:val="0E0E0E"/>
        </w:rPr>
        <w:t xml:space="preserve"> particularly among populations with low immunization coverage. </w:t>
      </w:r>
    </w:p>
    <w:p w14:paraId="3C873544" w14:textId="77777777" w:rsidR="005D4862" w:rsidRDefault="005D4862" w:rsidP="005D4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t xml:space="preserve">The global success in eradicating the wild poliovirus type 2 (WPV2) in 1999 led to the cessation of the type 2 component of OPV in 2016. However, the continued circulation </w:t>
      </w:r>
      <w:proofErr w:type="spellStart"/>
      <w:r>
        <w:rPr>
          <w:rFonts w:ascii="Calibri" w:eastAsia="Calibri" w:hAnsi="Calibri" w:cs="Calibri"/>
          <w:color w:val="0E0E0E"/>
        </w:rPr>
        <w:t>cVDPV</w:t>
      </w:r>
      <w:proofErr w:type="spellEnd"/>
      <w:r>
        <w:rPr>
          <w:rFonts w:ascii="Calibri" w:eastAsia="Calibri" w:hAnsi="Calibri" w:cs="Calibri"/>
          <w:color w:val="0E0E0E"/>
        </w:rPr>
        <w:t xml:space="preserve"> in countries with inadequate vaccination coverage with </w:t>
      </w:r>
      <w:proofErr w:type="spellStart"/>
      <w:r>
        <w:rPr>
          <w:rFonts w:ascii="Calibri" w:eastAsia="Calibri" w:hAnsi="Calibri" w:cs="Calibri"/>
          <w:color w:val="0E0E0E"/>
        </w:rPr>
        <w:t>eIPV</w:t>
      </w:r>
      <w:proofErr w:type="spellEnd"/>
      <w:r>
        <w:rPr>
          <w:rFonts w:ascii="Calibri" w:eastAsia="Calibri" w:hAnsi="Calibri" w:cs="Calibri"/>
          <w:color w:val="0E0E0E"/>
        </w:rPr>
        <w:t>, allows for the attenuated vaccine-derived virus to circulate and further mutate, increasing the risk of cVDPV2 outbreaks. As of 2024, cVDPV1 has been reported in two countries, while cVDPV2 in 15 countries in multiple regions, with Africa being most affected, due to poor vaccination coverage,  wars, and conflicts, displacement, poor water, sanitation and hygiene, and healthcare access barriers, [13].</w:t>
      </w:r>
    </w:p>
    <w:p w14:paraId="2A13543C" w14:textId="77777777" w:rsidR="005D4862" w:rsidRDefault="005D4862" w:rsidP="005D4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t xml:space="preserve">In the WHO Eastern Mediterranean region, cVDPV2 has been detected in countries such as Afghanistan and Pakistan, which also remain endemic for wild poliovirus type 1 (WPV1), complicating eradication efforts. Additionally, cVDPV2 has been detected in environmental samples in countries like </w:t>
      </w:r>
      <w:sdt>
        <w:sdtPr>
          <w:tag w:val="goog_rdk_10"/>
          <w:id w:val="-2130075747"/>
        </w:sdtPr>
        <w:sdtContent/>
      </w:sdt>
      <w:r>
        <w:rPr>
          <w:rFonts w:ascii="Calibri" w:eastAsia="Calibri" w:hAnsi="Calibri" w:cs="Calibri"/>
          <w:color w:val="0E0E0E"/>
        </w:rPr>
        <w:t xml:space="preserve">Iran and Somalia, indicating ongoing transmission, including import from other countries and highlighting the need for continued vigilance [14]. </w:t>
      </w:r>
      <w:sdt>
        <w:sdtPr>
          <w:tag w:val="goog_rdk_11"/>
          <w:id w:val="-1325744057"/>
        </w:sdtPr>
        <w:sdtContent/>
      </w:sdt>
      <w:r>
        <w:rPr>
          <w:rFonts w:ascii="Calibri" w:eastAsia="Calibri" w:hAnsi="Calibri" w:cs="Calibri"/>
          <w:color w:val="0E0E0E"/>
        </w:rPr>
        <w:t xml:space="preserve">The WHO Western Pacific region has also reported cases of cVDPV2, particularly in Indonesia, where outbreaks in recent years have prompted emergency vaccination campaigns. In Europe, Tajikistan has experienced outbreaks </w:t>
      </w:r>
      <w:r>
        <w:rPr>
          <w:rFonts w:ascii="Calibri" w:eastAsia="Calibri" w:hAnsi="Calibri" w:cs="Calibri"/>
          <w:color w:val="0E0E0E"/>
        </w:rPr>
        <w:lastRenderedPageBreak/>
        <w:t>linked to cVDPV2 strains originating from Pakistan, illustrating the virus’s potential for cross-border spread [14].</w:t>
      </w:r>
    </w:p>
    <w:p w14:paraId="4293562B" w14:textId="77777777" w:rsidR="005D4862" w:rsidRDefault="005D4862" w:rsidP="005D4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t>The resurgence of cVDPV2 emphasizes the need for sustained immunization efforts, particularly in high-risk regions. The introduction of the novel oral polio vaccine type 2 (nOPV2), designed to be more genetically stable and less likely to revert to virulence, represents a critical tool in combating these outbreaks [14]. However, the ongoing challenge of ensuring high vaccination coverage, especially in conflict-affected and underserved areas, remains a significant barrier to global polio eradication efforts [15].</w:t>
      </w:r>
    </w:p>
    <w:p w14:paraId="6D1614EC" w14:textId="295D7754" w:rsidR="005D4862" w:rsidRDefault="005D4862" w:rsidP="005D4862">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b/>
          <w:bCs/>
          <w:color w:val="0E0E0E"/>
        </w:rPr>
      </w:pPr>
      <w:r>
        <w:rPr>
          <w:rFonts w:ascii="Calibri" w:eastAsia="Calibri" w:hAnsi="Calibri" w:cs="Calibri"/>
          <w:color w:val="0E0E0E"/>
        </w:rPr>
        <w:t xml:space="preserve">Thanks to global vaccination efforts, the polio cases originating from the wild poliovirus are down from hundreds of thousands annually in the 1980s to 27 cases globally today - 14 cases of WPV1 in Afghanistan and 13 cases of WPV1 in Pakistan as of October 2024 [16]. The world is close to making polio the second human disease to be eradicated. However, this “polio end-game” phase exposes the world to the challenges of the residuals of the </w:t>
      </w:r>
      <w:proofErr w:type="spellStart"/>
      <w:r>
        <w:rPr>
          <w:rFonts w:ascii="Calibri" w:eastAsia="Calibri" w:hAnsi="Calibri" w:cs="Calibri"/>
          <w:color w:val="0E0E0E"/>
        </w:rPr>
        <w:t>cVDPVs</w:t>
      </w:r>
      <w:proofErr w:type="spellEnd"/>
      <w:r>
        <w:rPr>
          <w:rFonts w:ascii="Calibri" w:eastAsia="Calibri" w:hAnsi="Calibri" w:cs="Calibri"/>
          <w:color w:val="0E0E0E"/>
        </w:rPr>
        <w:t xml:space="preserve">. Therefore, there is a need to ensure that all children are immunized against all strains of the virus using </w:t>
      </w:r>
      <w:proofErr w:type="spellStart"/>
      <w:r>
        <w:rPr>
          <w:rFonts w:ascii="Calibri" w:eastAsia="Calibri" w:hAnsi="Calibri" w:cs="Calibri"/>
          <w:color w:val="0E0E0E"/>
        </w:rPr>
        <w:t>eIPV</w:t>
      </w:r>
      <w:proofErr w:type="spellEnd"/>
      <w:r>
        <w:rPr>
          <w:rFonts w:ascii="Calibri" w:eastAsia="Calibri" w:hAnsi="Calibri" w:cs="Calibri"/>
          <w:color w:val="0E0E0E"/>
        </w:rPr>
        <w:t xml:space="preserve"> 1, 2, 3, combined with simultaneous administration of </w:t>
      </w:r>
      <w:proofErr w:type="spellStart"/>
      <w:r>
        <w:rPr>
          <w:rFonts w:ascii="Calibri" w:eastAsia="Calibri" w:hAnsi="Calibri" w:cs="Calibri"/>
          <w:color w:val="0E0E0E"/>
        </w:rPr>
        <w:t>bOPV</w:t>
      </w:r>
      <w:proofErr w:type="spellEnd"/>
      <w:r>
        <w:rPr>
          <w:rFonts w:ascii="Calibri" w:eastAsia="Calibri" w:hAnsi="Calibri" w:cs="Calibri"/>
          <w:color w:val="0E0E0E"/>
        </w:rPr>
        <w:t xml:space="preserve"> 1, 3 in areas with poor sanitation and hygiene. In cases of cVDPV2 outbreaks, the </w:t>
      </w:r>
      <w:proofErr w:type="spellStart"/>
      <w:r>
        <w:rPr>
          <w:rFonts w:ascii="Calibri" w:eastAsia="Calibri" w:hAnsi="Calibri" w:cs="Calibri"/>
          <w:color w:val="0E0E0E"/>
        </w:rPr>
        <w:t>nOPV</w:t>
      </w:r>
      <w:proofErr w:type="spellEnd"/>
      <w:r>
        <w:rPr>
          <w:rFonts w:ascii="Calibri" w:eastAsia="Calibri" w:hAnsi="Calibri" w:cs="Calibri"/>
          <w:color w:val="0E0E0E"/>
        </w:rPr>
        <w:t xml:space="preserve"> (type 2) is recommended as the first-line vaccine, aiming to stop the circulation of the virus rapidly and widely, side by side with the </w:t>
      </w:r>
      <w:proofErr w:type="spellStart"/>
      <w:r>
        <w:rPr>
          <w:rFonts w:ascii="Calibri" w:eastAsia="Calibri" w:hAnsi="Calibri" w:cs="Calibri"/>
          <w:color w:val="0E0E0E"/>
        </w:rPr>
        <w:t>eIPV</w:t>
      </w:r>
      <w:proofErr w:type="spellEnd"/>
      <w:r>
        <w:rPr>
          <w:rFonts w:ascii="Calibri" w:eastAsia="Calibri" w:hAnsi="Calibri" w:cs="Calibri"/>
          <w:color w:val="0E0E0E"/>
        </w:rPr>
        <w:t>. Regional polio vaccination strategies should be tailored to address a whole-of-community approach that stops the spread of poliomyelitis, as borders do not confine hazards and microbes. The Israel-Gaza polio situation illustrates this need.</w:t>
      </w:r>
    </w:p>
    <w:p w14:paraId="2D425BFD" w14:textId="77777777" w:rsidR="005D4862" w:rsidRDefault="005D4862" w:rsidP="00FF02E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b/>
          <w:bCs/>
          <w:color w:val="0E0E0E"/>
          <w:rtl/>
        </w:rPr>
      </w:pPr>
    </w:p>
    <w:p w14:paraId="3A1DFBBF" w14:textId="20425EFA" w:rsidR="00DD552B" w:rsidRPr="00764287" w:rsidRDefault="00DD552B" w:rsidP="005D4862">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b/>
          <w:bCs/>
          <w:color w:val="0E0E0E"/>
        </w:rPr>
      </w:pPr>
      <w:r w:rsidRPr="00764287">
        <w:rPr>
          <w:rFonts w:ascii="Calibri" w:eastAsia="Calibri" w:hAnsi="Calibri" w:cs="Calibri"/>
          <w:b/>
          <w:bCs/>
          <w:color w:val="0E0E0E"/>
        </w:rPr>
        <w:t xml:space="preserve">Polio in Israel and </w:t>
      </w:r>
      <w:r w:rsidR="00836CFF">
        <w:rPr>
          <w:rFonts w:ascii="Calibri" w:eastAsia="Calibri" w:hAnsi="Calibri" w:cs="Calibri"/>
          <w:b/>
          <w:bCs/>
          <w:color w:val="0E0E0E"/>
        </w:rPr>
        <w:t>Gaza</w:t>
      </w:r>
    </w:p>
    <w:p w14:paraId="69AF333B" w14:textId="7CE9FBB8" w:rsidR="00DD552B" w:rsidRPr="00764287" w:rsidRDefault="00D7208B" w:rsidP="00764287">
      <w:pPr>
        <w:bidi w:val="0"/>
        <w:spacing w:line="360" w:lineRule="auto"/>
        <w:rPr>
          <w:rFonts w:ascii="Calibri" w:hAnsi="Calibri" w:cs="Calibri"/>
        </w:rPr>
      </w:pPr>
      <w:r w:rsidRPr="00764287">
        <w:rPr>
          <w:rFonts w:ascii="Calibri" w:hAnsi="Calibri" w:cs="Calibri"/>
        </w:rPr>
        <w:t>In 1977-78, Gaza experienced a severe polio outbreak, with over 70 cases occurring annually, even among partially vaccinated children. Simultaneous outbreaks of enteric diseases and measles further exacerbated this crisis.</w:t>
      </w:r>
      <w:r w:rsidR="0093300F" w:rsidRPr="00764287">
        <w:rPr>
          <w:rFonts w:ascii="Calibri" w:hAnsi="Calibri" w:cs="Calibri"/>
        </w:rPr>
        <w:t xml:space="preserve"> </w:t>
      </w:r>
      <w:r w:rsidR="009D64E3" w:rsidRPr="00764287">
        <w:rPr>
          <w:rFonts w:ascii="Calibri" w:hAnsi="Calibri" w:cs="Calibri"/>
        </w:rPr>
        <w:t xml:space="preserve">In a remarkable display of collaboration, Israeli and Palestinian health officials, alongside the World Health Organization (WHO), took decisive action. They implemented a new polio control strategy based on </w:t>
      </w:r>
      <w:r w:rsidRPr="00764287">
        <w:rPr>
          <w:rFonts w:ascii="Calibri" w:hAnsi="Calibri" w:cs="Calibri"/>
        </w:rPr>
        <w:t>advice from a WHO consultant</w:t>
      </w:r>
      <w:r w:rsidR="0093300F" w:rsidRPr="00764287">
        <w:rPr>
          <w:rFonts w:ascii="Calibri" w:hAnsi="Calibri" w:cs="Calibri"/>
        </w:rPr>
        <w:t>, Dr Melnick</w:t>
      </w:r>
      <w:r w:rsidR="009D64E3" w:rsidRPr="00764287">
        <w:rPr>
          <w:rFonts w:ascii="Calibri" w:hAnsi="Calibri" w:cs="Calibri"/>
        </w:rPr>
        <w:t>: combining the oral polio</w:t>
      </w:r>
      <w:r w:rsidR="009D64E3" w:rsidRPr="00764287">
        <w:rPr>
          <w:rFonts w:ascii="Calibri" w:hAnsi="Calibri" w:cs="Calibri"/>
          <w:rtl/>
        </w:rPr>
        <w:t xml:space="preserve"> </w:t>
      </w:r>
      <w:r w:rsidR="009D64E3" w:rsidRPr="00764287">
        <w:rPr>
          <w:rFonts w:ascii="Calibri" w:hAnsi="Calibri" w:cs="Calibri"/>
        </w:rPr>
        <w:t>vaccine (OPV) with two doses of the inactivated polio vaccine (IPV). This strategic approach</w:t>
      </w:r>
      <w:r w:rsidR="00391C02">
        <w:rPr>
          <w:rFonts w:ascii="Calibri" w:hAnsi="Calibri" w:cs="Calibri"/>
        </w:rPr>
        <w:t xml:space="preserve">, known as "the Gaza system," received full support from the Israeli Coordinator of Government Activities in the Territories (COGAT), marking a </w:t>
      </w:r>
      <w:r w:rsidR="00391C02">
        <w:rPr>
          <w:rFonts w:ascii="Calibri" w:hAnsi="Calibri" w:cs="Calibri"/>
        </w:rPr>
        <w:lastRenderedPageBreak/>
        <w:t>significant milestone in the fight against polio</w:t>
      </w:r>
      <w:r w:rsidR="0078171C">
        <w:rPr>
          <w:rFonts w:ascii="Calibri" w:hAnsi="Calibri" w:cs="Calibri"/>
        </w:rPr>
        <w:t xml:space="preserve"> [2]</w:t>
      </w:r>
      <w:r w:rsidR="00391C02">
        <w:rPr>
          <w:rFonts w:ascii="Calibri" w:hAnsi="Calibri" w:cs="Calibri"/>
        </w:rPr>
        <w:t xml:space="preserve">. Due to its successful impact, the </w:t>
      </w:r>
      <w:r w:rsidR="00966105">
        <w:rPr>
          <w:rFonts w:ascii="Calibri" w:hAnsi="Calibri" w:cs="Calibri"/>
        </w:rPr>
        <w:t xml:space="preserve">“Melnick Plan” </w:t>
      </w:r>
      <w:r w:rsidR="005C5EF1" w:rsidRPr="00764287">
        <w:rPr>
          <w:rFonts w:ascii="Calibri" w:hAnsi="Calibri" w:cs="Calibri"/>
        </w:rPr>
        <w:t>was adopted by other countries in the Mediterranean region</w:t>
      </w:r>
      <w:r w:rsidR="0078171C">
        <w:rPr>
          <w:rFonts w:ascii="Calibri" w:hAnsi="Calibri" w:cs="Calibri"/>
        </w:rPr>
        <w:t>.</w:t>
      </w:r>
      <w:r w:rsidR="00F57818">
        <w:rPr>
          <w:rFonts w:ascii="Calibri" w:hAnsi="Calibri" w:cs="Calibri"/>
        </w:rPr>
        <w:t xml:space="preserve"> </w:t>
      </w:r>
    </w:p>
    <w:p w14:paraId="57B9751A" w14:textId="6D5B6B67" w:rsidR="00F42B20" w:rsidRDefault="000119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t>In 1988, Israel experienced a significant poliomyelitis outbreak, marking the largest occurrence of paralytic poliomyelitis in the country since 1979. This outbreak, caused by wild poliovirus type 1 (WPV1), resulted in 15 confirmed cases of paralytic poliomyelitis between July and October of that year. The outbreak also saw the co-identification of a clinical case in the West Bank, alongside the detection of WPV1 in sewage samples from Gaza. Most cases (12 out of 15) were concentrated in the Hadera subdistrict, an area where enhanced inactivated poliovirus vaccine (</w:t>
      </w:r>
      <w:proofErr w:type="spellStart"/>
      <w:r>
        <w:rPr>
          <w:rFonts w:ascii="Calibri" w:eastAsia="Calibri" w:hAnsi="Calibri" w:cs="Calibri"/>
          <w:color w:val="0E0E0E"/>
        </w:rPr>
        <w:t>eIPV</w:t>
      </w:r>
      <w:proofErr w:type="spellEnd"/>
      <w:r>
        <w:rPr>
          <w:rFonts w:ascii="Calibri" w:eastAsia="Calibri" w:hAnsi="Calibri" w:cs="Calibri"/>
          <w:color w:val="0E0E0E"/>
        </w:rPr>
        <w:t xml:space="preserve">) had been exclusively used for infant immunization since 1982 </w:t>
      </w:r>
      <w:r w:rsidR="00FE0BD0">
        <w:rPr>
          <w:rFonts w:ascii="Calibri" w:eastAsia="Calibri" w:hAnsi="Calibri" w:cs="Calibri"/>
          <w:color w:val="0E0E0E"/>
        </w:rPr>
        <w:t>[</w:t>
      </w:r>
      <w:r w:rsidR="00030EB2">
        <w:rPr>
          <w:rFonts w:ascii="Calibri" w:eastAsia="Calibri" w:hAnsi="Calibri" w:cs="Calibri"/>
          <w:color w:val="0E0E0E"/>
        </w:rPr>
        <w:t>3</w:t>
      </w:r>
      <w:r w:rsidR="00FE0BD0">
        <w:rPr>
          <w:rFonts w:ascii="Calibri" w:eastAsia="Calibri" w:hAnsi="Calibri" w:cs="Calibri"/>
          <w:color w:val="0E0E0E"/>
        </w:rPr>
        <w:t>]</w:t>
      </w:r>
      <w:r>
        <w:rPr>
          <w:rFonts w:ascii="Calibri" w:eastAsia="Calibri" w:hAnsi="Calibri" w:cs="Calibri"/>
          <w:color w:val="0E0E0E"/>
        </w:rPr>
        <w:t xml:space="preserve">. In response to the outbreak, the Israeli Ministry of Health launched a mass vaccination campaign, targeting all individuals under the age of 40 with OPV, which </w:t>
      </w:r>
      <w:r w:rsidR="00361811">
        <w:rPr>
          <w:rFonts w:ascii="Calibri" w:eastAsia="Calibri" w:hAnsi="Calibri" w:cs="Calibri"/>
          <w:color w:val="0E0E0E"/>
        </w:rPr>
        <w:t xml:space="preserve">led </w:t>
      </w:r>
      <w:r>
        <w:rPr>
          <w:rFonts w:ascii="Calibri" w:eastAsia="Calibri" w:hAnsi="Calibri" w:cs="Calibri"/>
          <w:color w:val="0E0E0E"/>
        </w:rPr>
        <w:t xml:space="preserve">to the elimination of the virus. </w:t>
      </w:r>
      <w:r w:rsidR="00864936">
        <w:rPr>
          <w:rFonts w:ascii="Calibri" w:eastAsia="Calibri" w:hAnsi="Calibri" w:cs="Calibri"/>
          <w:color w:val="0E0E0E"/>
        </w:rPr>
        <w:t xml:space="preserve">The outbreak led to the </w:t>
      </w:r>
      <w:r w:rsidR="000F5909">
        <w:rPr>
          <w:rFonts w:ascii="Calibri" w:eastAsia="Calibri" w:hAnsi="Calibri" w:cs="Calibri"/>
          <w:color w:val="0E0E0E"/>
        </w:rPr>
        <w:t xml:space="preserve">implementation of </w:t>
      </w:r>
      <w:r w:rsidR="00C127A9">
        <w:rPr>
          <w:rFonts w:ascii="Calibri" w:eastAsia="Calibri" w:hAnsi="Calibri" w:cs="Calibri"/>
          <w:color w:val="0E0E0E"/>
        </w:rPr>
        <w:t xml:space="preserve">combined </w:t>
      </w:r>
      <w:proofErr w:type="spellStart"/>
      <w:r w:rsidR="00C127A9">
        <w:rPr>
          <w:rFonts w:ascii="Calibri" w:eastAsia="Calibri" w:hAnsi="Calibri" w:cs="Calibri"/>
          <w:color w:val="0E0E0E"/>
        </w:rPr>
        <w:t>eIPV</w:t>
      </w:r>
      <w:proofErr w:type="spellEnd"/>
      <w:r w:rsidR="00C127A9">
        <w:rPr>
          <w:rFonts w:ascii="Calibri" w:eastAsia="Calibri" w:hAnsi="Calibri" w:cs="Calibri"/>
          <w:color w:val="0E0E0E"/>
        </w:rPr>
        <w:t xml:space="preserve"> and OPV vaccination schedule</w:t>
      </w:r>
      <w:r w:rsidR="00F326A3">
        <w:rPr>
          <w:rFonts w:ascii="Calibri" w:eastAsia="Calibri" w:hAnsi="Calibri" w:cs="Calibri"/>
          <w:color w:val="0E0E0E"/>
        </w:rPr>
        <w:t xml:space="preserve"> in Israel</w:t>
      </w:r>
      <w:r w:rsidR="002E7413">
        <w:rPr>
          <w:rFonts w:ascii="Calibri" w:eastAsia="Calibri" w:hAnsi="Calibri" w:cs="Calibri"/>
          <w:color w:val="0E0E0E"/>
        </w:rPr>
        <w:t xml:space="preserve"> [</w:t>
      </w:r>
      <w:r w:rsidR="00294558" w:rsidRPr="0090026D">
        <w:rPr>
          <w:rFonts w:ascii="Calibri" w:eastAsia="Calibri" w:hAnsi="Calibri" w:cs="Calibri"/>
          <w:color w:val="0E0E0E"/>
        </w:rPr>
        <w:t>4</w:t>
      </w:r>
      <w:r w:rsidR="002E7413">
        <w:rPr>
          <w:rFonts w:ascii="Calibri" w:eastAsia="Calibri" w:hAnsi="Calibri" w:cs="Calibri"/>
          <w:color w:val="0E0E0E"/>
        </w:rPr>
        <w:t>]</w:t>
      </w:r>
      <w:r w:rsidR="00F326A3">
        <w:rPr>
          <w:rFonts w:ascii="Calibri" w:eastAsia="Calibri" w:hAnsi="Calibri" w:cs="Calibri"/>
          <w:color w:val="0E0E0E"/>
        </w:rPr>
        <w:t>.</w:t>
      </w:r>
      <w:r w:rsidR="00C127A9">
        <w:rPr>
          <w:rFonts w:ascii="Calibri" w:eastAsia="Calibri" w:hAnsi="Calibri" w:cs="Calibri"/>
          <w:color w:val="0E0E0E"/>
        </w:rPr>
        <w:t xml:space="preserve"> </w:t>
      </w:r>
    </w:p>
    <w:p w14:paraId="5A1E22BA" w14:textId="58522E34" w:rsidR="00D80CBB" w:rsidRDefault="00D80CBB" w:rsidP="00D80CB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t>Following the 1988 outbreak, a collaborative early warning system was established in and included routine sewage monitoring for Israel, the West Bank, and Gaza at the Central Virus Laboratory of Israel's Ministry of Health [</w:t>
      </w:r>
      <w:r w:rsidR="00294558">
        <w:rPr>
          <w:rFonts w:ascii="Calibri" w:eastAsia="Calibri" w:hAnsi="Calibri" w:cs="Calibri"/>
          <w:color w:val="0E0E0E"/>
        </w:rPr>
        <w:t>5</w:t>
      </w:r>
      <w:r>
        <w:rPr>
          <w:rFonts w:ascii="Calibri" w:eastAsia="Calibri" w:hAnsi="Calibri" w:cs="Calibri"/>
          <w:color w:val="0E0E0E"/>
        </w:rPr>
        <w:t xml:space="preserve">]. </w:t>
      </w:r>
    </w:p>
    <w:p w14:paraId="09E42BF3" w14:textId="6C40A1D8" w:rsidR="00BF5A4B" w:rsidRDefault="00085247" w:rsidP="00BF5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t>WHO declared Israel, the West Bank and Gaza polio-free</w:t>
      </w:r>
      <w:r w:rsidR="000119E3">
        <w:rPr>
          <w:rFonts w:ascii="Calibri" w:eastAsia="Calibri" w:hAnsi="Calibri" w:cs="Calibri"/>
          <w:color w:val="0E0E0E"/>
        </w:rPr>
        <w:t xml:space="preserve"> in 2002 and 2010, respectively</w:t>
      </w:r>
      <w:r w:rsidR="00BC053C">
        <w:rPr>
          <w:rFonts w:ascii="Calibri" w:eastAsia="Calibri" w:hAnsi="Calibri" w:cs="Calibri"/>
          <w:color w:val="0E0E0E"/>
        </w:rPr>
        <w:t xml:space="preserve"> </w:t>
      </w:r>
      <w:r w:rsidR="00FE0BD0">
        <w:rPr>
          <w:rFonts w:ascii="Calibri" w:eastAsia="Calibri" w:hAnsi="Calibri" w:cs="Calibri"/>
          <w:color w:val="0E0E0E"/>
        </w:rPr>
        <w:t>[</w:t>
      </w:r>
      <w:r w:rsidR="0058602D" w:rsidRPr="0058602D">
        <w:rPr>
          <w:rFonts w:ascii="Calibri" w:eastAsia="Calibri" w:hAnsi="Calibri" w:cs="Calibri"/>
          <w:color w:val="0E0E0E"/>
        </w:rPr>
        <w:t>5,6</w:t>
      </w:r>
      <w:r w:rsidR="00FE0BD0">
        <w:rPr>
          <w:rFonts w:ascii="Calibri" w:eastAsia="Calibri" w:hAnsi="Calibri" w:cs="Calibri"/>
          <w:color w:val="0E0E0E"/>
        </w:rPr>
        <w:t>]</w:t>
      </w:r>
      <w:r w:rsidR="00FE3CCC">
        <w:rPr>
          <w:rFonts w:ascii="Calibri" w:eastAsia="Calibri" w:hAnsi="Calibri" w:cs="Calibri"/>
          <w:color w:val="0E0E0E"/>
        </w:rPr>
        <w:t>.</w:t>
      </w:r>
      <w:r w:rsidR="00D80CBB">
        <w:rPr>
          <w:rFonts w:ascii="Calibri" w:eastAsia="Calibri" w:hAnsi="Calibri" w:cs="Calibri"/>
          <w:color w:val="0E0E0E"/>
        </w:rPr>
        <w:t xml:space="preserve"> </w:t>
      </w:r>
      <w:r w:rsidR="00966105" w:rsidRPr="002869F4">
        <w:rPr>
          <w:rFonts w:ascii="Calibri" w:hAnsi="Calibri" w:cs="Calibri"/>
        </w:rPr>
        <w:t xml:space="preserve">In </w:t>
      </w:r>
      <w:r w:rsidR="00D80CBB">
        <w:rPr>
          <w:rFonts w:ascii="Calibri" w:hAnsi="Calibri" w:cs="Calibri"/>
        </w:rPr>
        <w:t>2004</w:t>
      </w:r>
      <w:r w:rsidR="00966105" w:rsidRPr="002869F4">
        <w:rPr>
          <w:rFonts w:ascii="Calibri" w:hAnsi="Calibri" w:cs="Calibri"/>
        </w:rPr>
        <w:t xml:space="preserve">, Israel discontinued the use of OPV in line with the WHO European Region. However, Gaza has continued using the </w:t>
      </w:r>
      <w:r w:rsidR="002F520B">
        <w:rPr>
          <w:rFonts w:ascii="Calibri" w:hAnsi="Calibri" w:cs="Calibri" w:hint="cs"/>
          <w:rtl/>
        </w:rPr>
        <w:t>״</w:t>
      </w:r>
      <w:r w:rsidR="00966105" w:rsidRPr="002869F4">
        <w:rPr>
          <w:rFonts w:ascii="Calibri" w:hAnsi="Calibri" w:cs="Calibri"/>
        </w:rPr>
        <w:t>Melnick Plan</w:t>
      </w:r>
      <w:r w:rsidR="002F520B">
        <w:rPr>
          <w:rFonts w:ascii="Calibri" w:hAnsi="Calibri" w:cs="Calibri" w:hint="cs"/>
          <w:rtl/>
        </w:rPr>
        <w:t>״</w:t>
      </w:r>
      <w:r w:rsidR="00966105" w:rsidRPr="002869F4">
        <w:rPr>
          <w:rFonts w:ascii="Calibri" w:hAnsi="Calibri" w:cs="Calibri"/>
        </w:rPr>
        <w:t>.</w:t>
      </w:r>
    </w:p>
    <w:p w14:paraId="6941BCF3" w14:textId="068DCE30" w:rsidR="006577A9" w:rsidRDefault="00CA46F5" w:rsidP="00BF5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t xml:space="preserve">In May 2013, </w:t>
      </w:r>
      <w:r w:rsidR="0000461D">
        <w:rPr>
          <w:rFonts w:ascii="Calibri" w:eastAsia="Calibri" w:hAnsi="Calibri" w:cs="Calibri"/>
          <w:color w:val="0E0E0E"/>
        </w:rPr>
        <w:t xml:space="preserve">a </w:t>
      </w:r>
      <w:r>
        <w:rPr>
          <w:rFonts w:ascii="Calibri" w:eastAsia="Calibri" w:hAnsi="Calibri" w:cs="Calibri"/>
          <w:color w:val="0E0E0E"/>
        </w:rPr>
        <w:t>silent outbreak of wild poliovirus type 1 (WPV1) was identified through sewage monitoring in southern Israel</w:t>
      </w:r>
      <w:r w:rsidR="008150A3">
        <w:rPr>
          <w:rFonts w:ascii="Calibri" w:eastAsia="Calibri" w:hAnsi="Calibri" w:cs="Calibri"/>
          <w:color w:val="0E0E0E"/>
        </w:rPr>
        <w:t xml:space="preserve"> [7]</w:t>
      </w:r>
      <w:r>
        <w:rPr>
          <w:rFonts w:ascii="Calibri" w:eastAsia="Calibri" w:hAnsi="Calibri" w:cs="Calibri"/>
          <w:color w:val="0E0E0E"/>
        </w:rPr>
        <w:t>. The same virus was previously detected in sewage samples in Cairo, Egypt. Genetic analyses linked the virus to strains circulating in Pakistan, indicating its spread from south Asia to the Middle East [</w:t>
      </w:r>
      <w:r w:rsidR="008456BF">
        <w:rPr>
          <w:rFonts w:ascii="Calibri" w:eastAsia="Calibri" w:hAnsi="Calibri" w:cs="Calibri"/>
          <w:color w:val="0E0E0E"/>
        </w:rPr>
        <w:t>8</w:t>
      </w:r>
      <w:r>
        <w:rPr>
          <w:rFonts w:ascii="Calibri" w:eastAsia="Calibri" w:hAnsi="Calibri" w:cs="Calibri"/>
          <w:color w:val="0E0E0E"/>
        </w:rPr>
        <w:t>]. Later in 2013, the virus spread silently across the country, evidenced by environmental surveillance without clinical cases [</w:t>
      </w:r>
      <w:r w:rsidR="00EF63C9">
        <w:rPr>
          <w:rFonts w:ascii="Calibri" w:eastAsia="Calibri" w:hAnsi="Calibri" w:cs="Calibri"/>
          <w:color w:val="0E0E0E"/>
        </w:rPr>
        <w:t>9</w:t>
      </w:r>
      <w:r>
        <w:rPr>
          <w:rFonts w:ascii="Calibri" w:eastAsia="Calibri" w:hAnsi="Calibri" w:cs="Calibri"/>
          <w:color w:val="0E0E0E"/>
        </w:rPr>
        <w:t>]. The outbreak further extended with WPV1 identified in sewage samples from both the West Bank and Gaza [</w:t>
      </w:r>
      <w:r w:rsidR="00EF63C9">
        <w:rPr>
          <w:rFonts w:ascii="Calibri" w:eastAsia="Calibri" w:hAnsi="Calibri" w:cs="Calibri"/>
          <w:color w:val="0E0E0E"/>
        </w:rPr>
        <w:t>10</w:t>
      </w:r>
      <w:r>
        <w:rPr>
          <w:rFonts w:ascii="Calibri" w:eastAsia="Calibri" w:hAnsi="Calibri" w:cs="Calibri"/>
          <w:color w:val="0E0E0E"/>
        </w:rPr>
        <w:t>]. In response to the widespread detection of WPV1, Israel, along with the Palestinian territories, initiated a coordinated public health response that included a mass immunization campaign using bivalent oral polio vaccine (</w:t>
      </w:r>
      <w:proofErr w:type="spellStart"/>
      <w:r>
        <w:rPr>
          <w:rFonts w:ascii="Calibri" w:eastAsia="Calibri" w:hAnsi="Calibri" w:cs="Calibri"/>
          <w:color w:val="0E0E0E"/>
        </w:rPr>
        <w:t>bOPV</w:t>
      </w:r>
      <w:proofErr w:type="spellEnd"/>
      <w:r>
        <w:rPr>
          <w:rFonts w:ascii="Calibri" w:eastAsia="Calibri" w:hAnsi="Calibri" w:cs="Calibri"/>
          <w:color w:val="0E0E0E"/>
        </w:rPr>
        <w:t xml:space="preserve">). Moreover, due to the ongoing threat posed by the virus, Israel made the strategic decision to re-include </w:t>
      </w:r>
      <w:proofErr w:type="spellStart"/>
      <w:r>
        <w:rPr>
          <w:rFonts w:ascii="Calibri" w:eastAsia="Calibri" w:hAnsi="Calibri" w:cs="Calibri"/>
          <w:color w:val="0E0E0E"/>
        </w:rPr>
        <w:t>bOPV</w:t>
      </w:r>
      <w:proofErr w:type="spellEnd"/>
      <w:r>
        <w:rPr>
          <w:rFonts w:ascii="Calibri" w:eastAsia="Calibri" w:hAnsi="Calibri" w:cs="Calibri"/>
          <w:color w:val="0E0E0E"/>
        </w:rPr>
        <w:t xml:space="preserve"> in its national vaccination schedule, a move aimed at ensuring sustained immunity and preventing future outbreaks</w:t>
      </w:r>
      <w:r w:rsidR="002F2534">
        <w:rPr>
          <w:rFonts w:ascii="Calibri" w:eastAsia="Calibri" w:hAnsi="Calibri" w:cs="Calibri"/>
          <w:color w:val="0E0E0E"/>
        </w:rPr>
        <w:t xml:space="preserve"> [</w:t>
      </w:r>
      <w:r w:rsidR="00EC399D">
        <w:rPr>
          <w:rFonts w:ascii="Calibri" w:eastAsia="Calibri" w:hAnsi="Calibri" w:cs="Calibri"/>
          <w:color w:val="0E0E0E"/>
        </w:rPr>
        <w:t>11</w:t>
      </w:r>
      <w:r w:rsidR="002F2534">
        <w:rPr>
          <w:rFonts w:ascii="Calibri" w:eastAsia="Calibri" w:hAnsi="Calibri" w:cs="Calibri"/>
          <w:color w:val="0E0E0E"/>
        </w:rPr>
        <w:t>]</w:t>
      </w:r>
      <w:r>
        <w:rPr>
          <w:rFonts w:ascii="Calibri" w:eastAsia="Calibri" w:hAnsi="Calibri" w:cs="Calibri"/>
          <w:color w:val="0E0E0E"/>
        </w:rPr>
        <w:t xml:space="preserve">. </w:t>
      </w:r>
      <w:r w:rsidR="000119E3">
        <w:rPr>
          <w:rFonts w:ascii="Calibri" w:eastAsia="Calibri" w:hAnsi="Calibri" w:cs="Calibri"/>
          <w:color w:val="0E0E0E"/>
        </w:rPr>
        <w:t>The epidemiological interpretation was</w:t>
      </w:r>
      <w:r>
        <w:rPr>
          <w:rFonts w:ascii="Calibri" w:eastAsia="Calibri" w:hAnsi="Calibri" w:cs="Calibri"/>
          <w:color w:val="0E0E0E"/>
        </w:rPr>
        <w:t xml:space="preserve"> that without the deployment of the oral polio vaccine (OPV), it is </w:t>
      </w:r>
      <w:r>
        <w:rPr>
          <w:rFonts w:ascii="Calibri" w:eastAsia="Calibri" w:hAnsi="Calibri" w:cs="Calibri"/>
          <w:color w:val="0E0E0E"/>
        </w:rPr>
        <w:lastRenderedPageBreak/>
        <w:t>doubtful that the polio outbreak could have been effectively contained and eradicated during this period [</w:t>
      </w:r>
      <w:r w:rsidR="00EC399D">
        <w:rPr>
          <w:rFonts w:ascii="Calibri" w:eastAsia="Calibri" w:hAnsi="Calibri" w:cs="Calibri"/>
          <w:color w:val="0E0E0E"/>
        </w:rPr>
        <w:t>12</w:t>
      </w:r>
      <w:r>
        <w:rPr>
          <w:rFonts w:ascii="Calibri" w:eastAsia="Calibri" w:hAnsi="Calibri" w:cs="Calibri"/>
          <w:color w:val="0E0E0E"/>
        </w:rPr>
        <w:t>].</w:t>
      </w:r>
      <w:r w:rsidR="000119E3">
        <w:rPr>
          <w:rFonts w:ascii="Calibri" w:eastAsia="Calibri" w:hAnsi="Calibri" w:cs="Calibri"/>
          <w:color w:val="0E0E0E"/>
        </w:rPr>
        <w:t xml:space="preserve"> </w:t>
      </w:r>
    </w:p>
    <w:p w14:paraId="0000000A" w14:textId="77777777" w:rsidR="005020D6" w:rsidRDefault="005020D6" w:rsidP="003618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b/>
          <w:color w:val="0E0E0E"/>
        </w:rPr>
      </w:pPr>
    </w:p>
    <w:p w14:paraId="00000016" w14:textId="6E3DD323" w:rsidR="005020D6" w:rsidRDefault="0061405A" w:rsidP="003618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b/>
          <w:color w:val="0E0E0E"/>
        </w:rPr>
        <w:t xml:space="preserve">Latest </w:t>
      </w:r>
      <w:r w:rsidR="00CA46F5">
        <w:rPr>
          <w:rFonts w:ascii="Calibri" w:eastAsia="Calibri" w:hAnsi="Calibri" w:cs="Calibri"/>
          <w:b/>
          <w:color w:val="0E0E0E"/>
        </w:rPr>
        <w:t xml:space="preserve">cVDPV2 </w:t>
      </w:r>
      <w:r w:rsidR="003E2FE6">
        <w:rPr>
          <w:rFonts w:ascii="Calibri" w:eastAsia="Calibri" w:hAnsi="Calibri" w:cs="Calibri"/>
          <w:b/>
          <w:color w:val="0E0E0E"/>
        </w:rPr>
        <w:t xml:space="preserve">epidemiology </w:t>
      </w:r>
      <w:r w:rsidR="00CA46F5">
        <w:rPr>
          <w:rFonts w:ascii="Calibri" w:eastAsia="Calibri" w:hAnsi="Calibri" w:cs="Calibri"/>
          <w:b/>
          <w:color w:val="0E0E0E"/>
        </w:rPr>
        <w:t>in Israel</w:t>
      </w:r>
    </w:p>
    <w:p w14:paraId="00000017" w14:textId="40B7385C" w:rsidR="005020D6" w:rsidRDefault="00CA46F5" w:rsidP="003618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t xml:space="preserve">In 2022, Israel reported a Vaccine-Associated Paralytic Poliomyelitis (VAPP) linked to circulating vaccine-derived poliovirus type 2 (cVDPV2), marking a significant public health event for the country. In addition to the VAPP case, cVDPV2 was detected in environmental samples, specifically in sewage, underscoring the silent circulation of the virus within the population. This was part of a broader pattern observed globally, as cVDPV2 was also identified in sewage in the United Kingdom and the United States during the same period, highlighting the virus’s potential for re-emergence even in polio-free regions. The Israeli Ministry of Health responded by intensifying surveillance and reassessing vaccination strategies, </w:t>
      </w:r>
      <w:r w:rsidR="00CB67F2">
        <w:rPr>
          <w:rFonts w:ascii="Calibri" w:eastAsia="Calibri" w:hAnsi="Calibri" w:cs="Calibri"/>
          <w:color w:val="0E0E0E"/>
        </w:rPr>
        <w:t xml:space="preserve">to increase vaccination coverage with the </w:t>
      </w:r>
      <w:proofErr w:type="spellStart"/>
      <w:r w:rsidR="00CB67F2">
        <w:rPr>
          <w:rFonts w:ascii="Calibri" w:eastAsia="Calibri" w:hAnsi="Calibri" w:cs="Calibri"/>
          <w:color w:val="0E0E0E"/>
        </w:rPr>
        <w:t>eIPV</w:t>
      </w:r>
      <w:proofErr w:type="spellEnd"/>
      <w:r w:rsidR="00CB67F2">
        <w:rPr>
          <w:rFonts w:ascii="Calibri" w:eastAsia="Calibri" w:hAnsi="Calibri" w:cs="Calibri"/>
          <w:color w:val="0E0E0E"/>
        </w:rPr>
        <w:t xml:space="preserve"> vaccine</w:t>
      </w:r>
      <w:r w:rsidR="0007259E">
        <w:rPr>
          <w:rFonts w:ascii="Calibri" w:eastAsia="Calibri" w:hAnsi="Calibri" w:cs="Calibri"/>
          <w:color w:val="0E0E0E"/>
        </w:rPr>
        <w:t xml:space="preserve">. </w:t>
      </w:r>
      <w:r>
        <w:rPr>
          <w:rFonts w:ascii="Calibri" w:eastAsia="Calibri" w:hAnsi="Calibri" w:cs="Calibri"/>
          <w:color w:val="0E0E0E"/>
        </w:rPr>
        <w:t>The situation underscored the importance of continuous vigilance and adaptability in public health strategies to prevent the re-emergence of poliovirus in any form</w:t>
      </w:r>
      <w:r w:rsidR="005E6E69">
        <w:rPr>
          <w:rFonts w:ascii="Calibri" w:eastAsia="Calibri" w:hAnsi="Calibri" w:cs="Calibri"/>
          <w:color w:val="0E0E0E"/>
        </w:rPr>
        <w:t>.</w:t>
      </w:r>
    </w:p>
    <w:p w14:paraId="00000019" w14:textId="77777777" w:rsidR="005020D6" w:rsidRDefault="00CA46F5" w:rsidP="003618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b/>
          <w:color w:val="0E0E0E"/>
        </w:rPr>
        <w:t>Current Polio Outbreak in Gaza</w:t>
      </w:r>
    </w:p>
    <w:p w14:paraId="0000001A" w14:textId="378FD0E8" w:rsidR="005020D6" w:rsidRDefault="00CA46F5" w:rsidP="003618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t>The routine vaccination in Gaza and the West Bank includes five dosages of OPV 1,3 and two of IPV1, 2, 3. The vaccination coverage until mid-2023 was high. However, since October 2024, with Gaza’s fragile healthcare infrastructure, exacerbated by prolonged conflict, displacement, crowded shelters, limited access to routine immunization services, and poor water, sanitation, and hygiene conditions, many of the infants have not been vaccinated routinely. (</w:t>
      </w:r>
      <w:r w:rsidR="0007259E">
        <w:rPr>
          <w:rFonts w:ascii="Calibri" w:eastAsia="Calibri" w:hAnsi="Calibri" w:cs="Calibri"/>
          <w:color w:val="0E0E0E"/>
        </w:rPr>
        <w:t xml:space="preserve">Palestinian </w:t>
      </w:r>
      <w:r>
        <w:rPr>
          <w:rFonts w:ascii="Calibri" w:eastAsia="Calibri" w:hAnsi="Calibri" w:cs="Calibri"/>
          <w:color w:val="0E0E0E"/>
        </w:rPr>
        <w:t xml:space="preserve">Ministry of </w:t>
      </w:r>
      <w:r w:rsidR="00F3726F">
        <w:rPr>
          <w:rFonts w:ascii="Calibri" w:eastAsia="Calibri" w:hAnsi="Calibri" w:cs="Calibri"/>
          <w:color w:val="0E0E0E"/>
        </w:rPr>
        <w:t>Health) In</w:t>
      </w:r>
      <w:r>
        <w:rPr>
          <w:rFonts w:ascii="Calibri" w:eastAsia="Calibri" w:hAnsi="Calibri" w:cs="Calibri"/>
          <w:color w:val="0E0E0E"/>
        </w:rPr>
        <w:t xml:space="preserve"> June 2024, Gaza faced a new polio threat with the detection of circulating vaccine-derived poliovirus type 2 (cVDPV2) in six environmental samples, followed by a verified case of cVDPV2 in a 10-month-old girl with poliomyelitis. The outbreak marks a significant public health emergency in Gaza and </w:t>
      </w:r>
      <w:r w:rsidR="00F3726F">
        <w:rPr>
          <w:rFonts w:ascii="Calibri" w:eastAsia="Calibri" w:hAnsi="Calibri" w:cs="Calibri"/>
          <w:color w:val="0E0E0E"/>
        </w:rPr>
        <w:t>t</w:t>
      </w:r>
      <w:r>
        <w:rPr>
          <w:rFonts w:ascii="Calibri" w:eastAsia="Calibri" w:hAnsi="Calibri" w:cs="Calibri"/>
          <w:color w:val="0E0E0E"/>
        </w:rPr>
        <w:t>he region. The virus is genetically linked to cVDPV2 strains circulating in Egypt, reflecting the regional interconnectedness of poliovirus transmission [</w:t>
      </w:r>
      <w:r w:rsidR="005F09D7">
        <w:rPr>
          <w:rFonts w:ascii="Calibri" w:eastAsia="Calibri" w:hAnsi="Calibri" w:cs="Calibri"/>
          <w:color w:val="0E0E0E"/>
        </w:rPr>
        <w:t>17</w:t>
      </w:r>
      <w:r>
        <w:rPr>
          <w:rFonts w:ascii="Calibri" w:eastAsia="Calibri" w:hAnsi="Calibri" w:cs="Calibri"/>
          <w:color w:val="0E0E0E"/>
        </w:rPr>
        <w:t>].</w:t>
      </w:r>
    </w:p>
    <w:p w14:paraId="4FB416F1" w14:textId="5F16120C" w:rsidR="00925E9D" w:rsidRDefault="00CA46F5" w:rsidP="009E6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t>In response to this outbreak, a critical polio vaccination campaign using nOPV</w:t>
      </w:r>
      <w:r w:rsidR="005E6E69">
        <w:rPr>
          <w:rFonts w:ascii="Calibri" w:eastAsia="Calibri" w:hAnsi="Calibri" w:cs="Calibri"/>
          <w:color w:val="0E0E0E"/>
        </w:rPr>
        <w:t>2</w:t>
      </w:r>
      <w:r>
        <w:rPr>
          <w:rFonts w:ascii="Calibri" w:eastAsia="Calibri" w:hAnsi="Calibri" w:cs="Calibri"/>
          <w:color w:val="0E0E0E"/>
        </w:rPr>
        <w:t xml:space="preserve"> was launched on September 1, 2024, targeting over 640,000 children under ten years of age. </w:t>
      </w:r>
      <w:r w:rsidRPr="00CA46F5">
        <w:t xml:space="preserve"> </w:t>
      </w:r>
      <w:r w:rsidR="00C90F0F">
        <w:rPr>
          <w:rFonts w:ascii="Calibri" w:eastAsia="Calibri" w:hAnsi="Calibri" w:cs="Calibri"/>
          <w:color w:val="0E0E0E"/>
        </w:rPr>
        <w:t xml:space="preserve">This campaign was successful with vaccination of 560,000 </w:t>
      </w:r>
      <w:r w:rsidR="00FD5D21">
        <w:rPr>
          <w:rFonts w:ascii="Calibri" w:eastAsia="Calibri" w:hAnsi="Calibri" w:cs="Calibri"/>
          <w:color w:val="0E0E0E"/>
        </w:rPr>
        <w:t>vaccinated between September 1-12, 2024</w:t>
      </w:r>
      <w:r w:rsidR="00755138">
        <w:rPr>
          <w:rFonts w:ascii="Calibri" w:eastAsia="Calibri" w:hAnsi="Calibri" w:cs="Calibri"/>
          <w:color w:val="0E0E0E"/>
        </w:rPr>
        <w:t>.</w:t>
      </w:r>
      <w:r w:rsidRPr="00CA46F5">
        <w:rPr>
          <w:rFonts w:ascii="Calibri" w:eastAsia="Calibri" w:hAnsi="Calibri" w:cs="Calibri"/>
          <w:color w:val="0E0E0E"/>
        </w:rPr>
        <w:t xml:space="preserve"> </w:t>
      </w:r>
      <w:r w:rsidR="00755138">
        <w:rPr>
          <w:rFonts w:ascii="Calibri" w:eastAsia="Calibri" w:hAnsi="Calibri" w:cs="Calibri"/>
          <w:color w:val="0E0E0E"/>
        </w:rPr>
        <w:t>The round</w:t>
      </w:r>
      <w:r w:rsidRPr="00CA46F5">
        <w:rPr>
          <w:rFonts w:ascii="Calibri" w:eastAsia="Calibri" w:hAnsi="Calibri" w:cs="Calibri"/>
          <w:color w:val="0E0E0E"/>
        </w:rPr>
        <w:t xml:space="preserve"> of the vaccination campaign in Gaza </w:t>
      </w:r>
      <w:r w:rsidR="00755138">
        <w:rPr>
          <w:rFonts w:ascii="Calibri" w:eastAsia="Calibri" w:hAnsi="Calibri" w:cs="Calibri"/>
          <w:color w:val="0E0E0E"/>
        </w:rPr>
        <w:t>will start on</w:t>
      </w:r>
      <w:r w:rsidRPr="00CA46F5">
        <w:rPr>
          <w:rFonts w:ascii="Calibri" w:eastAsia="Calibri" w:hAnsi="Calibri" w:cs="Calibri"/>
          <w:color w:val="0E0E0E"/>
        </w:rPr>
        <w:t xml:space="preserve"> Oct</w:t>
      </w:r>
      <w:r w:rsidR="00755138">
        <w:rPr>
          <w:rFonts w:ascii="Calibri" w:eastAsia="Calibri" w:hAnsi="Calibri" w:cs="Calibri"/>
          <w:color w:val="0E0E0E"/>
        </w:rPr>
        <w:t>ober</w:t>
      </w:r>
      <w:r w:rsidRPr="00CA46F5">
        <w:rPr>
          <w:rFonts w:ascii="Calibri" w:eastAsia="Calibri" w:hAnsi="Calibri" w:cs="Calibri"/>
          <w:color w:val="0E0E0E"/>
        </w:rPr>
        <w:t xml:space="preserve"> 14</w:t>
      </w:r>
      <w:r>
        <w:rPr>
          <w:rFonts w:ascii="Calibri" w:eastAsia="Calibri" w:hAnsi="Calibri" w:cs="Calibri"/>
          <w:color w:val="0E0E0E"/>
        </w:rPr>
        <w:t xml:space="preserve">, </w:t>
      </w:r>
      <w:r w:rsidR="00755138">
        <w:rPr>
          <w:rFonts w:ascii="Calibri" w:eastAsia="Calibri" w:hAnsi="Calibri" w:cs="Calibri"/>
          <w:color w:val="0E0E0E"/>
        </w:rPr>
        <w:t xml:space="preserve">2024, </w:t>
      </w:r>
      <w:r>
        <w:rPr>
          <w:rFonts w:ascii="Calibri" w:eastAsia="Calibri" w:hAnsi="Calibri" w:cs="Calibri"/>
          <w:color w:val="0E0E0E"/>
        </w:rPr>
        <w:t xml:space="preserve">using </w:t>
      </w:r>
      <w:r w:rsidRPr="00CA46F5">
        <w:rPr>
          <w:rFonts w:ascii="Calibri" w:eastAsia="Calibri" w:hAnsi="Calibri" w:cs="Calibri"/>
          <w:color w:val="0E0E0E"/>
        </w:rPr>
        <w:t xml:space="preserve">a similar scheme that </w:t>
      </w:r>
      <w:r>
        <w:rPr>
          <w:rFonts w:ascii="Calibri" w:eastAsia="Calibri" w:hAnsi="Calibri" w:cs="Calibri"/>
          <w:color w:val="0E0E0E"/>
        </w:rPr>
        <w:t>was used</w:t>
      </w:r>
      <w:r w:rsidRPr="00CA46F5">
        <w:rPr>
          <w:rFonts w:ascii="Calibri" w:eastAsia="Calibri" w:hAnsi="Calibri" w:cs="Calibri"/>
          <w:color w:val="0E0E0E"/>
        </w:rPr>
        <w:t xml:space="preserve"> for the first round, </w:t>
      </w:r>
      <w:r>
        <w:rPr>
          <w:rFonts w:ascii="Calibri" w:eastAsia="Calibri" w:hAnsi="Calibri" w:cs="Calibri"/>
          <w:color w:val="0E0E0E"/>
        </w:rPr>
        <w:t>with local</w:t>
      </w:r>
      <w:r w:rsidRPr="00CA46F5">
        <w:rPr>
          <w:rFonts w:ascii="Calibri" w:eastAsia="Calibri" w:hAnsi="Calibri" w:cs="Calibri"/>
          <w:color w:val="0E0E0E"/>
        </w:rPr>
        <w:t xml:space="preserve"> 'tactical pauses' in fighting during the working hours of the campaign</w:t>
      </w:r>
      <w:r w:rsidR="00755138">
        <w:rPr>
          <w:rFonts w:ascii="Calibri" w:eastAsia="Calibri" w:hAnsi="Calibri" w:cs="Calibri"/>
          <w:color w:val="0E0E0E"/>
        </w:rPr>
        <w:t xml:space="preserve"> [</w:t>
      </w:r>
      <w:r w:rsidR="007C3624">
        <w:rPr>
          <w:rFonts w:ascii="Calibri" w:eastAsia="Calibri" w:hAnsi="Calibri" w:cs="Calibri"/>
          <w:color w:val="0E0E0E"/>
        </w:rPr>
        <w:t>18</w:t>
      </w:r>
      <w:r w:rsidR="00BB1048">
        <w:rPr>
          <w:rFonts w:ascii="Calibri" w:eastAsia="Calibri" w:hAnsi="Calibri" w:cs="Calibri"/>
          <w:color w:val="0E0E0E"/>
        </w:rPr>
        <w:t>].</w:t>
      </w:r>
    </w:p>
    <w:p w14:paraId="24A874D7" w14:textId="7005CAD9" w:rsidR="00CA46F5" w:rsidRPr="00CA46F5" w:rsidRDefault="00CA46F5" w:rsidP="00925E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lastRenderedPageBreak/>
        <w:t xml:space="preserve">The recent situation of polio spread in the </w:t>
      </w:r>
      <w:r w:rsidR="006B72F0">
        <w:rPr>
          <w:rFonts w:ascii="Calibri" w:eastAsia="Calibri" w:hAnsi="Calibri" w:cs="Calibri"/>
          <w:color w:val="0E0E0E"/>
        </w:rPr>
        <w:t>Middle East</w:t>
      </w:r>
      <w:r>
        <w:rPr>
          <w:rFonts w:ascii="Calibri" w:eastAsia="Calibri" w:hAnsi="Calibri" w:cs="Calibri"/>
          <w:color w:val="0E0E0E"/>
        </w:rPr>
        <w:t xml:space="preserve"> is an example of how local context must be taken into consideration within the current</w:t>
      </w:r>
      <w:r w:rsidRPr="00CA46F5">
        <w:rPr>
          <w:rFonts w:ascii="Calibri" w:eastAsia="Calibri" w:hAnsi="Calibri" w:cs="Calibri"/>
          <w:color w:val="0E0E0E"/>
        </w:rPr>
        <w:t xml:space="preserve"> global effort to eradicate polio. </w:t>
      </w:r>
      <w:r>
        <w:rPr>
          <w:rFonts w:ascii="Calibri" w:eastAsia="Calibri" w:hAnsi="Calibri" w:cs="Calibri"/>
          <w:color w:val="0E0E0E"/>
        </w:rPr>
        <w:t>In the years ahead</w:t>
      </w:r>
      <w:r w:rsidR="002F3137">
        <w:rPr>
          <w:rFonts w:ascii="Calibri" w:eastAsia="Calibri" w:hAnsi="Calibri" w:cs="Calibri"/>
          <w:color w:val="0E0E0E"/>
        </w:rPr>
        <w:t xml:space="preserve">, </w:t>
      </w:r>
      <w:r>
        <w:rPr>
          <w:rFonts w:ascii="Calibri" w:eastAsia="Calibri" w:hAnsi="Calibri" w:cs="Calibri"/>
          <w:color w:val="0E0E0E"/>
        </w:rPr>
        <w:t xml:space="preserve"> we must</w:t>
      </w:r>
      <w:r w:rsidR="005713A4">
        <w:rPr>
          <w:rFonts w:ascii="Calibri" w:eastAsia="Calibri" w:hAnsi="Calibri" w:cs="Calibri"/>
          <w:color w:val="0E0E0E"/>
        </w:rPr>
        <w:t xml:space="preserve"> also </w:t>
      </w:r>
      <w:r>
        <w:rPr>
          <w:rFonts w:ascii="Calibri" w:eastAsia="Calibri" w:hAnsi="Calibri" w:cs="Calibri"/>
          <w:color w:val="0E0E0E"/>
        </w:rPr>
        <w:t>consider the post-COVID pandemic influences: v</w:t>
      </w:r>
      <w:r w:rsidRPr="00CA46F5">
        <w:rPr>
          <w:rFonts w:ascii="Calibri" w:eastAsia="Calibri" w:hAnsi="Calibri" w:cs="Calibri"/>
          <w:color w:val="0E0E0E"/>
        </w:rPr>
        <w:t xml:space="preserve">accine hesitancy and misinformation pose significant obstacles, particularly in areas with low literacy rates where conspiracy theories can spread rapidly. This skepticism undermines efforts to achieve high immunization coverage. </w:t>
      </w:r>
      <w:r w:rsidR="00974835">
        <w:rPr>
          <w:rFonts w:ascii="Calibri" w:eastAsia="Calibri" w:hAnsi="Calibri" w:cs="Calibri"/>
          <w:color w:val="0E0E0E"/>
        </w:rPr>
        <w:t>Additionally</w:t>
      </w:r>
      <w:r w:rsidR="00CA2A48">
        <w:rPr>
          <w:rFonts w:ascii="Calibri" w:eastAsia="Calibri" w:hAnsi="Calibri" w:cs="Calibri"/>
          <w:color w:val="0E0E0E"/>
        </w:rPr>
        <w:t>,</w:t>
      </w:r>
      <w:r>
        <w:rPr>
          <w:rFonts w:ascii="Calibri" w:eastAsia="Calibri" w:hAnsi="Calibri" w:cs="Calibri"/>
          <w:color w:val="0E0E0E"/>
        </w:rPr>
        <w:t xml:space="preserve"> l</w:t>
      </w:r>
      <w:r w:rsidRPr="00CA46F5">
        <w:rPr>
          <w:rFonts w:ascii="Calibri" w:eastAsia="Calibri" w:hAnsi="Calibri" w:cs="Calibri"/>
          <w:color w:val="0E0E0E"/>
        </w:rPr>
        <w:t>ogistical challenges, such as maintaining vaccine efficacy during storage and transportation in remote areas, further complicate the eradication campaign</w:t>
      </w:r>
      <w:r w:rsidRPr="00CA46F5">
        <w:rPr>
          <w:rFonts w:ascii="Calibri" w:eastAsia="Calibri" w:hAnsi="Calibri" w:cs="Calibri"/>
          <w:color w:val="0E0E0E"/>
          <w:rtl/>
        </w:rPr>
        <w:t>.</w:t>
      </w:r>
    </w:p>
    <w:p w14:paraId="6D972F0C" w14:textId="22A93A63" w:rsidR="00CA46F5" w:rsidRPr="00CA46F5" w:rsidRDefault="00CA46F5" w:rsidP="007642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color w:val="0E0E0E"/>
        </w:rPr>
        <w:t xml:space="preserve">The Gaza case is </w:t>
      </w:r>
      <w:proofErr w:type="gramStart"/>
      <w:r>
        <w:rPr>
          <w:rFonts w:ascii="Calibri" w:eastAsia="Calibri" w:hAnsi="Calibri" w:cs="Calibri"/>
          <w:color w:val="0E0E0E"/>
        </w:rPr>
        <w:t>present</w:t>
      </w:r>
      <w:r w:rsidR="00974835">
        <w:rPr>
          <w:rFonts w:ascii="Calibri" w:eastAsia="Calibri" w:hAnsi="Calibri" w:cs="Calibri"/>
          <w:color w:val="0E0E0E"/>
        </w:rPr>
        <w:t>s</w:t>
      </w:r>
      <w:proofErr w:type="gramEnd"/>
      <w:r w:rsidR="00974835">
        <w:rPr>
          <w:rFonts w:ascii="Calibri" w:eastAsia="Calibri" w:hAnsi="Calibri" w:cs="Calibri"/>
          <w:color w:val="0E0E0E"/>
        </w:rPr>
        <w:t xml:space="preserve"> </w:t>
      </w:r>
      <w:r>
        <w:rPr>
          <w:rFonts w:ascii="Calibri" w:eastAsia="Calibri" w:hAnsi="Calibri" w:cs="Calibri"/>
          <w:color w:val="0E0E0E"/>
        </w:rPr>
        <w:t xml:space="preserve"> another major challenge. </w:t>
      </w:r>
      <w:r w:rsidRPr="00CA46F5">
        <w:rPr>
          <w:rFonts w:ascii="Calibri" w:eastAsia="Calibri" w:hAnsi="Calibri" w:cs="Calibri"/>
          <w:color w:val="0E0E0E"/>
        </w:rPr>
        <w:t>The safety of healthcare workers remains a grave concern, with targeted attacks on polio vaccination teams threatening both the lives of workers and the success of immunization campaigns.</w:t>
      </w:r>
      <w:r>
        <w:rPr>
          <w:rFonts w:ascii="Calibri" w:eastAsia="Calibri" w:hAnsi="Calibri" w:cs="Calibri"/>
          <w:color w:val="0E0E0E"/>
        </w:rPr>
        <w:t xml:space="preserve"> </w:t>
      </w:r>
      <w:r w:rsidR="0089776B">
        <w:rPr>
          <w:rFonts w:ascii="Calibri" w:eastAsia="Calibri" w:hAnsi="Calibri" w:cs="Calibri"/>
          <w:color w:val="0E0E0E"/>
        </w:rPr>
        <w:t>E</w:t>
      </w:r>
      <w:r>
        <w:rPr>
          <w:rFonts w:ascii="Calibri" w:eastAsia="Calibri" w:hAnsi="Calibri" w:cs="Calibri"/>
          <w:color w:val="0E0E0E"/>
        </w:rPr>
        <w:t>nsur</w:t>
      </w:r>
      <w:r w:rsidR="00E61BEB">
        <w:rPr>
          <w:rFonts w:ascii="Calibri" w:eastAsia="Calibri" w:hAnsi="Calibri" w:cs="Calibri"/>
          <w:color w:val="0E0E0E"/>
        </w:rPr>
        <w:t>ing</w:t>
      </w:r>
      <w:r>
        <w:rPr>
          <w:rFonts w:ascii="Calibri" w:eastAsia="Calibri" w:hAnsi="Calibri" w:cs="Calibri"/>
          <w:color w:val="0E0E0E"/>
        </w:rPr>
        <w:t xml:space="preserve"> local </w:t>
      </w:r>
      <w:r w:rsidR="00D51FDF">
        <w:rPr>
          <w:rFonts w:ascii="Calibri" w:eastAsia="Calibri" w:hAnsi="Calibri" w:cs="Calibri"/>
          <w:color w:val="0E0E0E"/>
        </w:rPr>
        <w:t>ceasefires</w:t>
      </w:r>
      <w:r>
        <w:rPr>
          <w:rFonts w:ascii="Calibri" w:eastAsia="Calibri" w:hAnsi="Calibri" w:cs="Calibri"/>
          <w:color w:val="0E0E0E"/>
        </w:rPr>
        <w:t xml:space="preserve">  is crucial.</w:t>
      </w:r>
      <w:r w:rsidRPr="00CA46F5">
        <w:rPr>
          <w:rFonts w:ascii="Calibri" w:eastAsia="Calibri" w:hAnsi="Calibri" w:cs="Calibri"/>
          <w:color w:val="0E0E0E"/>
        </w:rPr>
        <w:t xml:space="preserve"> </w:t>
      </w:r>
      <w:r>
        <w:rPr>
          <w:rFonts w:ascii="Calibri" w:eastAsia="Calibri" w:hAnsi="Calibri" w:cs="Calibri"/>
          <w:color w:val="0E0E0E"/>
        </w:rPr>
        <w:t>On top of these considerations, population movement</w:t>
      </w:r>
      <w:r w:rsidRPr="00CA46F5">
        <w:rPr>
          <w:rFonts w:ascii="Calibri" w:eastAsia="Calibri" w:hAnsi="Calibri" w:cs="Calibri"/>
          <w:color w:val="0E0E0E"/>
        </w:rPr>
        <w:t xml:space="preserve"> increases the risk of virus </w:t>
      </w:r>
      <w:proofErr w:type="gramStart"/>
      <w:r w:rsidRPr="00CA46F5">
        <w:rPr>
          <w:rFonts w:ascii="Calibri" w:eastAsia="Calibri" w:hAnsi="Calibri" w:cs="Calibri"/>
          <w:color w:val="0E0E0E"/>
        </w:rPr>
        <w:t>spread</w:t>
      </w:r>
      <w:proofErr w:type="gramEnd"/>
      <w:r w:rsidRPr="00CA46F5">
        <w:rPr>
          <w:rFonts w:ascii="Calibri" w:eastAsia="Calibri" w:hAnsi="Calibri" w:cs="Calibri"/>
          <w:color w:val="0E0E0E"/>
        </w:rPr>
        <w:t xml:space="preserve"> across borders. Weak routine immunization in high-risk </w:t>
      </w:r>
      <w:r w:rsidR="00D1235A">
        <w:rPr>
          <w:rFonts w:ascii="Calibri" w:eastAsia="Calibri" w:hAnsi="Calibri" w:cs="Calibri"/>
          <w:color w:val="0E0E0E"/>
        </w:rPr>
        <w:t xml:space="preserve">environments and among </w:t>
      </w:r>
      <w:r w:rsidRPr="00CA46F5">
        <w:rPr>
          <w:rFonts w:ascii="Calibri" w:eastAsia="Calibri" w:hAnsi="Calibri" w:cs="Calibri"/>
          <w:color w:val="0E0E0E"/>
        </w:rPr>
        <w:t>populations</w:t>
      </w:r>
      <w:r w:rsidR="00D1235A">
        <w:rPr>
          <w:rFonts w:ascii="Calibri" w:eastAsia="Calibri" w:hAnsi="Calibri" w:cs="Calibri"/>
          <w:color w:val="0E0E0E"/>
        </w:rPr>
        <w:t>-in-risk</w:t>
      </w:r>
      <w:r w:rsidRPr="00CA46F5">
        <w:rPr>
          <w:rFonts w:ascii="Calibri" w:eastAsia="Calibri" w:hAnsi="Calibri" w:cs="Calibri"/>
          <w:color w:val="0E0E0E"/>
        </w:rPr>
        <w:t xml:space="preserve"> leaves children vulnerable to infection, while competing health priorities and disease outbreaks strain resources and attention away from polio eradication efforts</w:t>
      </w:r>
      <w:r w:rsidRPr="00CA46F5">
        <w:rPr>
          <w:rFonts w:ascii="Calibri" w:eastAsia="Calibri" w:hAnsi="Calibri" w:cs="Calibri"/>
          <w:color w:val="0E0E0E"/>
          <w:rtl/>
        </w:rPr>
        <w:t>.</w:t>
      </w:r>
    </w:p>
    <w:p w14:paraId="5059151E" w14:textId="0FF33544" w:rsidR="00CA46F5" w:rsidRDefault="00CA46F5" w:rsidP="003618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sidRPr="00CA46F5">
        <w:rPr>
          <w:rFonts w:ascii="Calibri" w:eastAsia="Calibri" w:hAnsi="Calibri" w:cs="Calibri"/>
          <w:color w:val="0E0E0E"/>
        </w:rPr>
        <w:t>Funding gaps continue to be a significant challenge, as sustained financial support is crucial for maintaining eradication efforts. Additionally, increased detection of poliovirus in environmental samples, such as sewage, indicates ongoing transmission risks that must be addressed to achieve global eradication.</w:t>
      </w:r>
    </w:p>
    <w:p w14:paraId="004F1F7D" w14:textId="5131A34F" w:rsidR="00CA46F5" w:rsidRPr="009E69C9" w:rsidRDefault="00CA46F5" w:rsidP="008F1B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b/>
          <w:color w:val="0E0E0E"/>
        </w:rPr>
      </w:pPr>
      <w:r>
        <w:rPr>
          <w:rFonts w:ascii="Calibri" w:eastAsia="Calibri" w:hAnsi="Calibri" w:cs="Calibri"/>
          <w:color w:val="0E0E0E"/>
        </w:rPr>
        <w:t>The Gaza outbreak, combined with the previously detected cVDPV2 in Israel, underscores the need for coordinated regional efforts and sustained vaccination campaigns to prevent further</w:t>
      </w:r>
      <w:r w:rsidR="00ED3CC1">
        <w:rPr>
          <w:rFonts w:ascii="Calibri" w:eastAsia="Calibri" w:hAnsi="Calibri" w:cs="Calibri"/>
          <w:color w:val="0E0E0E"/>
        </w:rPr>
        <w:t>.</w:t>
      </w:r>
      <w:r>
        <w:rPr>
          <w:rFonts w:ascii="Calibri" w:eastAsia="Calibri" w:hAnsi="Calibri" w:cs="Calibri"/>
          <w:color w:val="0E0E0E"/>
        </w:rPr>
        <w:t xml:space="preserve"> </w:t>
      </w:r>
      <w:sdt>
        <w:sdtPr>
          <w:tag w:val="goog_rdk_27"/>
          <w:id w:val="-319893077"/>
        </w:sdtPr>
        <w:sdtContent>
          <w:r>
            <w:rPr>
              <w:rFonts w:ascii="Calibri" w:eastAsia="Calibri" w:hAnsi="Calibri" w:cs="Calibri"/>
              <w:color w:val="0E0E0E"/>
            </w:rPr>
            <w:t>virus spread</w:t>
          </w:r>
        </w:sdtContent>
      </w:sdt>
      <w:sdt>
        <w:sdtPr>
          <w:tag w:val="goog_rdk_28"/>
          <w:id w:val="-32661469"/>
        </w:sdtPr>
        <w:sdtContent/>
      </w:sdt>
      <w:r>
        <w:rPr>
          <w:rFonts w:ascii="Calibri" w:eastAsia="Calibri" w:hAnsi="Calibri" w:cs="Calibri"/>
          <w:color w:val="0E0E0E"/>
        </w:rPr>
        <w:t>.</w:t>
      </w:r>
      <w:r w:rsidR="008F1B15">
        <w:rPr>
          <w:rFonts w:ascii="Calibri" w:eastAsia="Calibri" w:hAnsi="Calibri" w:cs="Calibri"/>
          <w:color w:val="0E0E0E"/>
        </w:rPr>
        <w:t xml:space="preserve"> </w:t>
      </w:r>
      <w:r w:rsidR="00BF5A4B">
        <w:rPr>
          <w:rFonts w:ascii="Calibri" w:eastAsia="Calibri" w:hAnsi="Calibri" w:cs="Calibri"/>
          <w:color w:val="0E0E0E"/>
        </w:rPr>
        <w:t xml:space="preserve">Recent events both in Israel and Gaza are showing new challenges, not only for the region but also for the global eradication campaign, bringing forward the importance of circulating vaccine-derived poliovirus and the best ways to deal with this with the current existing vaccines available, gaps between different countries healthcare systems and existing military and political conflicts. </w:t>
      </w:r>
    </w:p>
    <w:p w14:paraId="72D7CBB9" w14:textId="7852E224" w:rsidR="007274C1" w:rsidRDefault="007274C1" w:rsidP="00727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sidRPr="007274C1">
        <w:rPr>
          <w:rFonts w:ascii="Calibri" w:eastAsia="Calibri" w:hAnsi="Calibri" w:cs="Calibri"/>
          <w:color w:val="0E0E0E"/>
        </w:rPr>
        <w:t xml:space="preserve">The complex situation in the Middle East </w:t>
      </w:r>
      <w:r w:rsidR="00ED3CC1">
        <w:rPr>
          <w:rFonts w:ascii="Calibri" w:eastAsia="Calibri" w:hAnsi="Calibri" w:cs="Calibri"/>
          <w:color w:val="0E0E0E"/>
        </w:rPr>
        <w:t>can potentially</w:t>
      </w:r>
      <w:r w:rsidRPr="007274C1">
        <w:rPr>
          <w:rFonts w:ascii="Calibri" w:eastAsia="Calibri" w:hAnsi="Calibri" w:cs="Calibri"/>
          <w:color w:val="0E0E0E"/>
        </w:rPr>
        <w:t xml:space="preserve"> drive the emergence and </w:t>
      </w:r>
      <w:proofErr w:type="gramStart"/>
      <w:r w:rsidRPr="007274C1">
        <w:rPr>
          <w:rFonts w:ascii="Calibri" w:eastAsia="Calibri" w:hAnsi="Calibri" w:cs="Calibri"/>
          <w:color w:val="0E0E0E"/>
        </w:rPr>
        <w:t>reemergence</w:t>
      </w:r>
      <w:proofErr w:type="gramEnd"/>
      <w:r w:rsidRPr="007274C1">
        <w:rPr>
          <w:rFonts w:ascii="Calibri" w:eastAsia="Calibri" w:hAnsi="Calibri" w:cs="Calibri"/>
          <w:color w:val="0E0E0E"/>
        </w:rPr>
        <w:t xml:space="preserve"> of infectious diseases across the region, making it essential for countries to collaborate and implement cross-border responses. There are successful precedents for such cooperation, including the establishment of the Middle East Consortium on Infectious Disease Surveillance (MECIDS) </w:t>
      </w:r>
      <w:r>
        <w:rPr>
          <w:rFonts w:ascii="Calibri" w:eastAsia="Calibri" w:hAnsi="Calibri" w:cs="Calibri"/>
          <w:color w:val="0E0E0E"/>
        </w:rPr>
        <w:t>[</w:t>
      </w:r>
      <w:r w:rsidR="007C3624">
        <w:rPr>
          <w:rFonts w:ascii="Calibri" w:eastAsia="Calibri" w:hAnsi="Calibri" w:cs="Calibri"/>
          <w:color w:val="0E0E0E"/>
        </w:rPr>
        <w:t>19</w:t>
      </w:r>
      <w:r>
        <w:rPr>
          <w:rFonts w:ascii="Calibri" w:eastAsia="Calibri" w:hAnsi="Calibri" w:cs="Calibri"/>
          <w:color w:val="0E0E0E"/>
        </w:rPr>
        <w:t>]</w:t>
      </w:r>
      <w:r w:rsidRPr="007274C1">
        <w:rPr>
          <w:rFonts w:ascii="Calibri" w:eastAsia="Calibri" w:hAnsi="Calibri" w:cs="Calibri"/>
          <w:color w:val="0E0E0E"/>
        </w:rPr>
        <w:t xml:space="preserve">, as well as joint efforts during the 2009 H1N1 pandemic </w:t>
      </w:r>
      <w:r>
        <w:rPr>
          <w:rFonts w:ascii="Calibri" w:eastAsia="Calibri" w:hAnsi="Calibri" w:cs="Calibri"/>
          <w:color w:val="0E0E0E"/>
        </w:rPr>
        <w:t>[</w:t>
      </w:r>
      <w:r w:rsidR="007C3624">
        <w:rPr>
          <w:rFonts w:ascii="Calibri" w:eastAsia="Calibri" w:hAnsi="Calibri" w:cs="Calibri"/>
          <w:color w:val="0E0E0E"/>
        </w:rPr>
        <w:t>20</w:t>
      </w:r>
      <w:r>
        <w:rPr>
          <w:rFonts w:ascii="Calibri" w:eastAsia="Calibri" w:hAnsi="Calibri" w:cs="Calibri"/>
          <w:color w:val="0E0E0E"/>
        </w:rPr>
        <w:t xml:space="preserve">] </w:t>
      </w:r>
      <w:r w:rsidRPr="007274C1">
        <w:rPr>
          <w:rFonts w:ascii="Calibri" w:eastAsia="Calibri" w:hAnsi="Calibri" w:cs="Calibri"/>
          <w:color w:val="0E0E0E"/>
        </w:rPr>
        <w:t xml:space="preserve">and the 2013 silent </w:t>
      </w:r>
      <w:r w:rsidR="004769F9">
        <w:rPr>
          <w:rFonts w:ascii="Calibri" w:eastAsia="Calibri" w:hAnsi="Calibri" w:cs="Calibri"/>
          <w:color w:val="0E0E0E"/>
        </w:rPr>
        <w:t>WPV1</w:t>
      </w:r>
      <w:r w:rsidRPr="007274C1">
        <w:rPr>
          <w:rFonts w:ascii="Calibri" w:eastAsia="Calibri" w:hAnsi="Calibri" w:cs="Calibri"/>
          <w:color w:val="0E0E0E"/>
        </w:rPr>
        <w:t xml:space="preserve"> outbreak</w:t>
      </w:r>
      <w:r>
        <w:rPr>
          <w:rFonts w:ascii="Calibri" w:eastAsia="Calibri" w:hAnsi="Calibri" w:cs="Calibri"/>
          <w:color w:val="0E0E0E"/>
        </w:rPr>
        <w:t xml:space="preserve"> [</w:t>
      </w:r>
      <w:r w:rsidR="00A6304F">
        <w:rPr>
          <w:rFonts w:ascii="Calibri" w:eastAsia="Calibri" w:hAnsi="Calibri" w:cs="Calibri"/>
          <w:color w:val="0E0E0E"/>
        </w:rPr>
        <w:t>10</w:t>
      </w:r>
      <w:r>
        <w:rPr>
          <w:rFonts w:ascii="Calibri" w:eastAsia="Calibri" w:hAnsi="Calibri" w:cs="Calibri"/>
          <w:color w:val="0E0E0E"/>
        </w:rPr>
        <w:t>]</w:t>
      </w:r>
      <w:r w:rsidRPr="007274C1">
        <w:rPr>
          <w:rFonts w:ascii="Calibri" w:eastAsia="Calibri" w:hAnsi="Calibri" w:cs="Calibri"/>
          <w:color w:val="0E0E0E"/>
        </w:rPr>
        <w:t>.</w:t>
      </w:r>
    </w:p>
    <w:p w14:paraId="0000001C" w14:textId="7205723F" w:rsidR="005020D6" w:rsidRDefault="00C92370" w:rsidP="00651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tl/>
        </w:rPr>
      </w:pPr>
      <w:r>
        <w:rPr>
          <w:rFonts w:ascii="Calibri" w:eastAsia="Calibri" w:hAnsi="Calibri" w:cs="Calibri"/>
          <w:color w:val="0E0E0E"/>
        </w:rPr>
        <w:lastRenderedPageBreak/>
        <w:t xml:space="preserve">The current situation of cVDPV2 in the </w:t>
      </w:r>
      <w:proofErr w:type="spellStart"/>
      <w:r>
        <w:rPr>
          <w:rFonts w:ascii="Calibri" w:eastAsia="Calibri" w:hAnsi="Calibri" w:cs="Calibri"/>
          <w:color w:val="0E0E0E"/>
        </w:rPr>
        <w:t>area,</w:t>
      </w:r>
      <w:r w:rsidR="002E6511">
        <w:rPr>
          <w:rFonts w:ascii="Calibri" w:eastAsia="Calibri" w:hAnsi="Calibri" w:cs="Calibri"/>
          <w:color w:val="0E0E0E"/>
        </w:rPr>
        <w:t>may</w:t>
      </w:r>
      <w:proofErr w:type="spellEnd"/>
      <w:r w:rsidR="002E6511">
        <w:rPr>
          <w:rFonts w:ascii="Calibri" w:eastAsia="Calibri" w:hAnsi="Calibri" w:cs="Calibri"/>
          <w:color w:val="0E0E0E"/>
        </w:rPr>
        <w:t xml:space="preserve"> require </w:t>
      </w:r>
      <w:r w:rsidR="00DB418C">
        <w:rPr>
          <w:rFonts w:ascii="Calibri" w:eastAsia="Calibri" w:hAnsi="Calibri" w:cs="Calibri"/>
          <w:color w:val="0E0E0E"/>
        </w:rPr>
        <w:t>an expanded vaccination campaign with nOPV2 [</w:t>
      </w:r>
      <w:r w:rsidR="007C3624">
        <w:rPr>
          <w:rFonts w:ascii="Calibri" w:eastAsia="Calibri" w:hAnsi="Calibri" w:cs="Calibri"/>
          <w:color w:val="0E0E0E"/>
        </w:rPr>
        <w:t>21</w:t>
      </w:r>
      <w:r w:rsidR="00651AD7">
        <w:rPr>
          <w:rFonts w:ascii="Calibri" w:eastAsia="Calibri" w:hAnsi="Calibri" w:cs="Calibri"/>
          <w:color w:val="0E0E0E"/>
        </w:rPr>
        <w:t xml:space="preserve">] and </w:t>
      </w:r>
      <w:r w:rsidR="007274C1" w:rsidRPr="007274C1">
        <w:rPr>
          <w:rFonts w:ascii="Calibri" w:eastAsia="Calibri" w:hAnsi="Calibri" w:cs="Calibri"/>
          <w:color w:val="0E0E0E"/>
        </w:rPr>
        <w:t>urge</w:t>
      </w:r>
      <w:r w:rsidR="00651AD7">
        <w:rPr>
          <w:rFonts w:ascii="Calibri" w:eastAsia="Calibri" w:hAnsi="Calibri" w:cs="Calibri"/>
          <w:color w:val="0E0E0E"/>
        </w:rPr>
        <w:t>s</w:t>
      </w:r>
      <w:r w:rsidR="007274C1" w:rsidRPr="007274C1">
        <w:rPr>
          <w:rFonts w:ascii="Calibri" w:eastAsia="Calibri" w:hAnsi="Calibri" w:cs="Calibri"/>
          <w:color w:val="0E0E0E"/>
        </w:rPr>
        <w:t xml:space="preserve"> the creation of similar initiatives, in partnership with international bodies and organizations, to coordinate responses to the current polio outbreak in Gaza and address other infectious disease threats</w:t>
      </w:r>
      <w:r w:rsidR="00651AD7">
        <w:rPr>
          <w:rFonts w:ascii="Calibri" w:eastAsia="Calibri" w:hAnsi="Calibri" w:cs="Calibri"/>
          <w:color w:val="0E0E0E"/>
        </w:rPr>
        <w:t xml:space="preserve"> which </w:t>
      </w:r>
      <w:r w:rsidR="00EF390E">
        <w:rPr>
          <w:rFonts w:ascii="Calibri" w:eastAsia="Calibri" w:hAnsi="Calibri" w:cs="Calibri"/>
          <w:color w:val="0E0E0E"/>
        </w:rPr>
        <w:t>can be attributed to the public health crisis related to the conflict in the Middle East.</w:t>
      </w:r>
    </w:p>
    <w:p w14:paraId="2A1FF0E0" w14:textId="77777777" w:rsidR="00ED3CC1" w:rsidRDefault="00ED3CC1" w:rsidP="00ED3C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p>
    <w:p w14:paraId="123248A5" w14:textId="524DFF52" w:rsidR="00ED3CC1" w:rsidRPr="00D658BE" w:rsidRDefault="00ED3CC1" w:rsidP="00ED3C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b/>
          <w:bCs/>
          <w:color w:val="0E0E0E"/>
        </w:rPr>
      </w:pPr>
      <w:r w:rsidRPr="00D658BE">
        <w:rPr>
          <w:rFonts w:ascii="Calibri" w:eastAsia="Calibri" w:hAnsi="Calibri" w:cs="Calibri"/>
          <w:b/>
          <w:bCs/>
          <w:color w:val="0E0E0E"/>
        </w:rPr>
        <w:t>Conclusion</w:t>
      </w:r>
    </w:p>
    <w:p w14:paraId="5CED657B" w14:textId="735B874C" w:rsidR="002C1737" w:rsidRDefault="002C1737" w:rsidP="002C17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sidRPr="002C1737">
        <w:rPr>
          <w:rFonts w:ascii="Calibri" w:eastAsia="Calibri" w:hAnsi="Calibri" w:cs="Calibri"/>
          <w:color w:val="0E0E0E"/>
        </w:rPr>
        <w:t xml:space="preserve">The recent cVDPV2 outbreak in Gaza underscores the fragility of global polio eradication efforts and the critical importance of maintaining high vaccination coverage, </w:t>
      </w:r>
      <w:r>
        <w:rPr>
          <w:rFonts w:ascii="Calibri" w:eastAsia="Calibri" w:hAnsi="Calibri" w:cs="Calibri"/>
          <w:color w:val="0E0E0E"/>
        </w:rPr>
        <w:t xml:space="preserve">especially </w:t>
      </w:r>
      <w:r w:rsidRPr="002C1737">
        <w:rPr>
          <w:rFonts w:ascii="Calibri" w:eastAsia="Calibri" w:hAnsi="Calibri" w:cs="Calibri"/>
          <w:color w:val="0E0E0E"/>
        </w:rPr>
        <w:t xml:space="preserve">in conflict zones. This situation highlights the interconnectedness of public health across borders and the need for coordinated regional responses. The successful implementation of vaccination campaigns amidst conflict demonstrates the challenges and possibilities </w:t>
      </w:r>
      <w:r w:rsidR="000C1378">
        <w:rPr>
          <w:rFonts w:ascii="Calibri" w:eastAsia="Calibri" w:hAnsi="Calibri" w:cs="Calibri"/>
          <w:color w:val="0E0E0E"/>
        </w:rPr>
        <w:t>of</w:t>
      </w:r>
      <w:r w:rsidRPr="002C1737">
        <w:rPr>
          <w:rFonts w:ascii="Calibri" w:eastAsia="Calibri" w:hAnsi="Calibri" w:cs="Calibri"/>
          <w:color w:val="0E0E0E"/>
        </w:rPr>
        <w:t xml:space="preserve"> </w:t>
      </w:r>
      <w:r>
        <w:rPr>
          <w:rFonts w:ascii="Calibri" w:eastAsia="Calibri" w:hAnsi="Calibri" w:cs="Calibri"/>
          <w:color w:val="0E0E0E"/>
        </w:rPr>
        <w:t>crises</w:t>
      </w:r>
      <w:r w:rsidRPr="002C1737">
        <w:rPr>
          <w:rFonts w:ascii="Calibri" w:eastAsia="Calibri" w:hAnsi="Calibri" w:cs="Calibri"/>
          <w:color w:val="0E0E0E"/>
        </w:rPr>
        <w:t xml:space="preserve">. </w:t>
      </w:r>
      <w:r w:rsidR="000C1378">
        <w:rPr>
          <w:rFonts w:ascii="Calibri" w:eastAsia="Calibri" w:hAnsi="Calibri" w:cs="Calibri"/>
          <w:color w:val="0E0E0E"/>
        </w:rPr>
        <w:t>Developing and deploying</w:t>
      </w:r>
      <w:r w:rsidRPr="002C1737">
        <w:rPr>
          <w:rFonts w:ascii="Calibri" w:eastAsia="Calibri" w:hAnsi="Calibri" w:cs="Calibri"/>
          <w:color w:val="0E0E0E"/>
        </w:rPr>
        <w:t xml:space="preserve"> more stable vaccines, such </w:t>
      </w:r>
      <w:r w:rsidR="00EC44D1">
        <w:rPr>
          <w:rFonts w:ascii="Calibri" w:eastAsia="Calibri" w:hAnsi="Calibri" w:cs="Calibri"/>
          <w:color w:val="0E0E0E"/>
        </w:rPr>
        <w:t xml:space="preserve">targeted </w:t>
      </w:r>
      <w:r w:rsidRPr="002C1737">
        <w:rPr>
          <w:rFonts w:ascii="Calibri" w:eastAsia="Calibri" w:hAnsi="Calibri" w:cs="Calibri"/>
          <w:color w:val="0E0E0E"/>
        </w:rPr>
        <w:t>nOPV2</w:t>
      </w:r>
      <w:r w:rsidR="00EC44D1">
        <w:rPr>
          <w:rFonts w:ascii="Calibri" w:eastAsia="Calibri" w:hAnsi="Calibri" w:cs="Calibri"/>
          <w:color w:val="0E0E0E"/>
        </w:rPr>
        <w:t xml:space="preserve"> campaigns</w:t>
      </w:r>
      <w:r w:rsidRPr="002C1737">
        <w:rPr>
          <w:rFonts w:ascii="Calibri" w:eastAsia="Calibri" w:hAnsi="Calibri" w:cs="Calibri"/>
          <w:color w:val="0E0E0E"/>
        </w:rPr>
        <w:t>,</w:t>
      </w:r>
      <w:r w:rsidR="000C1378">
        <w:rPr>
          <w:rFonts w:ascii="Calibri" w:eastAsia="Calibri" w:hAnsi="Calibri" w:cs="Calibri"/>
          <w:color w:val="0E0E0E"/>
        </w:rPr>
        <w:t xml:space="preserve"> while ensuring </w:t>
      </w:r>
      <w:r w:rsidR="00EC44D1">
        <w:rPr>
          <w:rFonts w:ascii="Calibri" w:eastAsia="Calibri" w:hAnsi="Calibri" w:cs="Calibri"/>
          <w:color w:val="0E0E0E"/>
        </w:rPr>
        <w:t>comprehensive coverage with IPV,</w:t>
      </w:r>
      <w:r w:rsidRPr="002C1737">
        <w:rPr>
          <w:rFonts w:ascii="Calibri" w:eastAsia="Calibri" w:hAnsi="Calibri" w:cs="Calibri"/>
          <w:color w:val="0E0E0E"/>
        </w:rPr>
        <w:t xml:space="preserve"> offer hope in preventing future outbreaks. However, the ultimate success of polio eradication will depend on sustained political will, international cooperation, and innovative strategies to reach every child with life-saving vaccines. As we navigate the complexities of the "polio endgame," the lessons learned from the Gaza outbreak will be invaluable in shaping global health policies and preparedness for future infectious disease challenges.</w:t>
      </w:r>
    </w:p>
    <w:p w14:paraId="518F7EFE" w14:textId="77777777" w:rsidR="00ED3CC1" w:rsidRDefault="00ED3CC1" w:rsidP="00ED3C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p>
    <w:p w14:paraId="0000001D" w14:textId="77777777" w:rsidR="005020D6" w:rsidRDefault="005020D6" w:rsidP="00361811">
      <w:pPr>
        <w:bidi w:val="0"/>
        <w:rPr>
          <w:rFonts w:ascii="Calibri" w:eastAsia="Calibri" w:hAnsi="Calibri" w:cs="Calibri"/>
          <w:b/>
          <w:color w:val="0E0E0E"/>
        </w:rPr>
      </w:pPr>
    </w:p>
    <w:p w14:paraId="0000001E" w14:textId="77777777" w:rsidR="005020D6" w:rsidRDefault="00CA46F5" w:rsidP="003618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r>
        <w:rPr>
          <w:rFonts w:ascii="Calibri" w:eastAsia="Calibri" w:hAnsi="Calibri" w:cs="Calibri"/>
          <w:b/>
          <w:color w:val="0E0E0E"/>
        </w:rPr>
        <w:t>References:</w:t>
      </w:r>
    </w:p>
    <w:p w14:paraId="0000001F" w14:textId="77777777" w:rsidR="005020D6" w:rsidRDefault="005020D6" w:rsidP="003618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24" w:lineRule="auto"/>
        <w:rPr>
          <w:rFonts w:ascii="Calibri" w:eastAsia="Calibri" w:hAnsi="Calibri" w:cs="Calibri"/>
          <w:color w:val="0E0E0E"/>
        </w:rPr>
      </w:pPr>
    </w:p>
    <w:p w14:paraId="00000020" w14:textId="77777777" w:rsidR="005020D6" w:rsidRDefault="00CA46F5" w:rsidP="00361811">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color w:val="0E0E0E"/>
        </w:rPr>
      </w:pPr>
      <w:r>
        <w:rPr>
          <w:rFonts w:ascii="Calibri" w:eastAsia="Calibri" w:hAnsi="Calibri" w:cs="Calibri"/>
          <w:b/>
          <w:color w:val="0E0E0E"/>
        </w:rPr>
        <w:t>World Health Organization.</w:t>
      </w:r>
      <w:r>
        <w:rPr>
          <w:rFonts w:ascii="Calibri" w:eastAsia="Calibri" w:hAnsi="Calibri" w:cs="Calibri"/>
          <w:color w:val="0E0E0E"/>
        </w:rPr>
        <w:t xml:space="preserve"> “Poliovirus detected from environmental samples in Israel and West Bank and Gaza Strip.” Disease Outbreak News, 20 September 2013.</w:t>
      </w:r>
    </w:p>
    <w:p w14:paraId="079BFC45" w14:textId="0E5CDD95" w:rsidR="00465FE8" w:rsidRPr="00465FE8" w:rsidRDefault="0078171C" w:rsidP="0078171C">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color w:val="0E0E0E"/>
        </w:rPr>
      </w:pPr>
      <w:r w:rsidRPr="00030EB2">
        <w:rPr>
          <w:rFonts w:ascii="Calibri" w:eastAsia="Calibri" w:hAnsi="Calibri" w:cs="Calibri"/>
          <w:b/>
          <w:bCs/>
          <w:color w:val="0E0E0E"/>
        </w:rPr>
        <w:t>Tulchinsky T</w:t>
      </w:r>
      <w:r w:rsidRPr="0078171C">
        <w:rPr>
          <w:rFonts w:ascii="Calibri" w:eastAsia="Calibri" w:hAnsi="Calibri" w:cs="Calibri"/>
          <w:color w:val="0E0E0E"/>
        </w:rPr>
        <w:t xml:space="preserve">. Professor Natan Goldblum and the combined vaccination program in Gaza. </w:t>
      </w:r>
      <w:proofErr w:type="gramStart"/>
      <w:r w:rsidRPr="0078171C">
        <w:rPr>
          <w:rFonts w:ascii="Calibri" w:eastAsia="Calibri" w:hAnsi="Calibri" w:cs="Calibri"/>
          <w:color w:val="0E0E0E"/>
        </w:rPr>
        <w:t>Am</w:t>
      </w:r>
      <w:proofErr w:type="gramEnd"/>
      <w:r w:rsidRPr="0078171C">
        <w:rPr>
          <w:rFonts w:ascii="Calibri" w:eastAsia="Calibri" w:hAnsi="Calibri" w:cs="Calibri"/>
          <w:color w:val="0E0E0E"/>
        </w:rPr>
        <w:t xml:space="preserve"> J Public Health. 2011 May;101(5):774-5; author reply 775. </w:t>
      </w:r>
      <w:proofErr w:type="spellStart"/>
      <w:r w:rsidRPr="0078171C">
        <w:rPr>
          <w:rFonts w:ascii="Calibri" w:eastAsia="Calibri" w:hAnsi="Calibri" w:cs="Calibri"/>
          <w:color w:val="0E0E0E"/>
        </w:rPr>
        <w:t>doi</w:t>
      </w:r>
      <w:proofErr w:type="spellEnd"/>
      <w:r w:rsidRPr="0078171C">
        <w:rPr>
          <w:rFonts w:ascii="Calibri" w:eastAsia="Calibri" w:hAnsi="Calibri" w:cs="Calibri"/>
          <w:color w:val="0E0E0E"/>
        </w:rPr>
        <w:t>: 10.2105/AJPH.2010.300116. PMID: 21490330; PMCID: PMC3076401.</w:t>
      </w:r>
    </w:p>
    <w:p w14:paraId="0629A71B" w14:textId="77777777" w:rsidR="00465FE8" w:rsidRDefault="00465FE8" w:rsidP="00465FE8">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color w:val="0E0E0E"/>
        </w:rPr>
      </w:pPr>
      <w:r w:rsidRPr="00764287">
        <w:rPr>
          <w:rFonts w:ascii="Calibri" w:eastAsia="Calibri" w:hAnsi="Calibri" w:cs="Calibri"/>
          <w:b/>
          <w:color w:val="0E0E0E"/>
          <w:lang w:val="nl-BE"/>
        </w:rPr>
        <w:t xml:space="preserve">Slater, P. E., et al. </w:t>
      </w:r>
      <w:r>
        <w:rPr>
          <w:rFonts w:ascii="Calibri" w:eastAsia="Calibri" w:hAnsi="Calibri" w:cs="Calibri"/>
          <w:color w:val="0E0E0E"/>
        </w:rPr>
        <w:t>“Poliomyelitis outbreak in Israel in 1988: a report with two commentaries.” The Lancet, 1990</w:t>
      </w:r>
    </w:p>
    <w:p w14:paraId="5A730C61" w14:textId="77777777" w:rsidR="0090026D" w:rsidRPr="0090026D" w:rsidRDefault="0090026D" w:rsidP="0090026D">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color w:val="0E0E0E"/>
        </w:rPr>
      </w:pPr>
      <w:proofErr w:type="spellStart"/>
      <w:r w:rsidRPr="0090026D">
        <w:rPr>
          <w:rFonts w:ascii="Calibri" w:eastAsia="Calibri" w:hAnsi="Calibri" w:cs="Calibri"/>
          <w:color w:val="0E0E0E"/>
        </w:rPr>
        <w:t>Flahault</w:t>
      </w:r>
      <w:proofErr w:type="spellEnd"/>
      <w:r w:rsidRPr="0090026D">
        <w:rPr>
          <w:rFonts w:ascii="Calibri" w:eastAsia="Calibri" w:hAnsi="Calibri" w:cs="Calibri"/>
          <w:color w:val="0E0E0E"/>
        </w:rPr>
        <w:t xml:space="preserve"> A, Orenstein W, Garon J, Kew O, Bickford J, Tulchinsky T. Comparing Israeli and Palestinian polio vaccination policies and the challenges of silent </w:t>
      </w:r>
      <w:r w:rsidRPr="0090026D">
        <w:rPr>
          <w:rFonts w:ascii="Calibri" w:eastAsia="Calibri" w:hAnsi="Calibri" w:cs="Calibri"/>
          <w:color w:val="0E0E0E"/>
        </w:rPr>
        <w:lastRenderedPageBreak/>
        <w:t xml:space="preserve">entry of wild poliovirus in 2013-14: a 'natural experiment'. Int J Public Health. 2015 Nov;60(7):765-6. </w:t>
      </w:r>
      <w:proofErr w:type="spellStart"/>
      <w:r w:rsidRPr="0090026D">
        <w:rPr>
          <w:rFonts w:ascii="Calibri" w:eastAsia="Calibri" w:hAnsi="Calibri" w:cs="Calibri"/>
          <w:color w:val="0E0E0E"/>
        </w:rPr>
        <w:t>doi</w:t>
      </w:r>
      <w:proofErr w:type="spellEnd"/>
      <w:r w:rsidRPr="0090026D">
        <w:rPr>
          <w:rFonts w:ascii="Calibri" w:eastAsia="Calibri" w:hAnsi="Calibri" w:cs="Calibri"/>
          <w:color w:val="0E0E0E"/>
        </w:rPr>
        <w:t>: 10.1007/s00038-015-0700-0. PMID: 26140857.</w:t>
      </w:r>
      <w:r w:rsidRPr="0090026D">
        <w:rPr>
          <w:rFonts w:ascii="Calibri" w:eastAsia="Calibri" w:hAnsi="Calibri" w:cs="Calibri"/>
          <w:b/>
          <w:color w:val="0E0E0E"/>
        </w:rPr>
        <w:t xml:space="preserve"> </w:t>
      </w:r>
    </w:p>
    <w:p w14:paraId="737157CE" w14:textId="4ED19CA4" w:rsidR="00030EB2" w:rsidRDefault="00030EB2" w:rsidP="0090026D">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color w:val="0E0E0E"/>
        </w:rPr>
      </w:pPr>
      <w:r>
        <w:rPr>
          <w:rFonts w:ascii="Calibri" w:eastAsia="Calibri" w:hAnsi="Calibri" w:cs="Calibri"/>
          <w:b/>
          <w:color w:val="0E0E0E"/>
        </w:rPr>
        <w:t xml:space="preserve">Anis, E., Kopel, E., Singer, S. R., </w:t>
      </w:r>
      <w:proofErr w:type="spellStart"/>
      <w:r>
        <w:rPr>
          <w:rFonts w:ascii="Calibri" w:eastAsia="Calibri" w:hAnsi="Calibri" w:cs="Calibri"/>
          <w:b/>
          <w:color w:val="0E0E0E"/>
        </w:rPr>
        <w:t>Kaliner</w:t>
      </w:r>
      <w:proofErr w:type="spellEnd"/>
      <w:r>
        <w:rPr>
          <w:rFonts w:ascii="Calibri" w:eastAsia="Calibri" w:hAnsi="Calibri" w:cs="Calibri"/>
          <w:b/>
          <w:color w:val="0E0E0E"/>
        </w:rPr>
        <w:t>, E., Grotto, I.</w:t>
      </w:r>
      <w:r>
        <w:rPr>
          <w:rFonts w:ascii="Calibri" w:eastAsia="Calibri" w:hAnsi="Calibri" w:cs="Calibri"/>
          <w:color w:val="0E0E0E"/>
        </w:rPr>
        <w:t xml:space="preserve"> Insidious Reintroduction of Wild Poliovirus into Israel, 2013. </w:t>
      </w:r>
      <w:r>
        <w:rPr>
          <w:rFonts w:ascii="Calibri" w:eastAsia="Calibri" w:hAnsi="Calibri" w:cs="Calibri"/>
          <w:i/>
          <w:color w:val="0E0E0E"/>
        </w:rPr>
        <w:t>Euro Surveillance</w:t>
      </w:r>
      <w:r>
        <w:rPr>
          <w:rFonts w:ascii="Calibri" w:eastAsia="Calibri" w:hAnsi="Calibri" w:cs="Calibri"/>
          <w:color w:val="0E0E0E"/>
        </w:rPr>
        <w:t>, 2013.</w:t>
      </w:r>
    </w:p>
    <w:p w14:paraId="07C89C79" w14:textId="284C7867" w:rsidR="0058602D" w:rsidRDefault="0058602D" w:rsidP="0058602D">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
          <w:color w:val="0E0E0E"/>
        </w:rPr>
      </w:pPr>
      <w:r w:rsidRPr="0058602D">
        <w:rPr>
          <w:rFonts w:ascii="Calibri" w:eastAsia="Calibri" w:hAnsi="Calibri" w:cs="Calibri"/>
          <w:b/>
          <w:color w:val="0E0E0E"/>
        </w:rPr>
        <w:t>WHO</w:t>
      </w:r>
      <w:r>
        <w:rPr>
          <w:rFonts w:ascii="Calibri" w:eastAsia="Calibri" w:hAnsi="Calibri" w:cs="Calibri"/>
          <w:b/>
          <w:color w:val="0E0E0E"/>
        </w:rPr>
        <w:t xml:space="preserve"> </w:t>
      </w:r>
      <w:r w:rsidRPr="0058602D">
        <w:rPr>
          <w:rFonts w:ascii="Calibri" w:eastAsia="Calibri" w:hAnsi="Calibri" w:cs="Calibri"/>
          <w:b/>
          <w:color w:val="0E0E0E"/>
        </w:rPr>
        <w:t>Polio Eradication Initiative</w:t>
      </w:r>
      <w:r w:rsidRPr="0058602D">
        <w:rPr>
          <w:rFonts w:ascii="Calibri" w:eastAsia="Calibri" w:hAnsi="Calibri" w:cs="Calibri"/>
          <w:bCs/>
          <w:color w:val="0E0E0E"/>
        </w:rPr>
        <w:t>. Occupied Palestinian territory certification status</w:t>
      </w:r>
      <w:r>
        <w:rPr>
          <w:rFonts w:ascii="Calibri" w:eastAsia="Calibri" w:hAnsi="Calibri" w:cs="Calibri"/>
          <w:b/>
          <w:color w:val="0E0E0E"/>
        </w:rPr>
        <w:t xml:space="preserve">: </w:t>
      </w:r>
      <w:hyperlink r:id="rId7" w:history="1">
        <w:r w:rsidRPr="005D70B4">
          <w:rPr>
            <w:rStyle w:val="Hyperlink"/>
            <w:rFonts w:ascii="Calibri" w:eastAsia="Calibri" w:hAnsi="Calibri" w:cs="Calibri"/>
            <w:bCs/>
          </w:rPr>
          <w:t>http://www.emro.who.int/polio/certification/occupied-palestinian-territory-certification.html</w:t>
        </w:r>
      </w:hyperlink>
    </w:p>
    <w:p w14:paraId="696FE57F" w14:textId="6395B486" w:rsidR="00954CEE" w:rsidRDefault="00CA46F5" w:rsidP="00CE46B9">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
          <w:color w:val="0E0E0E"/>
          <w:highlight w:val="yellow"/>
        </w:rPr>
      </w:pPr>
      <w:r w:rsidRPr="00954CEE">
        <w:rPr>
          <w:rFonts w:ascii="Calibri" w:eastAsia="Calibri" w:hAnsi="Calibri" w:cs="Calibri"/>
          <w:b/>
          <w:color w:val="0E0E0E"/>
          <w:highlight w:val="yellow"/>
        </w:rPr>
        <w:t>European Centre for Disease Prevention and Control (ECDC).</w:t>
      </w:r>
      <w:r w:rsidRPr="00954CEE">
        <w:rPr>
          <w:rFonts w:ascii="Calibri" w:eastAsia="Calibri" w:hAnsi="Calibri" w:cs="Calibri"/>
          <w:color w:val="0E0E0E"/>
          <w:highlight w:val="yellow"/>
        </w:rPr>
        <w:t xml:space="preserve"> Epidemiological update: Polio in Israel, 14 October 2013.</w:t>
      </w:r>
    </w:p>
    <w:p w14:paraId="17D95056" w14:textId="7AE04AB1" w:rsidR="008456BF" w:rsidRPr="008456BF" w:rsidRDefault="00223985" w:rsidP="00223985">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
          <w:color w:val="0E0E0E"/>
          <w:highlight w:val="yellow"/>
        </w:rPr>
      </w:pPr>
      <w:r w:rsidRPr="00223985">
        <w:rPr>
          <w:rFonts w:ascii="Calibri" w:eastAsia="Calibri" w:hAnsi="Calibri" w:cs="Calibri"/>
          <w:b/>
          <w:bCs/>
          <w:color w:val="0E0E0E"/>
        </w:rPr>
        <w:t>Poliovirus detected from environmental samples in Egypt</w:t>
      </w:r>
      <w:r>
        <w:rPr>
          <w:rFonts w:ascii="Calibri" w:eastAsia="Calibri" w:hAnsi="Calibri" w:cs="Calibri"/>
          <w:b/>
          <w:color w:val="0E0E0E"/>
        </w:rPr>
        <w:t xml:space="preserve"> </w:t>
      </w:r>
      <w:r w:rsidR="008456BF" w:rsidRPr="008456BF">
        <w:rPr>
          <w:rFonts w:ascii="Calibri" w:eastAsia="Calibri" w:hAnsi="Calibri" w:cs="Calibri"/>
          <w:b/>
          <w:color w:val="0E0E0E"/>
        </w:rPr>
        <w:t>https://polioeradication.org/news/poliovirus-detected-from-environmental-samples-in-egypt/</w:t>
      </w:r>
    </w:p>
    <w:p w14:paraId="00000022" w14:textId="0AF80F4E" w:rsidR="005020D6" w:rsidRPr="00BC053C" w:rsidRDefault="00CA46F5" w:rsidP="00954CEE">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
          <w:color w:val="0E0E0E"/>
        </w:rPr>
      </w:pPr>
      <w:r w:rsidRPr="00CE46B9">
        <w:rPr>
          <w:rFonts w:ascii="Calibri" w:eastAsia="Calibri" w:hAnsi="Calibri" w:cs="Calibri"/>
          <w:b/>
          <w:color w:val="0E0E0E"/>
        </w:rPr>
        <w:t xml:space="preserve">Kopel, E., </w:t>
      </w:r>
      <w:proofErr w:type="spellStart"/>
      <w:r w:rsidRPr="00CE46B9">
        <w:rPr>
          <w:rFonts w:ascii="Calibri" w:eastAsia="Calibri" w:hAnsi="Calibri" w:cs="Calibri"/>
          <w:b/>
          <w:color w:val="0E0E0E"/>
        </w:rPr>
        <w:t>Kaliner</w:t>
      </w:r>
      <w:proofErr w:type="spellEnd"/>
      <w:r w:rsidRPr="00CE46B9">
        <w:rPr>
          <w:rFonts w:ascii="Calibri" w:eastAsia="Calibri" w:hAnsi="Calibri" w:cs="Calibri"/>
          <w:b/>
          <w:color w:val="0E0E0E"/>
        </w:rPr>
        <w:t>, E., Grotto, I.</w:t>
      </w:r>
      <w:r w:rsidRPr="00CE46B9">
        <w:rPr>
          <w:rFonts w:ascii="Calibri" w:eastAsia="Calibri" w:hAnsi="Calibri" w:cs="Calibri"/>
          <w:color w:val="0E0E0E"/>
        </w:rPr>
        <w:t xml:space="preserve"> “Lessons from a Public Health Emergency — Importation of Wild Poliovirus to Israel.” </w:t>
      </w:r>
      <w:r w:rsidRPr="00CE46B9">
        <w:rPr>
          <w:rFonts w:ascii="Calibri" w:eastAsia="Calibri" w:hAnsi="Calibri" w:cs="Calibri"/>
          <w:i/>
          <w:color w:val="0E0E0E"/>
        </w:rPr>
        <w:t>New England Journal of Medicine</w:t>
      </w:r>
      <w:r w:rsidRPr="00CE46B9">
        <w:rPr>
          <w:rFonts w:ascii="Calibri" w:eastAsia="Calibri" w:hAnsi="Calibri" w:cs="Calibri"/>
          <w:color w:val="0E0E0E"/>
        </w:rPr>
        <w:t>, 2014.</w:t>
      </w:r>
    </w:p>
    <w:p w14:paraId="6BB21114" w14:textId="77777777" w:rsidR="00EC399D" w:rsidRPr="00EC399D" w:rsidRDefault="00EC399D" w:rsidP="00EC399D">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Cs/>
          <w:color w:val="0E0E0E"/>
        </w:rPr>
      </w:pPr>
      <w:r w:rsidRPr="00EC399D">
        <w:rPr>
          <w:rFonts w:ascii="Calibri" w:eastAsia="Calibri" w:hAnsi="Calibri" w:cs="Calibri"/>
          <w:bCs/>
          <w:color w:val="0E0E0E"/>
        </w:rPr>
        <w:t xml:space="preserve">Tulchinsky TH, </w:t>
      </w:r>
      <w:proofErr w:type="spellStart"/>
      <w:r w:rsidRPr="00EC399D">
        <w:rPr>
          <w:rFonts w:ascii="Calibri" w:eastAsia="Calibri" w:hAnsi="Calibri" w:cs="Calibri"/>
          <w:bCs/>
          <w:color w:val="0E0E0E"/>
        </w:rPr>
        <w:t>Ramlawi</w:t>
      </w:r>
      <w:proofErr w:type="spellEnd"/>
      <w:r w:rsidRPr="00EC399D">
        <w:rPr>
          <w:rFonts w:ascii="Calibri" w:eastAsia="Calibri" w:hAnsi="Calibri" w:cs="Calibri"/>
          <w:bCs/>
          <w:color w:val="0E0E0E"/>
        </w:rPr>
        <w:t xml:space="preserve"> A, Abdeen Z, Grotto I, </w:t>
      </w:r>
      <w:proofErr w:type="spellStart"/>
      <w:r w:rsidRPr="00EC399D">
        <w:rPr>
          <w:rFonts w:ascii="Calibri" w:eastAsia="Calibri" w:hAnsi="Calibri" w:cs="Calibri"/>
          <w:bCs/>
          <w:color w:val="0E0E0E"/>
        </w:rPr>
        <w:t>Flahault</w:t>
      </w:r>
      <w:proofErr w:type="spellEnd"/>
      <w:r w:rsidRPr="00EC399D">
        <w:rPr>
          <w:rFonts w:ascii="Calibri" w:eastAsia="Calibri" w:hAnsi="Calibri" w:cs="Calibri"/>
          <w:bCs/>
          <w:color w:val="0E0E0E"/>
        </w:rPr>
        <w:t xml:space="preserve"> A. Polio lessons 2013: Israel, the West Bank, and Gaza. Lancet. 2013 Nov 16;382(9905):1611-2. </w:t>
      </w:r>
      <w:proofErr w:type="spellStart"/>
      <w:r w:rsidRPr="00EC399D">
        <w:rPr>
          <w:rFonts w:ascii="Calibri" w:eastAsia="Calibri" w:hAnsi="Calibri" w:cs="Calibri"/>
          <w:bCs/>
          <w:color w:val="0E0E0E"/>
        </w:rPr>
        <w:t>doi</w:t>
      </w:r>
      <w:proofErr w:type="spellEnd"/>
      <w:r w:rsidRPr="00EC399D">
        <w:rPr>
          <w:rFonts w:ascii="Calibri" w:eastAsia="Calibri" w:hAnsi="Calibri" w:cs="Calibri"/>
          <w:bCs/>
          <w:color w:val="0E0E0E"/>
        </w:rPr>
        <w:t>: 10.1016/S0140-6736(13)62331-4. PMID: 24238546.</w:t>
      </w:r>
    </w:p>
    <w:p w14:paraId="00000024" w14:textId="574ACD47" w:rsidR="005020D6" w:rsidRDefault="00CA46F5" w:rsidP="00EC399D">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
          <w:color w:val="0E0E0E"/>
        </w:rPr>
      </w:pPr>
      <w:proofErr w:type="spellStart"/>
      <w:r w:rsidRPr="002F2534">
        <w:rPr>
          <w:rFonts w:ascii="Calibri" w:eastAsia="Calibri" w:hAnsi="Calibri" w:cs="Calibri"/>
          <w:b/>
          <w:color w:val="0E0E0E"/>
        </w:rPr>
        <w:t>Kaliner</w:t>
      </w:r>
      <w:proofErr w:type="spellEnd"/>
      <w:r w:rsidRPr="002F2534">
        <w:rPr>
          <w:rFonts w:ascii="Calibri" w:eastAsia="Calibri" w:hAnsi="Calibri" w:cs="Calibri"/>
          <w:b/>
          <w:color w:val="0E0E0E"/>
        </w:rPr>
        <w:t>, E., Kopel, E., Anis, E., Mendelson, E., Moran-Gilad, J., Grotto, I.</w:t>
      </w:r>
      <w:r w:rsidRPr="002F2534">
        <w:rPr>
          <w:rFonts w:ascii="Calibri" w:eastAsia="Calibri" w:hAnsi="Calibri" w:cs="Calibri"/>
          <w:color w:val="0E0E0E"/>
        </w:rPr>
        <w:t xml:space="preserve"> “Reintroduction of Bivalent Oral Polio Vaccine (</w:t>
      </w:r>
      <w:proofErr w:type="spellStart"/>
      <w:r w:rsidRPr="002F2534">
        <w:rPr>
          <w:rFonts w:ascii="Calibri" w:eastAsia="Calibri" w:hAnsi="Calibri" w:cs="Calibri"/>
          <w:color w:val="0E0E0E"/>
        </w:rPr>
        <w:t>bOPV</w:t>
      </w:r>
      <w:proofErr w:type="spellEnd"/>
      <w:r w:rsidRPr="002F2534">
        <w:rPr>
          <w:rFonts w:ascii="Calibri" w:eastAsia="Calibri" w:hAnsi="Calibri" w:cs="Calibri"/>
          <w:color w:val="0E0E0E"/>
        </w:rPr>
        <w:t xml:space="preserve">) into the National Vaccination Schedule in Israel in Response to the 2013 WPV1 Outbreak.” </w:t>
      </w:r>
      <w:r w:rsidRPr="002F2534">
        <w:rPr>
          <w:rFonts w:ascii="Calibri" w:eastAsia="Calibri" w:hAnsi="Calibri" w:cs="Calibri"/>
          <w:i/>
          <w:color w:val="0E0E0E"/>
        </w:rPr>
        <w:t>Vaccine</w:t>
      </w:r>
      <w:r w:rsidRPr="002F2534">
        <w:rPr>
          <w:rFonts w:ascii="Calibri" w:eastAsia="Calibri" w:hAnsi="Calibri" w:cs="Calibri"/>
          <w:color w:val="0E0E0E"/>
        </w:rPr>
        <w:t>, 2015.</w:t>
      </w:r>
    </w:p>
    <w:p w14:paraId="6376F740" w14:textId="77777777" w:rsidR="005508B7" w:rsidRPr="005508B7" w:rsidRDefault="005508B7" w:rsidP="005508B7">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Cs/>
          <w:color w:val="0E0E0E"/>
        </w:rPr>
      </w:pPr>
      <w:proofErr w:type="spellStart"/>
      <w:r w:rsidRPr="005508B7">
        <w:rPr>
          <w:rFonts w:ascii="Calibri" w:eastAsia="Calibri" w:hAnsi="Calibri" w:cs="Calibri"/>
          <w:bCs/>
          <w:color w:val="0E0E0E"/>
        </w:rPr>
        <w:t>Kaliner</w:t>
      </w:r>
      <w:proofErr w:type="spellEnd"/>
      <w:r w:rsidRPr="005508B7">
        <w:rPr>
          <w:rFonts w:ascii="Calibri" w:eastAsia="Calibri" w:hAnsi="Calibri" w:cs="Calibri"/>
          <w:bCs/>
          <w:color w:val="0E0E0E"/>
        </w:rPr>
        <w:t xml:space="preserve"> E, Kopel E, Anis E, Mendelson E, Moran-Gilad J, Shulman LM, Singer SR, Manor Y, Somekh E, </w:t>
      </w:r>
      <w:proofErr w:type="spellStart"/>
      <w:r w:rsidRPr="005508B7">
        <w:rPr>
          <w:rFonts w:ascii="Calibri" w:eastAsia="Calibri" w:hAnsi="Calibri" w:cs="Calibri"/>
          <w:bCs/>
          <w:color w:val="0E0E0E"/>
        </w:rPr>
        <w:t>Rishpon</w:t>
      </w:r>
      <w:proofErr w:type="spellEnd"/>
      <w:r w:rsidRPr="005508B7">
        <w:rPr>
          <w:rFonts w:ascii="Calibri" w:eastAsia="Calibri" w:hAnsi="Calibri" w:cs="Calibri"/>
          <w:bCs/>
          <w:color w:val="0E0E0E"/>
        </w:rPr>
        <w:t xml:space="preserve"> S, Leventhal A, Rubin L, Tasher D, </w:t>
      </w:r>
      <w:proofErr w:type="spellStart"/>
      <w:r w:rsidRPr="005508B7">
        <w:rPr>
          <w:rFonts w:ascii="Calibri" w:eastAsia="Calibri" w:hAnsi="Calibri" w:cs="Calibri"/>
          <w:bCs/>
          <w:color w:val="0E0E0E"/>
        </w:rPr>
        <w:t>Honovich</w:t>
      </w:r>
      <w:proofErr w:type="spellEnd"/>
      <w:r w:rsidRPr="005508B7">
        <w:rPr>
          <w:rFonts w:ascii="Calibri" w:eastAsia="Calibri" w:hAnsi="Calibri" w:cs="Calibri"/>
          <w:bCs/>
          <w:color w:val="0E0E0E"/>
        </w:rPr>
        <w:t xml:space="preserve"> M, Moerman L, </w:t>
      </w:r>
      <w:proofErr w:type="spellStart"/>
      <w:r w:rsidRPr="005508B7">
        <w:rPr>
          <w:rFonts w:ascii="Calibri" w:eastAsia="Calibri" w:hAnsi="Calibri" w:cs="Calibri"/>
          <w:bCs/>
          <w:color w:val="0E0E0E"/>
        </w:rPr>
        <w:t>Shohat</w:t>
      </w:r>
      <w:proofErr w:type="spellEnd"/>
      <w:r w:rsidRPr="005508B7">
        <w:rPr>
          <w:rFonts w:ascii="Calibri" w:eastAsia="Calibri" w:hAnsi="Calibri" w:cs="Calibri"/>
          <w:bCs/>
          <w:color w:val="0E0E0E"/>
        </w:rPr>
        <w:t xml:space="preserve"> T, Bassal R, Sofer D, </w:t>
      </w:r>
      <w:proofErr w:type="spellStart"/>
      <w:r w:rsidRPr="005508B7">
        <w:rPr>
          <w:rFonts w:ascii="Calibri" w:eastAsia="Calibri" w:hAnsi="Calibri" w:cs="Calibri"/>
          <w:bCs/>
          <w:color w:val="0E0E0E"/>
        </w:rPr>
        <w:t>Gdalevich</w:t>
      </w:r>
      <w:proofErr w:type="spellEnd"/>
      <w:r w:rsidRPr="005508B7">
        <w:rPr>
          <w:rFonts w:ascii="Calibri" w:eastAsia="Calibri" w:hAnsi="Calibri" w:cs="Calibri"/>
          <w:bCs/>
          <w:color w:val="0E0E0E"/>
        </w:rPr>
        <w:t xml:space="preserve"> M, Lev B, </w:t>
      </w:r>
      <w:proofErr w:type="spellStart"/>
      <w:r w:rsidRPr="005508B7">
        <w:rPr>
          <w:rFonts w:ascii="Calibri" w:eastAsia="Calibri" w:hAnsi="Calibri" w:cs="Calibri"/>
          <w:bCs/>
          <w:color w:val="0E0E0E"/>
        </w:rPr>
        <w:t>Gamzu</w:t>
      </w:r>
      <w:proofErr w:type="spellEnd"/>
      <w:r w:rsidRPr="005508B7">
        <w:rPr>
          <w:rFonts w:ascii="Calibri" w:eastAsia="Calibri" w:hAnsi="Calibri" w:cs="Calibri"/>
          <w:bCs/>
          <w:color w:val="0E0E0E"/>
        </w:rPr>
        <w:t xml:space="preserve"> R, Grotto I. The Israeli public health response to wild poliovirus importation. Lancet Infect Dis. 2015 Oct;15(10):1236-1242. </w:t>
      </w:r>
      <w:proofErr w:type="spellStart"/>
      <w:r w:rsidRPr="005508B7">
        <w:rPr>
          <w:rFonts w:ascii="Calibri" w:eastAsia="Calibri" w:hAnsi="Calibri" w:cs="Calibri"/>
          <w:bCs/>
          <w:color w:val="0E0E0E"/>
        </w:rPr>
        <w:t>doi</w:t>
      </w:r>
      <w:proofErr w:type="spellEnd"/>
      <w:r w:rsidRPr="005508B7">
        <w:rPr>
          <w:rFonts w:ascii="Calibri" w:eastAsia="Calibri" w:hAnsi="Calibri" w:cs="Calibri"/>
          <w:bCs/>
          <w:color w:val="0E0E0E"/>
        </w:rPr>
        <w:t xml:space="preserve">: 10.1016/S1473-3099(15)00064-X. </w:t>
      </w:r>
      <w:proofErr w:type="spellStart"/>
      <w:r w:rsidRPr="005508B7">
        <w:rPr>
          <w:rFonts w:ascii="Calibri" w:eastAsia="Calibri" w:hAnsi="Calibri" w:cs="Calibri"/>
          <w:bCs/>
          <w:color w:val="0E0E0E"/>
        </w:rPr>
        <w:t>Epub</w:t>
      </w:r>
      <w:proofErr w:type="spellEnd"/>
      <w:r w:rsidRPr="005508B7">
        <w:rPr>
          <w:rFonts w:ascii="Calibri" w:eastAsia="Calibri" w:hAnsi="Calibri" w:cs="Calibri"/>
          <w:bCs/>
          <w:color w:val="0E0E0E"/>
        </w:rPr>
        <w:t xml:space="preserve"> 2015 Jul 23. PMID: 26213249.</w:t>
      </w:r>
    </w:p>
    <w:p w14:paraId="4D1D978C" w14:textId="31ECC60F" w:rsidR="002F2534" w:rsidRPr="005508B7" w:rsidRDefault="00CA46F5" w:rsidP="005508B7">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
          <w:color w:val="0E0E0E"/>
        </w:rPr>
      </w:pPr>
      <w:r w:rsidRPr="005508B7">
        <w:rPr>
          <w:rFonts w:ascii="Calibri" w:eastAsia="Calibri" w:hAnsi="Calibri" w:cs="Calibri"/>
          <w:b/>
          <w:color w:val="0E0E0E"/>
        </w:rPr>
        <w:t>Global Polio Eradication Initiative (GPEI).</w:t>
      </w:r>
      <w:r w:rsidRPr="005508B7">
        <w:rPr>
          <w:rFonts w:ascii="Calibri" w:eastAsia="Calibri" w:hAnsi="Calibri" w:cs="Calibri"/>
          <w:color w:val="0E0E0E"/>
        </w:rPr>
        <w:t xml:space="preserve"> “Circulating Vaccine-Derived Poliovirus Type 2 – Global Update.” Disease Outbreak News, March 2024.</w:t>
      </w:r>
    </w:p>
    <w:p w14:paraId="5312EABD" w14:textId="52A248CE" w:rsidR="00EF390E" w:rsidRDefault="00EF390E" w:rsidP="002F2534">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
          <w:color w:val="0E0E0E"/>
        </w:rPr>
      </w:pPr>
      <w:r>
        <w:rPr>
          <w:rFonts w:ascii="Calibri" w:eastAsia="Calibri" w:hAnsi="Calibri" w:cs="Calibri"/>
          <w:b/>
          <w:color w:val="0E0E0E"/>
        </w:rPr>
        <w:t>Martin, J., Burns, C. C., Jorba, J., et al.</w:t>
      </w:r>
      <w:r>
        <w:rPr>
          <w:rFonts w:ascii="Calibri" w:eastAsia="Calibri" w:hAnsi="Calibri" w:cs="Calibri"/>
          <w:color w:val="0E0E0E"/>
        </w:rPr>
        <w:t xml:space="preserve"> “Genetic Characterization of Novel Oral Polio Vaccine Type 2 Viruses During Initial Use Phase Under Emergency Use</w:t>
      </w:r>
    </w:p>
    <w:p w14:paraId="00000026" w14:textId="52BDB699" w:rsidR="005020D6" w:rsidRPr="005508B7" w:rsidRDefault="00CA46F5" w:rsidP="00EF390E">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
          <w:color w:val="0E0E0E"/>
        </w:rPr>
      </w:pPr>
      <w:r w:rsidRPr="005508B7">
        <w:rPr>
          <w:rFonts w:ascii="Calibri" w:eastAsia="Calibri" w:hAnsi="Calibri" w:cs="Calibri"/>
          <w:b/>
          <w:color w:val="0E0E0E"/>
        </w:rPr>
        <w:t>Precision Vaccinations.</w:t>
      </w:r>
      <w:r w:rsidRPr="005508B7">
        <w:rPr>
          <w:rFonts w:ascii="Calibri" w:eastAsia="Calibri" w:hAnsi="Calibri" w:cs="Calibri"/>
          <w:color w:val="0E0E0E"/>
        </w:rPr>
        <w:t xml:space="preserve"> “34 Countries Identified in the Latest Polio Outbreak Alert.” June 22, 2024.</w:t>
      </w:r>
    </w:p>
    <w:p w14:paraId="1175F0C5" w14:textId="7BBED9B2" w:rsidR="007840AE" w:rsidRPr="00DE4D67" w:rsidRDefault="001A4FC5" w:rsidP="007840AE">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
          <w:color w:val="0E0E0E"/>
        </w:rPr>
      </w:pPr>
      <w:r w:rsidRPr="00DE4D67">
        <w:rPr>
          <w:rFonts w:ascii="Calibri" w:eastAsia="Calibri" w:hAnsi="Calibri" w:cs="Calibri"/>
          <w:b/>
          <w:color w:val="0E0E0E"/>
        </w:rPr>
        <w:lastRenderedPageBreak/>
        <w:t xml:space="preserve">ECDC Polio cases worldwide: </w:t>
      </w:r>
      <w:hyperlink r:id="rId8" w:history="1">
        <w:r w:rsidR="00B553D6" w:rsidRPr="00DE4D67">
          <w:rPr>
            <w:rStyle w:val="Hyperlink"/>
            <w:rFonts w:ascii="Calibri" w:eastAsia="Calibri" w:hAnsi="Calibri" w:cs="Calibri"/>
            <w:b/>
          </w:rPr>
          <w:t>https://gis.ecdc.europa.eu/portal/apps/dashboards/fc1d8b9f4a8740808935600db9a96057</w:t>
        </w:r>
      </w:hyperlink>
    </w:p>
    <w:p w14:paraId="3AC8036D" w14:textId="3DEEDC9F" w:rsidR="00B553D6" w:rsidRPr="00BB1048" w:rsidRDefault="00DE4D67" w:rsidP="00B553D6">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
          <w:color w:val="0E0E0E"/>
        </w:rPr>
      </w:pPr>
      <w:hyperlink r:id="rId9" w:history="1">
        <w:r w:rsidRPr="00BB1048">
          <w:rPr>
            <w:rStyle w:val="Hyperlink"/>
            <w:rFonts w:ascii="Calibri" w:eastAsia="Calibri" w:hAnsi="Calibri" w:cs="Calibri"/>
            <w:b/>
          </w:rPr>
          <w:t>https://polioeradication.org/news/variant-type-2-poliovirus-isolated-from-sewage-samples-in-gaza/</w:t>
        </w:r>
      </w:hyperlink>
    </w:p>
    <w:p w14:paraId="2927860C" w14:textId="215059D8" w:rsidR="00BB1048" w:rsidRPr="00BB1048" w:rsidRDefault="00BB1048" w:rsidP="00160B53">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
          <w:color w:val="0E0E0E"/>
        </w:rPr>
      </w:pPr>
      <w:hyperlink r:id="rId10" w:history="1">
        <w:r w:rsidRPr="00BB1048">
          <w:rPr>
            <w:rStyle w:val="Hyperlink"/>
            <w:rFonts w:ascii="Calibri" w:eastAsia="Calibri" w:hAnsi="Calibri" w:cs="Calibri"/>
            <w:b/>
          </w:rPr>
          <w:t>https://polioeradication.org/news/second-round-of-polio-vaccination-in-the-gaza-strip-aims-to-vaccinate-over-half-a-million-children/</w:t>
        </w:r>
      </w:hyperlink>
    </w:p>
    <w:p w14:paraId="50D5571F" w14:textId="4A20A0ED" w:rsidR="00160B53" w:rsidRDefault="006B7E33" w:rsidP="006B7E33">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Cs/>
          <w:color w:val="0E0E0E"/>
        </w:rPr>
      </w:pPr>
      <w:r w:rsidRPr="006B7E33">
        <w:rPr>
          <w:rFonts w:ascii="Calibri" w:eastAsia="Calibri" w:hAnsi="Calibri" w:cs="Calibri"/>
          <w:bCs/>
          <w:color w:val="0E0E0E"/>
        </w:rPr>
        <w:t xml:space="preserve">Leventhal A, </w:t>
      </w:r>
      <w:proofErr w:type="spellStart"/>
      <w:r w:rsidRPr="006B7E33">
        <w:rPr>
          <w:rFonts w:ascii="Calibri" w:eastAsia="Calibri" w:hAnsi="Calibri" w:cs="Calibri"/>
          <w:bCs/>
          <w:color w:val="0E0E0E"/>
        </w:rPr>
        <w:t>Ramlawi</w:t>
      </w:r>
      <w:proofErr w:type="spellEnd"/>
      <w:r w:rsidRPr="006B7E33">
        <w:rPr>
          <w:rFonts w:ascii="Calibri" w:eastAsia="Calibri" w:hAnsi="Calibri" w:cs="Calibri"/>
          <w:bCs/>
          <w:color w:val="0E0E0E"/>
        </w:rPr>
        <w:t xml:space="preserve"> A, </w:t>
      </w:r>
      <w:proofErr w:type="spellStart"/>
      <w:r w:rsidRPr="006B7E33">
        <w:rPr>
          <w:rFonts w:ascii="Calibri" w:eastAsia="Calibri" w:hAnsi="Calibri" w:cs="Calibri"/>
          <w:bCs/>
          <w:color w:val="0E0E0E"/>
        </w:rPr>
        <w:t>Belbiesi</w:t>
      </w:r>
      <w:proofErr w:type="spellEnd"/>
      <w:r w:rsidRPr="006B7E33">
        <w:rPr>
          <w:rFonts w:ascii="Calibri" w:eastAsia="Calibri" w:hAnsi="Calibri" w:cs="Calibri"/>
          <w:bCs/>
          <w:color w:val="0E0E0E"/>
        </w:rPr>
        <w:t xml:space="preserve"> A, Sheikh S, Haddadin A, Husseini S, Abdeen Z, Cohen D. Enhanced surveillance for detection and management of infectious diseases: regional collaboration in the middle East. Emerg Health Threats J. 2013;6. </w:t>
      </w:r>
      <w:proofErr w:type="spellStart"/>
      <w:r w:rsidRPr="006B7E33">
        <w:rPr>
          <w:rFonts w:ascii="Calibri" w:eastAsia="Calibri" w:hAnsi="Calibri" w:cs="Calibri"/>
          <w:bCs/>
          <w:color w:val="0E0E0E"/>
        </w:rPr>
        <w:t>doi</w:t>
      </w:r>
      <w:proofErr w:type="spellEnd"/>
      <w:r w:rsidRPr="006B7E33">
        <w:rPr>
          <w:rFonts w:ascii="Calibri" w:eastAsia="Calibri" w:hAnsi="Calibri" w:cs="Calibri"/>
          <w:bCs/>
          <w:color w:val="0E0E0E"/>
        </w:rPr>
        <w:t xml:space="preserve">: 10.3402/ehtj.v6i0.19955. </w:t>
      </w:r>
      <w:proofErr w:type="spellStart"/>
      <w:r w:rsidRPr="006B7E33">
        <w:rPr>
          <w:rFonts w:ascii="Calibri" w:eastAsia="Calibri" w:hAnsi="Calibri" w:cs="Calibri"/>
          <w:bCs/>
          <w:color w:val="0E0E0E"/>
        </w:rPr>
        <w:t>Epub</w:t>
      </w:r>
      <w:proofErr w:type="spellEnd"/>
      <w:r w:rsidRPr="006B7E33">
        <w:rPr>
          <w:rFonts w:ascii="Calibri" w:eastAsia="Calibri" w:hAnsi="Calibri" w:cs="Calibri"/>
          <w:bCs/>
          <w:color w:val="0E0E0E"/>
        </w:rPr>
        <w:t xml:space="preserve"> 2013 Jan 25. PMID: 23362413; PMCID: PMC3557910.</w:t>
      </w:r>
    </w:p>
    <w:p w14:paraId="5467E52F" w14:textId="53A9507E" w:rsidR="00252C0A" w:rsidRDefault="00252C0A" w:rsidP="00252C0A">
      <w:pPr>
        <w:numPr>
          <w:ilvl w:val="0"/>
          <w:numId w:val="1"/>
        </w:numPr>
        <w:pBdr>
          <w:top w:val="nil"/>
          <w:left w:val="nil"/>
          <w:bottom w:val="nil"/>
          <w:right w:val="nil"/>
          <w:between w:val="nil"/>
        </w:pBdr>
        <w:tabs>
          <w:tab w:val="right" w:pos="0"/>
          <w:tab w:val="left" w:pos="426"/>
        </w:tabs>
        <w:bidi w:val="0"/>
        <w:spacing w:line="324" w:lineRule="auto"/>
        <w:ind w:left="426" w:hanging="284"/>
        <w:rPr>
          <w:rFonts w:ascii="Calibri" w:eastAsia="Calibri" w:hAnsi="Calibri" w:cs="Calibri"/>
          <w:bCs/>
          <w:color w:val="0E0E0E"/>
        </w:rPr>
      </w:pPr>
      <w:r w:rsidRPr="00252C0A">
        <w:rPr>
          <w:rFonts w:ascii="Calibri" w:eastAsia="Calibri" w:hAnsi="Calibri" w:cs="Calibri"/>
          <w:bCs/>
          <w:color w:val="0E0E0E"/>
        </w:rPr>
        <w:t xml:space="preserve">Gresham L, </w:t>
      </w:r>
      <w:proofErr w:type="spellStart"/>
      <w:r w:rsidRPr="00252C0A">
        <w:rPr>
          <w:rFonts w:ascii="Calibri" w:eastAsia="Calibri" w:hAnsi="Calibri" w:cs="Calibri"/>
          <w:bCs/>
          <w:color w:val="0E0E0E"/>
        </w:rPr>
        <w:t>Ramlawi</w:t>
      </w:r>
      <w:proofErr w:type="spellEnd"/>
      <w:r w:rsidRPr="00252C0A">
        <w:rPr>
          <w:rFonts w:ascii="Calibri" w:eastAsia="Calibri" w:hAnsi="Calibri" w:cs="Calibri"/>
          <w:bCs/>
          <w:color w:val="0E0E0E"/>
        </w:rPr>
        <w:t xml:space="preserve"> A, Briski J, Richardson M, Taylor T. Trust across borders: responding to 2009 H1N1 influenza in the Middle East. </w:t>
      </w:r>
      <w:proofErr w:type="spellStart"/>
      <w:r w:rsidRPr="00252C0A">
        <w:rPr>
          <w:rFonts w:ascii="Calibri" w:eastAsia="Calibri" w:hAnsi="Calibri" w:cs="Calibri"/>
          <w:bCs/>
          <w:color w:val="0E0E0E"/>
        </w:rPr>
        <w:t>Biosecur</w:t>
      </w:r>
      <w:proofErr w:type="spellEnd"/>
      <w:r w:rsidRPr="00252C0A">
        <w:rPr>
          <w:rFonts w:ascii="Calibri" w:eastAsia="Calibri" w:hAnsi="Calibri" w:cs="Calibri"/>
          <w:bCs/>
          <w:color w:val="0E0E0E"/>
        </w:rPr>
        <w:t xml:space="preserve"> Bioterror. 2009 Dec;7(4):399-404. </w:t>
      </w:r>
      <w:proofErr w:type="spellStart"/>
      <w:r w:rsidRPr="00252C0A">
        <w:rPr>
          <w:rFonts w:ascii="Calibri" w:eastAsia="Calibri" w:hAnsi="Calibri" w:cs="Calibri"/>
          <w:bCs/>
          <w:color w:val="0E0E0E"/>
        </w:rPr>
        <w:t>doi</w:t>
      </w:r>
      <w:proofErr w:type="spellEnd"/>
      <w:r w:rsidRPr="00252C0A">
        <w:rPr>
          <w:rFonts w:ascii="Calibri" w:eastAsia="Calibri" w:hAnsi="Calibri" w:cs="Calibri"/>
          <w:bCs/>
          <w:color w:val="0E0E0E"/>
        </w:rPr>
        <w:t>: 10.1089/bsp.2009.0034. PMID: 20028248.</w:t>
      </w:r>
    </w:p>
    <w:p w14:paraId="77B2942D" w14:textId="77777777" w:rsidR="00EF390E" w:rsidRDefault="00EF390E" w:rsidP="00EF390E">
      <w:pPr>
        <w:numPr>
          <w:ilvl w:val="0"/>
          <w:numId w:val="1"/>
        </w:numPr>
        <w:pBdr>
          <w:top w:val="nil"/>
          <w:left w:val="nil"/>
          <w:bottom w:val="nil"/>
          <w:right w:val="nil"/>
          <w:between w:val="nil"/>
        </w:pBdr>
        <w:tabs>
          <w:tab w:val="right" w:pos="0"/>
          <w:tab w:val="left" w:pos="426"/>
        </w:tabs>
        <w:bidi w:val="0"/>
        <w:spacing w:line="324" w:lineRule="auto"/>
        <w:rPr>
          <w:rFonts w:ascii="Calibri" w:eastAsia="Calibri" w:hAnsi="Calibri" w:cs="Calibri"/>
          <w:color w:val="0E0E0E"/>
        </w:rPr>
      </w:pPr>
      <w:r>
        <w:rPr>
          <w:rFonts w:ascii="Calibri" w:eastAsia="Calibri" w:hAnsi="Calibri" w:cs="Calibri"/>
          <w:b/>
          <w:color w:val="0E0E0E"/>
        </w:rPr>
        <w:t xml:space="preserve">Shahnoor, S., Ghaffar, R., </w:t>
      </w:r>
      <w:proofErr w:type="spellStart"/>
      <w:r>
        <w:rPr>
          <w:rFonts w:ascii="Calibri" w:eastAsia="Calibri" w:hAnsi="Calibri" w:cs="Calibri"/>
          <w:b/>
          <w:color w:val="0E0E0E"/>
        </w:rPr>
        <w:t>Taimuri</w:t>
      </w:r>
      <w:proofErr w:type="spellEnd"/>
      <w:r>
        <w:rPr>
          <w:rFonts w:ascii="Calibri" w:eastAsia="Calibri" w:hAnsi="Calibri" w:cs="Calibri"/>
          <w:b/>
          <w:color w:val="0E0E0E"/>
        </w:rPr>
        <w:t>, M. A.</w:t>
      </w:r>
      <w:r>
        <w:rPr>
          <w:rFonts w:ascii="Calibri" w:eastAsia="Calibri" w:hAnsi="Calibri" w:cs="Calibri"/>
          <w:color w:val="0E0E0E"/>
        </w:rPr>
        <w:t xml:space="preserve"> “Re-emergence of Vaccine-Derived Poliovirus in Israel, US, and UK – Call for Promoting the Use of Novel Oral Polio Vaccine.” </w:t>
      </w:r>
      <w:r>
        <w:rPr>
          <w:rFonts w:ascii="Calibri" w:eastAsia="Calibri" w:hAnsi="Calibri" w:cs="Calibri"/>
          <w:i/>
          <w:color w:val="0E0E0E"/>
        </w:rPr>
        <w:t>Annals of Medicine and Surgery</w:t>
      </w:r>
      <w:r>
        <w:rPr>
          <w:rFonts w:ascii="Calibri" w:eastAsia="Calibri" w:hAnsi="Calibri" w:cs="Calibri"/>
          <w:color w:val="0E0E0E"/>
        </w:rPr>
        <w:t>, 2022.</w:t>
      </w:r>
    </w:p>
    <w:p w14:paraId="0000002A" w14:textId="014D9698" w:rsidR="005020D6" w:rsidRDefault="005020D6" w:rsidP="007C3624">
      <w:pPr>
        <w:pBdr>
          <w:top w:val="nil"/>
          <w:left w:val="nil"/>
          <w:bottom w:val="nil"/>
          <w:right w:val="nil"/>
          <w:between w:val="nil"/>
        </w:pBdr>
        <w:tabs>
          <w:tab w:val="right" w:pos="0"/>
          <w:tab w:val="left" w:pos="426"/>
        </w:tabs>
        <w:bidi w:val="0"/>
        <w:spacing w:line="324" w:lineRule="auto"/>
        <w:ind w:left="426"/>
        <w:rPr>
          <w:rFonts w:ascii="Calibri" w:eastAsia="Calibri" w:hAnsi="Calibri" w:cs="Calibri"/>
          <w:color w:val="0E0E0E"/>
        </w:rPr>
      </w:pPr>
    </w:p>
    <w:sectPr w:rsidR="005020D6">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714F"/>
    <w:multiLevelType w:val="multilevel"/>
    <w:tmpl w:val="88220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143A13"/>
    <w:multiLevelType w:val="multilevel"/>
    <w:tmpl w:val="88220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331175">
    <w:abstractNumId w:val="0"/>
  </w:num>
  <w:num w:numId="2" w16cid:durableId="158742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yN7AwszA3MTAyMTdU0lEKTi0uzszPAykwrAUAow5AFywAAAA="/>
  </w:docVars>
  <w:rsids>
    <w:rsidRoot w:val="005020D6"/>
    <w:rsid w:val="00003543"/>
    <w:rsid w:val="0000461D"/>
    <w:rsid w:val="000119E3"/>
    <w:rsid w:val="00030EB2"/>
    <w:rsid w:val="000333E8"/>
    <w:rsid w:val="0007259E"/>
    <w:rsid w:val="00085247"/>
    <w:rsid w:val="000A0D95"/>
    <w:rsid w:val="000A6946"/>
    <w:rsid w:val="000B6019"/>
    <w:rsid w:val="000C1378"/>
    <w:rsid w:val="000F5909"/>
    <w:rsid w:val="00110016"/>
    <w:rsid w:val="00123F87"/>
    <w:rsid w:val="00160B53"/>
    <w:rsid w:val="001739A5"/>
    <w:rsid w:val="00175AAF"/>
    <w:rsid w:val="00185B55"/>
    <w:rsid w:val="001A1A5E"/>
    <w:rsid w:val="001A4FC5"/>
    <w:rsid w:val="001A6752"/>
    <w:rsid w:val="0021600E"/>
    <w:rsid w:val="00223985"/>
    <w:rsid w:val="00233C1E"/>
    <w:rsid w:val="002403E4"/>
    <w:rsid w:val="00252C0A"/>
    <w:rsid w:val="00273319"/>
    <w:rsid w:val="00274F21"/>
    <w:rsid w:val="00294558"/>
    <w:rsid w:val="002B1247"/>
    <w:rsid w:val="002C1737"/>
    <w:rsid w:val="002C4402"/>
    <w:rsid w:val="002E6511"/>
    <w:rsid w:val="002E7413"/>
    <w:rsid w:val="002F2534"/>
    <w:rsid w:val="002F3137"/>
    <w:rsid w:val="002F520B"/>
    <w:rsid w:val="00350008"/>
    <w:rsid w:val="00361811"/>
    <w:rsid w:val="00364288"/>
    <w:rsid w:val="00391C02"/>
    <w:rsid w:val="003C04FA"/>
    <w:rsid w:val="003C1B61"/>
    <w:rsid w:val="003D79CD"/>
    <w:rsid w:val="003E2FE6"/>
    <w:rsid w:val="003E5E2A"/>
    <w:rsid w:val="003F1106"/>
    <w:rsid w:val="003F4365"/>
    <w:rsid w:val="004005A8"/>
    <w:rsid w:val="00426196"/>
    <w:rsid w:val="00430783"/>
    <w:rsid w:val="00465FE8"/>
    <w:rsid w:val="004769F9"/>
    <w:rsid w:val="004A656F"/>
    <w:rsid w:val="004E2C8F"/>
    <w:rsid w:val="005020D6"/>
    <w:rsid w:val="00541CB5"/>
    <w:rsid w:val="005508B7"/>
    <w:rsid w:val="005713A4"/>
    <w:rsid w:val="0058602D"/>
    <w:rsid w:val="00591ACD"/>
    <w:rsid w:val="005B0339"/>
    <w:rsid w:val="005C2254"/>
    <w:rsid w:val="005C5EF1"/>
    <w:rsid w:val="005D4862"/>
    <w:rsid w:val="005E6E69"/>
    <w:rsid w:val="005F09D7"/>
    <w:rsid w:val="0061405A"/>
    <w:rsid w:val="00651AD7"/>
    <w:rsid w:val="006534CC"/>
    <w:rsid w:val="006577A9"/>
    <w:rsid w:val="00681CB9"/>
    <w:rsid w:val="00694729"/>
    <w:rsid w:val="006A2E29"/>
    <w:rsid w:val="006B72F0"/>
    <w:rsid w:val="006B7E33"/>
    <w:rsid w:val="006D0675"/>
    <w:rsid w:val="006E416C"/>
    <w:rsid w:val="006E61DA"/>
    <w:rsid w:val="00721A2D"/>
    <w:rsid w:val="007274C1"/>
    <w:rsid w:val="00747966"/>
    <w:rsid w:val="00747D12"/>
    <w:rsid w:val="00755138"/>
    <w:rsid w:val="00756394"/>
    <w:rsid w:val="00764287"/>
    <w:rsid w:val="00775C01"/>
    <w:rsid w:val="0078171C"/>
    <w:rsid w:val="007840AE"/>
    <w:rsid w:val="007A2948"/>
    <w:rsid w:val="007A7DE8"/>
    <w:rsid w:val="007C1E63"/>
    <w:rsid w:val="007C29E7"/>
    <w:rsid w:val="007C3624"/>
    <w:rsid w:val="007D3734"/>
    <w:rsid w:val="007E3915"/>
    <w:rsid w:val="007E5F1A"/>
    <w:rsid w:val="00806C1E"/>
    <w:rsid w:val="008150A3"/>
    <w:rsid w:val="00833D39"/>
    <w:rsid w:val="00834BDD"/>
    <w:rsid w:val="00834F23"/>
    <w:rsid w:val="00836CFF"/>
    <w:rsid w:val="008456BF"/>
    <w:rsid w:val="008471B3"/>
    <w:rsid w:val="00864936"/>
    <w:rsid w:val="0087640D"/>
    <w:rsid w:val="008826C1"/>
    <w:rsid w:val="00893046"/>
    <w:rsid w:val="0089776B"/>
    <w:rsid w:val="008C1C53"/>
    <w:rsid w:val="008C29D5"/>
    <w:rsid w:val="008C3003"/>
    <w:rsid w:val="008F1B15"/>
    <w:rsid w:val="0090026D"/>
    <w:rsid w:val="00905D4A"/>
    <w:rsid w:val="00914EF2"/>
    <w:rsid w:val="00925E9D"/>
    <w:rsid w:val="0093035E"/>
    <w:rsid w:val="0093300F"/>
    <w:rsid w:val="00950F8A"/>
    <w:rsid w:val="00954CEE"/>
    <w:rsid w:val="00966105"/>
    <w:rsid w:val="00973580"/>
    <w:rsid w:val="00974835"/>
    <w:rsid w:val="0099302F"/>
    <w:rsid w:val="009A3004"/>
    <w:rsid w:val="009D64E3"/>
    <w:rsid w:val="009E69C9"/>
    <w:rsid w:val="009E69E0"/>
    <w:rsid w:val="00A1611C"/>
    <w:rsid w:val="00A25BC6"/>
    <w:rsid w:val="00A606C9"/>
    <w:rsid w:val="00A6304F"/>
    <w:rsid w:val="00A63538"/>
    <w:rsid w:val="00A93248"/>
    <w:rsid w:val="00A96ECD"/>
    <w:rsid w:val="00AA13E8"/>
    <w:rsid w:val="00AB6E73"/>
    <w:rsid w:val="00AC1A12"/>
    <w:rsid w:val="00B2714E"/>
    <w:rsid w:val="00B2781A"/>
    <w:rsid w:val="00B33C44"/>
    <w:rsid w:val="00B553D6"/>
    <w:rsid w:val="00BB1048"/>
    <w:rsid w:val="00BC053C"/>
    <w:rsid w:val="00BC6F27"/>
    <w:rsid w:val="00BF5A4B"/>
    <w:rsid w:val="00C127A9"/>
    <w:rsid w:val="00C47F4D"/>
    <w:rsid w:val="00C5102B"/>
    <w:rsid w:val="00C56DFE"/>
    <w:rsid w:val="00C60FCE"/>
    <w:rsid w:val="00C67AA8"/>
    <w:rsid w:val="00C90F0F"/>
    <w:rsid w:val="00C92370"/>
    <w:rsid w:val="00CA2A48"/>
    <w:rsid w:val="00CA46F5"/>
    <w:rsid w:val="00CA6B3D"/>
    <w:rsid w:val="00CB67F2"/>
    <w:rsid w:val="00CE15AC"/>
    <w:rsid w:val="00CE46B9"/>
    <w:rsid w:val="00CE69A5"/>
    <w:rsid w:val="00CF037B"/>
    <w:rsid w:val="00CF514C"/>
    <w:rsid w:val="00D1235A"/>
    <w:rsid w:val="00D30BE0"/>
    <w:rsid w:val="00D51FDF"/>
    <w:rsid w:val="00D536E8"/>
    <w:rsid w:val="00D658BE"/>
    <w:rsid w:val="00D660D7"/>
    <w:rsid w:val="00D7208B"/>
    <w:rsid w:val="00D80CBB"/>
    <w:rsid w:val="00D925D7"/>
    <w:rsid w:val="00DA75AA"/>
    <w:rsid w:val="00DB1672"/>
    <w:rsid w:val="00DB311C"/>
    <w:rsid w:val="00DB418C"/>
    <w:rsid w:val="00DD552B"/>
    <w:rsid w:val="00DE4D67"/>
    <w:rsid w:val="00DE6316"/>
    <w:rsid w:val="00E039E6"/>
    <w:rsid w:val="00E043F9"/>
    <w:rsid w:val="00E12B0E"/>
    <w:rsid w:val="00E61BEB"/>
    <w:rsid w:val="00E820D7"/>
    <w:rsid w:val="00E952C4"/>
    <w:rsid w:val="00E97477"/>
    <w:rsid w:val="00E97863"/>
    <w:rsid w:val="00EB6315"/>
    <w:rsid w:val="00EC399D"/>
    <w:rsid w:val="00EC44D1"/>
    <w:rsid w:val="00ED3CC1"/>
    <w:rsid w:val="00EF390E"/>
    <w:rsid w:val="00EF63C9"/>
    <w:rsid w:val="00F054F6"/>
    <w:rsid w:val="00F326A3"/>
    <w:rsid w:val="00F3726F"/>
    <w:rsid w:val="00F42B20"/>
    <w:rsid w:val="00F46384"/>
    <w:rsid w:val="00F52E00"/>
    <w:rsid w:val="00F57818"/>
    <w:rsid w:val="00FB768C"/>
    <w:rsid w:val="00FD0FF4"/>
    <w:rsid w:val="00FD5D21"/>
    <w:rsid w:val="00FE0BD0"/>
    <w:rsid w:val="00FE3CCC"/>
    <w:rsid w:val="00FF0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6C0FA"/>
  <w15:docId w15:val="{DDE84E14-35A1-48C0-82C9-BD4F4AC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3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3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3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3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3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3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3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3A0"/>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23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3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3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3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3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3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3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3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3A0"/>
    <w:rPr>
      <w:rFonts w:eastAsiaTheme="majorEastAsia" w:cstheme="majorBidi"/>
      <w:color w:val="272727" w:themeColor="text1" w:themeTint="D8"/>
    </w:rPr>
  </w:style>
  <w:style w:type="character" w:customStyle="1" w:styleId="TitleChar">
    <w:name w:val="Title Char"/>
    <w:basedOn w:val="DefaultParagraphFont"/>
    <w:link w:val="Title"/>
    <w:uiPriority w:val="10"/>
    <w:rsid w:val="00DD23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spacing w:after="160"/>
    </w:pPr>
    <w:rPr>
      <w:color w:val="595959"/>
      <w:sz w:val="28"/>
      <w:szCs w:val="28"/>
    </w:rPr>
  </w:style>
  <w:style w:type="character" w:customStyle="1" w:styleId="SubtitleChar">
    <w:name w:val="Subtitle Char"/>
    <w:basedOn w:val="DefaultParagraphFont"/>
    <w:link w:val="Subtitle"/>
    <w:uiPriority w:val="11"/>
    <w:rsid w:val="00DD23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3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23A0"/>
    <w:rPr>
      <w:i/>
      <w:iCs/>
      <w:color w:val="404040" w:themeColor="text1" w:themeTint="BF"/>
    </w:rPr>
  </w:style>
  <w:style w:type="paragraph" w:styleId="ListParagraph">
    <w:name w:val="List Paragraph"/>
    <w:basedOn w:val="Normal"/>
    <w:uiPriority w:val="34"/>
    <w:qFormat/>
    <w:rsid w:val="00DD23A0"/>
    <w:pPr>
      <w:ind w:left="720"/>
      <w:contextualSpacing/>
    </w:pPr>
  </w:style>
  <w:style w:type="character" w:styleId="IntenseEmphasis">
    <w:name w:val="Intense Emphasis"/>
    <w:basedOn w:val="DefaultParagraphFont"/>
    <w:uiPriority w:val="21"/>
    <w:qFormat/>
    <w:rsid w:val="00DD23A0"/>
    <w:rPr>
      <w:i/>
      <w:iCs/>
      <w:color w:val="0F4761" w:themeColor="accent1" w:themeShade="BF"/>
    </w:rPr>
  </w:style>
  <w:style w:type="paragraph" w:styleId="IntenseQuote">
    <w:name w:val="Intense Quote"/>
    <w:basedOn w:val="Normal"/>
    <w:next w:val="Normal"/>
    <w:link w:val="IntenseQuoteChar"/>
    <w:uiPriority w:val="30"/>
    <w:qFormat/>
    <w:rsid w:val="00DD2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3A0"/>
    <w:rPr>
      <w:i/>
      <w:iCs/>
      <w:color w:val="0F4761" w:themeColor="accent1" w:themeShade="BF"/>
    </w:rPr>
  </w:style>
  <w:style w:type="character" w:styleId="IntenseReference">
    <w:name w:val="Intense Reference"/>
    <w:basedOn w:val="DefaultParagraphFont"/>
    <w:uiPriority w:val="32"/>
    <w:qFormat/>
    <w:rsid w:val="00DD23A0"/>
    <w:rPr>
      <w:b/>
      <w:bCs/>
      <w:smallCaps/>
      <w:color w:val="0F4761" w:themeColor="accent1" w:themeShade="BF"/>
      <w:spacing w:val="5"/>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40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3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656F"/>
    <w:rPr>
      <w:b/>
      <w:bCs/>
    </w:rPr>
  </w:style>
  <w:style w:type="character" w:customStyle="1" w:styleId="CommentSubjectChar">
    <w:name w:val="Comment Subject Char"/>
    <w:basedOn w:val="CommentTextChar"/>
    <w:link w:val="CommentSubject"/>
    <w:uiPriority w:val="99"/>
    <w:semiHidden/>
    <w:rsid w:val="004A656F"/>
    <w:rPr>
      <w:b/>
      <w:bCs/>
      <w:sz w:val="20"/>
      <w:szCs w:val="20"/>
    </w:rPr>
  </w:style>
  <w:style w:type="paragraph" w:styleId="Revision">
    <w:name w:val="Revision"/>
    <w:hidden/>
    <w:uiPriority w:val="99"/>
    <w:semiHidden/>
    <w:rsid w:val="00DD552B"/>
    <w:pPr>
      <w:bidi w:val="0"/>
    </w:pPr>
  </w:style>
  <w:style w:type="character" w:styleId="Hyperlink">
    <w:name w:val="Hyperlink"/>
    <w:basedOn w:val="DefaultParagraphFont"/>
    <w:uiPriority w:val="99"/>
    <w:unhideWhenUsed/>
    <w:rsid w:val="003C1B61"/>
    <w:rPr>
      <w:color w:val="467886" w:themeColor="hyperlink"/>
      <w:u w:val="single"/>
    </w:rPr>
  </w:style>
  <w:style w:type="character" w:customStyle="1" w:styleId="UnresolvedMention1">
    <w:name w:val="Unresolved Mention1"/>
    <w:basedOn w:val="DefaultParagraphFont"/>
    <w:uiPriority w:val="99"/>
    <w:semiHidden/>
    <w:unhideWhenUsed/>
    <w:rsid w:val="003C1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051561">
      <w:bodyDiv w:val="1"/>
      <w:marLeft w:val="0"/>
      <w:marRight w:val="0"/>
      <w:marTop w:val="0"/>
      <w:marBottom w:val="0"/>
      <w:divBdr>
        <w:top w:val="none" w:sz="0" w:space="0" w:color="auto"/>
        <w:left w:val="none" w:sz="0" w:space="0" w:color="auto"/>
        <w:bottom w:val="none" w:sz="0" w:space="0" w:color="auto"/>
        <w:right w:val="none" w:sz="0" w:space="0" w:color="auto"/>
      </w:divBdr>
      <w:divsChild>
        <w:div w:id="1944605797">
          <w:marLeft w:val="0"/>
          <w:marRight w:val="0"/>
          <w:marTop w:val="0"/>
          <w:marBottom w:val="0"/>
          <w:divBdr>
            <w:top w:val="none" w:sz="0" w:space="0" w:color="auto"/>
            <w:left w:val="none" w:sz="0" w:space="0" w:color="auto"/>
            <w:bottom w:val="none" w:sz="0" w:space="0" w:color="auto"/>
            <w:right w:val="none" w:sz="0" w:space="0" w:color="auto"/>
          </w:divBdr>
          <w:divsChild>
            <w:div w:id="921647698">
              <w:marLeft w:val="0"/>
              <w:marRight w:val="0"/>
              <w:marTop w:val="0"/>
              <w:marBottom w:val="0"/>
              <w:divBdr>
                <w:top w:val="none" w:sz="0" w:space="0" w:color="auto"/>
                <w:left w:val="none" w:sz="0" w:space="0" w:color="auto"/>
                <w:bottom w:val="none" w:sz="0" w:space="0" w:color="auto"/>
                <w:right w:val="none" w:sz="0" w:space="0" w:color="auto"/>
              </w:divBdr>
            </w:div>
          </w:divsChild>
        </w:div>
        <w:div w:id="1002928549">
          <w:marLeft w:val="0"/>
          <w:marRight w:val="0"/>
          <w:marTop w:val="0"/>
          <w:marBottom w:val="0"/>
          <w:divBdr>
            <w:top w:val="none" w:sz="0" w:space="0" w:color="auto"/>
            <w:left w:val="none" w:sz="0" w:space="0" w:color="auto"/>
            <w:bottom w:val="none" w:sz="0" w:space="0" w:color="auto"/>
            <w:right w:val="none" w:sz="0" w:space="0" w:color="auto"/>
          </w:divBdr>
          <w:divsChild>
            <w:div w:id="1133596335">
              <w:marLeft w:val="0"/>
              <w:marRight w:val="0"/>
              <w:marTop w:val="0"/>
              <w:marBottom w:val="0"/>
              <w:divBdr>
                <w:top w:val="none" w:sz="0" w:space="0" w:color="auto"/>
                <w:left w:val="none" w:sz="0" w:space="0" w:color="auto"/>
                <w:bottom w:val="none" w:sz="0" w:space="0" w:color="auto"/>
                <w:right w:val="none" w:sz="0" w:space="0" w:color="auto"/>
              </w:divBdr>
              <w:divsChild>
                <w:div w:id="168721218">
                  <w:marLeft w:val="0"/>
                  <w:marRight w:val="0"/>
                  <w:marTop w:val="0"/>
                  <w:marBottom w:val="0"/>
                  <w:divBdr>
                    <w:top w:val="none" w:sz="0" w:space="0" w:color="auto"/>
                    <w:left w:val="none" w:sz="0" w:space="0" w:color="auto"/>
                    <w:bottom w:val="none" w:sz="0" w:space="0" w:color="auto"/>
                    <w:right w:val="none" w:sz="0" w:space="0" w:color="auto"/>
                  </w:divBdr>
                  <w:divsChild>
                    <w:div w:id="1685588479">
                      <w:marLeft w:val="0"/>
                      <w:marRight w:val="0"/>
                      <w:marTop w:val="0"/>
                      <w:marBottom w:val="0"/>
                      <w:divBdr>
                        <w:top w:val="none" w:sz="0" w:space="0" w:color="auto"/>
                        <w:left w:val="none" w:sz="0" w:space="0" w:color="auto"/>
                        <w:bottom w:val="none" w:sz="0" w:space="0" w:color="auto"/>
                        <w:right w:val="none" w:sz="0" w:space="0" w:color="auto"/>
                      </w:divBdr>
                      <w:divsChild>
                        <w:div w:id="1784687441">
                          <w:marLeft w:val="0"/>
                          <w:marRight w:val="0"/>
                          <w:marTop w:val="0"/>
                          <w:marBottom w:val="0"/>
                          <w:divBdr>
                            <w:top w:val="none" w:sz="0" w:space="0" w:color="auto"/>
                            <w:left w:val="none" w:sz="0" w:space="0" w:color="auto"/>
                            <w:bottom w:val="none" w:sz="0" w:space="0" w:color="auto"/>
                            <w:right w:val="none" w:sz="0" w:space="0" w:color="auto"/>
                          </w:divBdr>
                          <w:divsChild>
                            <w:div w:id="1513454270">
                              <w:marLeft w:val="0"/>
                              <w:marRight w:val="0"/>
                              <w:marTop w:val="0"/>
                              <w:marBottom w:val="0"/>
                              <w:divBdr>
                                <w:top w:val="none" w:sz="0" w:space="0" w:color="auto"/>
                                <w:left w:val="none" w:sz="0" w:space="0" w:color="auto"/>
                                <w:bottom w:val="none" w:sz="0" w:space="0" w:color="auto"/>
                                <w:right w:val="none" w:sz="0" w:space="0" w:color="auto"/>
                              </w:divBdr>
                            </w:div>
                            <w:div w:id="20246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196097">
      <w:bodyDiv w:val="1"/>
      <w:marLeft w:val="0"/>
      <w:marRight w:val="0"/>
      <w:marTop w:val="0"/>
      <w:marBottom w:val="0"/>
      <w:divBdr>
        <w:top w:val="none" w:sz="0" w:space="0" w:color="auto"/>
        <w:left w:val="none" w:sz="0" w:space="0" w:color="auto"/>
        <w:bottom w:val="none" w:sz="0" w:space="0" w:color="auto"/>
        <w:right w:val="none" w:sz="0" w:space="0" w:color="auto"/>
      </w:divBdr>
      <w:divsChild>
        <w:div w:id="1679771275">
          <w:marLeft w:val="0"/>
          <w:marRight w:val="0"/>
          <w:marTop w:val="0"/>
          <w:marBottom w:val="0"/>
          <w:divBdr>
            <w:top w:val="none" w:sz="0" w:space="0" w:color="auto"/>
            <w:left w:val="none" w:sz="0" w:space="0" w:color="auto"/>
            <w:bottom w:val="none" w:sz="0" w:space="0" w:color="auto"/>
            <w:right w:val="none" w:sz="0" w:space="0" w:color="auto"/>
          </w:divBdr>
          <w:divsChild>
            <w:div w:id="1345546460">
              <w:marLeft w:val="0"/>
              <w:marRight w:val="0"/>
              <w:marTop w:val="0"/>
              <w:marBottom w:val="0"/>
              <w:divBdr>
                <w:top w:val="none" w:sz="0" w:space="0" w:color="auto"/>
                <w:left w:val="none" w:sz="0" w:space="0" w:color="auto"/>
                <w:bottom w:val="none" w:sz="0" w:space="0" w:color="auto"/>
                <w:right w:val="none" w:sz="0" w:space="0" w:color="auto"/>
              </w:divBdr>
            </w:div>
          </w:divsChild>
        </w:div>
        <w:div w:id="1841113474">
          <w:marLeft w:val="0"/>
          <w:marRight w:val="0"/>
          <w:marTop w:val="0"/>
          <w:marBottom w:val="0"/>
          <w:divBdr>
            <w:top w:val="none" w:sz="0" w:space="0" w:color="auto"/>
            <w:left w:val="none" w:sz="0" w:space="0" w:color="auto"/>
            <w:bottom w:val="none" w:sz="0" w:space="0" w:color="auto"/>
            <w:right w:val="none" w:sz="0" w:space="0" w:color="auto"/>
          </w:divBdr>
          <w:divsChild>
            <w:div w:id="304509132">
              <w:marLeft w:val="0"/>
              <w:marRight w:val="0"/>
              <w:marTop w:val="0"/>
              <w:marBottom w:val="0"/>
              <w:divBdr>
                <w:top w:val="none" w:sz="0" w:space="0" w:color="auto"/>
                <w:left w:val="none" w:sz="0" w:space="0" w:color="auto"/>
                <w:bottom w:val="none" w:sz="0" w:space="0" w:color="auto"/>
                <w:right w:val="none" w:sz="0" w:space="0" w:color="auto"/>
              </w:divBdr>
              <w:divsChild>
                <w:div w:id="1766072976">
                  <w:marLeft w:val="0"/>
                  <w:marRight w:val="0"/>
                  <w:marTop w:val="0"/>
                  <w:marBottom w:val="0"/>
                  <w:divBdr>
                    <w:top w:val="none" w:sz="0" w:space="0" w:color="auto"/>
                    <w:left w:val="none" w:sz="0" w:space="0" w:color="auto"/>
                    <w:bottom w:val="none" w:sz="0" w:space="0" w:color="auto"/>
                    <w:right w:val="none" w:sz="0" w:space="0" w:color="auto"/>
                  </w:divBdr>
                  <w:divsChild>
                    <w:div w:id="1549610060">
                      <w:marLeft w:val="0"/>
                      <w:marRight w:val="0"/>
                      <w:marTop w:val="0"/>
                      <w:marBottom w:val="0"/>
                      <w:divBdr>
                        <w:top w:val="none" w:sz="0" w:space="0" w:color="auto"/>
                        <w:left w:val="none" w:sz="0" w:space="0" w:color="auto"/>
                        <w:bottom w:val="none" w:sz="0" w:space="0" w:color="auto"/>
                        <w:right w:val="none" w:sz="0" w:space="0" w:color="auto"/>
                      </w:divBdr>
                      <w:divsChild>
                        <w:div w:id="962464517">
                          <w:marLeft w:val="0"/>
                          <w:marRight w:val="0"/>
                          <w:marTop w:val="0"/>
                          <w:marBottom w:val="0"/>
                          <w:divBdr>
                            <w:top w:val="none" w:sz="0" w:space="0" w:color="auto"/>
                            <w:left w:val="none" w:sz="0" w:space="0" w:color="auto"/>
                            <w:bottom w:val="none" w:sz="0" w:space="0" w:color="auto"/>
                            <w:right w:val="none" w:sz="0" w:space="0" w:color="auto"/>
                          </w:divBdr>
                          <w:divsChild>
                            <w:div w:id="1856966258">
                              <w:marLeft w:val="0"/>
                              <w:marRight w:val="0"/>
                              <w:marTop w:val="0"/>
                              <w:marBottom w:val="0"/>
                              <w:divBdr>
                                <w:top w:val="none" w:sz="0" w:space="0" w:color="auto"/>
                                <w:left w:val="none" w:sz="0" w:space="0" w:color="auto"/>
                                <w:bottom w:val="none" w:sz="0" w:space="0" w:color="auto"/>
                                <w:right w:val="none" w:sz="0" w:space="0" w:color="auto"/>
                              </w:divBdr>
                            </w:div>
                            <w:div w:id="10181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s.ecdc.europa.eu/portal/apps/dashboards/fc1d8b9f4a8740808935600db9a96057" TargetMode="External"/><Relationship Id="rId3" Type="http://schemas.openxmlformats.org/officeDocument/2006/relationships/numbering" Target="numbering.xml"/><Relationship Id="rId7" Type="http://schemas.openxmlformats.org/officeDocument/2006/relationships/hyperlink" Target="http://www.emro.who.int/polio/certification/occupied-palestinian-territory-certification.htm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olioeradication.org/news/second-round-of-polio-vaccination-in-the-gaza-strip-aims-to-vaccinate-over-half-a-million-children/" TargetMode="External"/><Relationship Id="rId4" Type="http://schemas.openxmlformats.org/officeDocument/2006/relationships/styles" Target="styles.xml"/><Relationship Id="rId9" Type="http://schemas.openxmlformats.org/officeDocument/2006/relationships/hyperlink" Target="https://polioeradication.org/news/variant-type-2-poliovirus-isolated-from-sewage-samples-in-gaz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j/U7LEVCx0uA5fIn/Yqum/Irw==">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</go:docsCustomData>
</go:gDocsCustomXmlDataStorage>
</file>

<file path=customXml/itemProps1.xml><?xml version="1.0" encoding="utf-8"?>
<ds:datastoreItem xmlns:ds="http://schemas.openxmlformats.org/officeDocument/2006/customXml" ds:itemID="{4619E0EE-BD43-40CD-AA37-6CA9A50240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Itamar Grotto</dc:creator>
  <cp:lastModifiedBy>Susan Doron</cp:lastModifiedBy>
  <cp:revision>2</cp:revision>
  <dcterms:created xsi:type="dcterms:W3CDTF">2024-10-13T05:29:00Z</dcterms:created>
  <dcterms:modified xsi:type="dcterms:W3CDTF">2024-10-13T05:29:00Z</dcterms:modified>
</cp:coreProperties>
</file>