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Pr="006D41D8" w:rsidRDefault="006D41D8" w:rsidP="006D41D8">
            <w:pPr>
              <w:jc w:val="center"/>
              <w:rPr>
                <w:highlight w:val="yellow"/>
                <w:rtl/>
              </w:rPr>
            </w:pPr>
            <w:r w:rsidRPr="006D41D8">
              <w:rPr>
                <w:rFonts w:hint="cs"/>
                <w:highlight w:val="yellow"/>
                <w:rtl/>
              </w:rPr>
              <w:t>תרגום</w:t>
            </w: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BC5729" w:rsidRDefault="002B1902" w:rsidP="00BC5729">
            <w:pPr>
              <w:rPr>
                <w:rFonts w:asciiTheme="majorHAnsi" w:hAnsiTheme="majorHAnsi" w:cstheme="majorHAnsi"/>
                <w:b/>
                <w:bCs/>
                <w:sz w:val="26"/>
                <w:szCs w:val="26"/>
                <w:rtl/>
              </w:rPr>
            </w:pPr>
            <w:r>
              <w:rPr>
                <w:rFonts w:asciiTheme="majorHAnsi" w:hAnsiTheme="majorHAnsi" w:cstheme="majorHAnsi" w:hint="cs"/>
                <w:b/>
                <w:bCs/>
                <w:sz w:val="26"/>
                <w:szCs w:val="26"/>
                <w:rtl/>
              </w:rPr>
              <w:t>כנסים עירוניים</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3E46B8" w:rsidRDefault="003E46B8" w:rsidP="00E84131">
            <w:pPr>
              <w:rPr>
                <w:rFonts w:asciiTheme="majorHAnsi" w:hAnsiTheme="majorHAnsi" w:cstheme="majorHAnsi"/>
                <w:b/>
                <w:bCs/>
                <w:sz w:val="27"/>
                <w:szCs w:val="27"/>
                <w:rtl/>
              </w:rPr>
            </w:pPr>
            <w:r w:rsidRPr="003E46B8">
              <w:rPr>
                <w:rFonts w:asciiTheme="majorHAnsi" w:hAnsiTheme="majorHAnsi" w:cs="Calibri Light"/>
                <w:b/>
                <w:bCs/>
                <w:sz w:val="27"/>
                <w:szCs w:val="27"/>
                <w:rtl/>
              </w:rPr>
              <w:t xml:space="preserve">כנסים עירוניים מקצועיים בהובלת אורבן95, שמטרתם לבסס ידע משותף, לפתח כלים ומיומנויות ולעודד שיתופי פעולה </w:t>
            </w:r>
            <w:proofErr w:type="spellStart"/>
            <w:r w:rsidRPr="003E46B8">
              <w:rPr>
                <w:rFonts w:asciiTheme="majorHAnsi" w:hAnsiTheme="majorHAnsi" w:cs="Calibri Light"/>
                <w:b/>
                <w:bCs/>
                <w:sz w:val="27"/>
                <w:szCs w:val="27"/>
                <w:rtl/>
              </w:rPr>
              <w:t>חוצי</w:t>
            </w:r>
            <w:proofErr w:type="spellEnd"/>
            <w:r w:rsidRPr="003E46B8">
              <w:rPr>
                <w:rFonts w:asciiTheme="majorHAnsi" w:hAnsiTheme="majorHAnsi" w:cs="Calibri Light"/>
                <w:b/>
                <w:bCs/>
                <w:sz w:val="27"/>
                <w:szCs w:val="27"/>
                <w:rtl/>
              </w:rPr>
              <w:t xml:space="preserve"> מחלקות עירוניות. באמצעות אירועי השיא הללו אנו שואפות להביא לקדמת הבמה את נושא הגיל הרך והחיבור משמעותי שלו לתכנון וניהול עירוני, לעורר השראה, להעצים את הגופים העירוניים לפעולה ולהניע יוזמות חדשניות בתל אביב-יפו.</w:t>
            </w:r>
          </w:p>
        </w:tc>
        <w:tc>
          <w:tcPr>
            <w:tcW w:w="5057" w:type="dxa"/>
          </w:tcPr>
          <w:p w:rsidR="00E84131" w:rsidRDefault="00E84131" w:rsidP="00E84131"/>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B2576A" w:rsidRDefault="003E46B8" w:rsidP="00E84131">
            <w:pPr>
              <w:rPr>
                <w:rFonts w:asciiTheme="majorHAnsi" w:hAnsiTheme="majorHAnsi" w:cstheme="majorHAnsi"/>
                <w:sz w:val="26"/>
                <w:szCs w:val="26"/>
                <w:rtl/>
              </w:rPr>
            </w:pPr>
            <w:r w:rsidRPr="003E46B8">
              <w:rPr>
                <w:rFonts w:asciiTheme="majorHAnsi" w:hAnsiTheme="majorHAnsi" w:cs="Calibri Light"/>
                <w:sz w:val="26"/>
                <w:szCs w:val="26"/>
                <w:rtl/>
              </w:rPr>
              <w:t xml:space="preserve">יצירת מרחב המיטיב עם תינוקות, פעוטות והמלווים שלהם אתגר עירוני משמעותי. ההתמודדות עם אתגר זה מתאפשרת בזכות שיתוף פעולה עמוק ואיכותי של גורמים עירוניים מגוונים, ואינה מסתמכת על צוות או מחלקה יחידים. בסיס ידע איכותי, היכרות הדדית ועבודה משותפת מהווים מפתח לשיפור השירותים העירוניים בתחום הגיל הרך. לכן, באורבן95 אנו מקדישות משאבים רבים לביסוס גוף ידע מקצועי, מקיף ומתפתח, האמון על </w:t>
            </w:r>
            <w:proofErr w:type="spellStart"/>
            <w:r w:rsidRPr="003E46B8">
              <w:rPr>
                <w:rFonts w:asciiTheme="majorHAnsi" w:hAnsiTheme="majorHAnsi" w:cs="Calibri Light"/>
                <w:sz w:val="26"/>
                <w:szCs w:val="26"/>
                <w:rtl/>
              </w:rPr>
              <w:t>הנגשת</w:t>
            </w:r>
            <w:proofErr w:type="spellEnd"/>
            <w:r w:rsidRPr="003E46B8">
              <w:rPr>
                <w:rFonts w:asciiTheme="majorHAnsi" w:hAnsiTheme="majorHAnsi" w:cs="Calibri Light"/>
                <w:sz w:val="26"/>
                <w:szCs w:val="26"/>
                <w:rtl/>
              </w:rPr>
              <w:t xml:space="preserve"> הידע בתחום הגיל הרך למגוון רחב של שותפים עירוניים, יצירת סביבה תומכת לחשיבה יצירתית ויזמות, ובכך לעודד פיתוח מענים מגוונים לרווחת הפעוטות תושבי העיר ובני משפחותיהם. על מנת לתמוך בתהליכים הללו, קיימנו כנסים עירוניים עשירים, הפונים למגוון גורמים וצוותים מקצועיים העובדים בעיריית תל אביב-יפו.</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B2576A" w:rsidRDefault="003E46B8" w:rsidP="00B2576A">
            <w:pPr>
              <w:rPr>
                <w:rFonts w:asciiTheme="majorHAnsi" w:hAnsiTheme="majorHAnsi" w:cstheme="majorHAnsi"/>
                <w:sz w:val="26"/>
                <w:szCs w:val="26"/>
                <w:rtl/>
              </w:rPr>
            </w:pPr>
            <w:r w:rsidRPr="003E46B8">
              <w:rPr>
                <w:rFonts w:asciiTheme="majorHAnsi" w:hAnsiTheme="majorHAnsi" w:cs="Calibri Light"/>
                <w:b/>
                <w:bCs/>
                <w:sz w:val="26"/>
                <w:szCs w:val="26"/>
                <w:rtl/>
              </w:rPr>
              <w:t>הכנסים העירוניים</w:t>
            </w:r>
            <w:r w:rsidRPr="003E46B8">
              <w:rPr>
                <w:rFonts w:asciiTheme="majorHAnsi" w:hAnsiTheme="majorHAnsi" w:cs="Calibri Light"/>
                <w:sz w:val="26"/>
                <w:szCs w:val="26"/>
                <w:rtl/>
              </w:rPr>
              <w:t xml:space="preserve"> מהווים פלטפורמה ייחודית להקניית ידע מקצועי ומעשי בתחום הגיל הרך והפיתוח העירוני, השראה ופיתוח שיתופי פעולה פוריים, איגום משאבים ומתן תוכן איכותי ברמה גבוהה. באמצעות סדרת הרצאות, פאנלים וסדנאות, אנו מציעים לעובדי העירייה הזדמנות </w:t>
            </w:r>
            <w:proofErr w:type="spellStart"/>
            <w:r w:rsidRPr="003E46B8">
              <w:rPr>
                <w:rFonts w:asciiTheme="majorHAnsi" w:hAnsiTheme="majorHAnsi" w:cs="Calibri Light"/>
                <w:sz w:val="26"/>
                <w:szCs w:val="26"/>
                <w:rtl/>
              </w:rPr>
              <w:t>חוייתית</w:t>
            </w:r>
            <w:proofErr w:type="spellEnd"/>
            <w:r w:rsidRPr="003E46B8">
              <w:rPr>
                <w:rFonts w:asciiTheme="majorHAnsi" w:hAnsiTheme="majorHAnsi" w:cs="Calibri Light"/>
                <w:sz w:val="26"/>
                <w:szCs w:val="26"/>
                <w:rtl/>
              </w:rPr>
              <w:t xml:space="preserve"> להכיר מקרוב את עולם הפעוטות, ללמוד ממומחים בינלאומיים ולהתחבר לעמיתים ממחלקות אחרות. מעבר להעשרת הידע המקצועי, במהלך הכנסים אנו פועלות לחיזוק תחושת השייכות והאחריות </w:t>
            </w:r>
            <w:r w:rsidRPr="003E46B8">
              <w:rPr>
                <w:rFonts w:asciiTheme="majorHAnsi" w:hAnsiTheme="majorHAnsi" w:cs="Calibri Light"/>
                <w:sz w:val="26"/>
                <w:szCs w:val="26"/>
                <w:rtl/>
              </w:rPr>
              <w:lastRenderedPageBreak/>
              <w:t>המשותפת לקידום יוזמות חדשניות לטובת רווחת הילדים והמשפחות בעיר.</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0D7DCB" w:rsidRDefault="003E46B8" w:rsidP="00E84131">
            <w:pPr>
              <w:rPr>
                <w:rFonts w:ascii="Calibri Light" w:hAnsi="Calibri Light" w:cs="Calibri Light"/>
                <w:sz w:val="26"/>
                <w:szCs w:val="26"/>
                <w:rtl/>
              </w:rPr>
            </w:pPr>
            <w:r w:rsidRPr="003E46B8">
              <w:rPr>
                <w:rFonts w:ascii="Calibri Light" w:hAnsi="Calibri Light" w:cs="Calibri Light"/>
                <w:sz w:val="26"/>
                <w:szCs w:val="26"/>
                <w:rtl/>
              </w:rPr>
              <w:t>לכל כנס נבחר נושא מרכזי, סביבו נבנה התוכן, נבחרים הדוברים, מעוצבות הסדנאות ונרקמים שיתופי פעולה עם גורמים מקצועיים מכל העולם. בין הכנסים שערכנו עד כה:</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3E46B8" w:rsidRPr="003E46B8" w:rsidRDefault="003E46B8" w:rsidP="003E46B8">
            <w:pPr>
              <w:pStyle w:val="a4"/>
              <w:numPr>
                <w:ilvl w:val="0"/>
                <w:numId w:val="13"/>
              </w:numPr>
              <w:rPr>
                <w:rFonts w:ascii="Calibri Light" w:hAnsi="Calibri Light" w:cs="Calibri Light"/>
                <w:sz w:val="26"/>
                <w:szCs w:val="26"/>
                <w:rtl/>
              </w:rPr>
            </w:pPr>
            <w:r w:rsidRPr="003E46B8">
              <w:rPr>
                <w:rFonts w:ascii="Calibri Light" w:hAnsi="Calibri Light" w:cs="Calibri Light"/>
                <w:sz w:val="26"/>
                <w:szCs w:val="26"/>
                <w:rtl/>
              </w:rPr>
              <w:t xml:space="preserve">משחק חופשי(דובר מרכזי- </w:t>
            </w:r>
            <w:proofErr w:type="spellStart"/>
            <w:r w:rsidRPr="003E46B8">
              <w:rPr>
                <w:rFonts w:ascii="Calibri Light" w:hAnsi="Calibri Light" w:cs="Calibri Light"/>
                <w:sz w:val="26"/>
                <w:szCs w:val="26"/>
              </w:rPr>
              <w:t>Darell</w:t>
            </w:r>
            <w:proofErr w:type="spellEnd"/>
            <w:r w:rsidRPr="003E46B8">
              <w:rPr>
                <w:rFonts w:ascii="Calibri Light" w:hAnsi="Calibri Light" w:cs="Calibri Light"/>
                <w:sz w:val="26"/>
                <w:szCs w:val="26"/>
              </w:rPr>
              <w:t xml:space="preserve"> Hammond</w:t>
            </w:r>
            <w:r w:rsidRPr="003E46B8">
              <w:rPr>
                <w:rFonts w:ascii="Calibri Light" w:hAnsi="Calibri Light" w:cs="Calibri Light"/>
                <w:sz w:val="26"/>
                <w:szCs w:val="26"/>
                <w:rtl/>
              </w:rPr>
              <w:t>): הרצאה בנושא אסטרטגיה לתכנון עיר מפרספקטיבה של 95 ס"מ(דובר מרכזי-), הצגת התכנית האסטרטגית העירונית לתחום הגיל הרך, סדנת רעיונאות בנושא חשיבה מוכוונת הגיל הרך.</w:t>
            </w:r>
          </w:p>
          <w:p w:rsidR="003E46B8" w:rsidRPr="003E46B8" w:rsidRDefault="003E46B8" w:rsidP="003E46B8">
            <w:pPr>
              <w:pStyle w:val="a4"/>
              <w:numPr>
                <w:ilvl w:val="0"/>
                <w:numId w:val="13"/>
              </w:numPr>
              <w:rPr>
                <w:rFonts w:ascii="Calibri Light" w:hAnsi="Calibri Light" w:cs="Calibri Light"/>
                <w:sz w:val="26"/>
                <w:szCs w:val="26"/>
                <w:rtl/>
              </w:rPr>
            </w:pPr>
            <w:r w:rsidRPr="003E46B8">
              <w:rPr>
                <w:rFonts w:ascii="Calibri Light" w:hAnsi="Calibri Light" w:cs="Calibri Light"/>
                <w:sz w:val="26"/>
                <w:szCs w:val="26"/>
                <w:rtl/>
              </w:rPr>
              <w:t xml:space="preserve">הרחוב כמרחב מותאם לילדים, בשיתוף </w:t>
            </w:r>
            <w:r w:rsidRPr="003E46B8">
              <w:rPr>
                <w:rFonts w:ascii="Calibri Light" w:hAnsi="Calibri Light" w:cs="Calibri Light"/>
                <w:sz w:val="26"/>
                <w:szCs w:val="26"/>
              </w:rPr>
              <w:t>NACTO</w:t>
            </w:r>
            <w:r w:rsidRPr="003E46B8">
              <w:rPr>
                <w:rFonts w:ascii="Calibri Light" w:hAnsi="Calibri Light" w:cs="Calibri Light"/>
                <w:sz w:val="26"/>
                <w:szCs w:val="26"/>
                <w:rtl/>
              </w:rPr>
              <w:t xml:space="preserve">: חשיבה על המרחב העירוני לקטנים ולגדולים, איך יוצרים רחובות טובים לכולם, חוויית </w:t>
            </w:r>
            <w:r w:rsidRPr="003E46B8">
              <w:rPr>
                <w:rFonts w:ascii="Calibri Light" w:hAnsi="Calibri Light" w:cs="Calibri Light"/>
                <w:sz w:val="26"/>
                <w:szCs w:val="26"/>
              </w:rPr>
              <w:t>VR</w:t>
            </w:r>
            <w:r w:rsidRPr="003E46B8">
              <w:rPr>
                <w:rFonts w:ascii="Calibri Light" w:hAnsi="Calibri Light" w:cs="Calibri Light"/>
                <w:sz w:val="26"/>
                <w:szCs w:val="26"/>
                <w:rtl/>
              </w:rPr>
              <w:t xml:space="preserve"> של העיר מגובה 95 ס"מ.</w:t>
            </w:r>
          </w:p>
          <w:p w:rsidR="003E46B8" w:rsidRPr="003E46B8" w:rsidRDefault="003E46B8" w:rsidP="003E46B8">
            <w:pPr>
              <w:pStyle w:val="a4"/>
              <w:numPr>
                <w:ilvl w:val="0"/>
                <w:numId w:val="13"/>
              </w:numPr>
              <w:rPr>
                <w:rFonts w:ascii="Calibri Light" w:hAnsi="Calibri Light" w:cs="Calibri Light"/>
                <w:sz w:val="26"/>
                <w:szCs w:val="26"/>
                <w:rtl/>
              </w:rPr>
            </w:pPr>
            <w:r w:rsidRPr="003E46B8">
              <w:rPr>
                <w:rFonts w:ascii="Calibri Light" w:hAnsi="Calibri Light" w:cs="Calibri Light"/>
                <w:sz w:val="26"/>
                <w:szCs w:val="26"/>
                <w:rtl/>
              </w:rPr>
              <w:t>התפתחות המוח בגיל הרך (דובר מרכזי - פרופ' איתי ברגר): הרצאה בנושא התפתחות ילד (מפגשי לימוד וסדנאות בנושא התפתחות המוח בגילאי לידה עד שלוש.</w:t>
            </w:r>
          </w:p>
          <w:p w:rsidR="003E46B8" w:rsidRPr="003E46B8" w:rsidRDefault="003E46B8" w:rsidP="003E46B8">
            <w:pPr>
              <w:pStyle w:val="a4"/>
              <w:numPr>
                <w:ilvl w:val="0"/>
                <w:numId w:val="13"/>
              </w:numPr>
              <w:rPr>
                <w:rFonts w:ascii="Calibri Light" w:hAnsi="Calibri Light" w:cs="Calibri Light"/>
                <w:sz w:val="26"/>
                <w:szCs w:val="26"/>
                <w:rtl/>
              </w:rPr>
            </w:pPr>
            <w:r w:rsidRPr="003E46B8">
              <w:rPr>
                <w:rFonts w:ascii="Calibri Light" w:hAnsi="Calibri Light" w:cs="Calibri Light"/>
                <w:sz w:val="26"/>
                <w:szCs w:val="26"/>
                <w:rtl/>
              </w:rPr>
              <w:t xml:space="preserve">התפתחות השפה בגיל הרך, (דוברת מרכזית - </w:t>
            </w:r>
            <w:r w:rsidRPr="003E46B8">
              <w:rPr>
                <w:rFonts w:ascii="Calibri Light" w:hAnsi="Calibri Light" w:cs="Calibri Light"/>
                <w:sz w:val="26"/>
                <w:szCs w:val="26"/>
              </w:rPr>
              <w:t xml:space="preserve">Patricia K. </w:t>
            </w:r>
            <w:proofErr w:type="spellStart"/>
            <w:r w:rsidRPr="003E46B8">
              <w:rPr>
                <w:rFonts w:ascii="Calibri Light" w:hAnsi="Calibri Light" w:cs="Calibri Light"/>
                <w:sz w:val="26"/>
                <w:szCs w:val="26"/>
              </w:rPr>
              <w:t>Kuhl</w:t>
            </w:r>
            <w:proofErr w:type="spellEnd"/>
            <w:r w:rsidRPr="003E46B8">
              <w:rPr>
                <w:rFonts w:ascii="Calibri Light" w:hAnsi="Calibri Light" w:cs="Calibri Light"/>
                <w:sz w:val="26"/>
                <w:szCs w:val="26"/>
              </w:rPr>
              <w:t xml:space="preserve">, </w:t>
            </w:r>
            <w:proofErr w:type="spellStart"/>
            <w:r w:rsidRPr="003E46B8">
              <w:rPr>
                <w:rFonts w:ascii="Calibri Light" w:hAnsi="Calibri Light" w:cs="Calibri Light"/>
                <w:sz w:val="26"/>
                <w:szCs w:val="26"/>
              </w:rPr>
              <w:t>Ph.D</w:t>
            </w:r>
            <w:proofErr w:type="spellEnd"/>
            <w:r w:rsidRPr="003E46B8">
              <w:rPr>
                <w:rFonts w:ascii="Calibri Light" w:hAnsi="Calibri Light" w:cs="Calibri Light"/>
                <w:sz w:val="26"/>
                <w:szCs w:val="26"/>
                <w:rtl/>
              </w:rPr>
              <w:t>): כיצד ילדים לומדים לדבר ואיך הסביבה יכולה להשפיע? הרצאה בנושא שפה, אוריינות ומוח של תינוקות, פאנל עירוני, הזדמנויות ואתגרים בתחום.</w:t>
            </w:r>
          </w:p>
          <w:p w:rsidR="00E41CFF" w:rsidRPr="003E46B8" w:rsidRDefault="003E46B8" w:rsidP="003E46B8">
            <w:pPr>
              <w:pStyle w:val="a4"/>
              <w:numPr>
                <w:ilvl w:val="0"/>
                <w:numId w:val="13"/>
              </w:numPr>
              <w:rPr>
                <w:rFonts w:ascii="Calibri Light" w:hAnsi="Calibri Light" w:cs="Calibri Light"/>
                <w:sz w:val="26"/>
                <w:szCs w:val="26"/>
                <w:rtl/>
              </w:rPr>
            </w:pPr>
            <w:r w:rsidRPr="003E46B8">
              <w:rPr>
                <w:rFonts w:ascii="Calibri Light" w:hAnsi="Calibri Light" w:cs="Calibri Light"/>
                <w:sz w:val="26"/>
                <w:szCs w:val="26"/>
                <w:rtl/>
              </w:rPr>
              <w:t>עיר בריאה לילדים, (דובר מרכזי-</w:t>
            </w:r>
            <w:r w:rsidRPr="003E46B8">
              <w:rPr>
                <w:rFonts w:ascii="Calibri Light" w:hAnsi="Calibri Light" w:cs="Calibri Light"/>
                <w:sz w:val="26"/>
                <w:szCs w:val="26"/>
              </w:rPr>
              <w:t>Carlos Dora, MD</w:t>
            </w:r>
            <w:r w:rsidRPr="003E46B8">
              <w:rPr>
                <w:rFonts w:ascii="Calibri Light" w:hAnsi="Calibri Light" w:cs="Calibri Light"/>
                <w:sz w:val="26"/>
                <w:szCs w:val="26"/>
                <w:rtl/>
              </w:rPr>
              <w:t>): הרצאה בנושא הקשר בין סביבה עירונית לבריאות ילדים בגיל הרך והצגת מקרי בוחן מישראל והעולם הנוגעים לילדות בריאה בעיר.</w:t>
            </w:r>
          </w:p>
        </w:tc>
        <w:tc>
          <w:tcPr>
            <w:tcW w:w="5057" w:type="dxa"/>
          </w:tcPr>
          <w:p w:rsidR="00E41CFF" w:rsidRDefault="00E41CFF"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3E46B8" w:rsidRPr="003E46B8" w:rsidRDefault="003E46B8" w:rsidP="003E46B8">
            <w:pPr>
              <w:numPr>
                <w:ilvl w:val="0"/>
                <w:numId w:val="11"/>
              </w:numPr>
              <w:spacing w:before="100" w:beforeAutospacing="1" w:after="100" w:afterAutospacing="1"/>
              <w:jc w:val="both"/>
              <w:textAlignment w:val="baseline"/>
              <w:rPr>
                <w:rFonts w:asciiTheme="majorHAnsi" w:eastAsia="Times New Roman" w:hAnsiTheme="majorHAnsi" w:cstheme="majorHAnsi"/>
                <w:color w:val="383B3F"/>
                <w:sz w:val="26"/>
                <w:szCs w:val="26"/>
              </w:rPr>
            </w:pPr>
            <w:r w:rsidRPr="003E46B8">
              <w:rPr>
                <w:rFonts w:asciiTheme="majorHAnsi" w:eastAsia="Times New Roman" w:hAnsiTheme="majorHAnsi" w:cstheme="majorHAnsi"/>
                <w:b/>
                <w:bCs/>
                <w:color w:val="383B3F"/>
                <w:sz w:val="26"/>
                <w:szCs w:val="26"/>
                <w:rtl/>
              </w:rPr>
              <w:t>רכישת כלים פרקטיים וידע מקצועי של עובדי העירייה</w:t>
            </w:r>
            <w:r w:rsidRPr="003E46B8">
              <w:rPr>
                <w:rFonts w:asciiTheme="majorHAnsi" w:eastAsia="Times New Roman" w:hAnsiTheme="majorHAnsi" w:cstheme="majorHAnsi"/>
                <w:color w:val="383B3F"/>
                <w:sz w:val="26"/>
                <w:szCs w:val="26"/>
                <w:rtl/>
              </w:rPr>
              <w:t> הנוגעים להשפעת המרחב העירוני על היבטים שונים של הגיל הרך (בהתאם לנושא הכנס)</w:t>
            </w:r>
            <w:r w:rsidRPr="003E46B8">
              <w:rPr>
                <w:rFonts w:asciiTheme="majorHAnsi" w:eastAsia="Times New Roman" w:hAnsiTheme="majorHAnsi" w:cstheme="majorHAnsi"/>
                <w:color w:val="383B3F"/>
                <w:sz w:val="26"/>
                <w:szCs w:val="26"/>
              </w:rPr>
              <w:t>.</w:t>
            </w:r>
          </w:p>
          <w:p w:rsidR="003E46B8" w:rsidRPr="003E46B8" w:rsidRDefault="003E46B8" w:rsidP="003E46B8">
            <w:pPr>
              <w:numPr>
                <w:ilvl w:val="0"/>
                <w:numId w:val="11"/>
              </w:numPr>
              <w:spacing w:before="100" w:beforeAutospacing="1" w:after="100" w:afterAutospacing="1"/>
              <w:jc w:val="both"/>
              <w:textAlignment w:val="baseline"/>
              <w:rPr>
                <w:rFonts w:asciiTheme="majorHAnsi" w:eastAsia="Times New Roman" w:hAnsiTheme="majorHAnsi" w:cstheme="majorHAnsi"/>
                <w:color w:val="383B3F"/>
                <w:sz w:val="26"/>
                <w:szCs w:val="26"/>
              </w:rPr>
            </w:pPr>
            <w:r w:rsidRPr="003E46B8">
              <w:rPr>
                <w:rFonts w:asciiTheme="majorHAnsi" w:eastAsia="Times New Roman" w:hAnsiTheme="majorHAnsi" w:cstheme="majorHAnsi"/>
                <w:b/>
                <w:bCs/>
                <w:color w:val="383B3F"/>
                <w:sz w:val="26"/>
                <w:szCs w:val="26"/>
                <w:rtl/>
              </w:rPr>
              <w:lastRenderedPageBreak/>
              <w:t>שיפור כמות ואיכות שיתופי הפעולה </w:t>
            </w:r>
            <w:r w:rsidRPr="003E46B8">
              <w:rPr>
                <w:rFonts w:asciiTheme="majorHAnsi" w:eastAsia="Times New Roman" w:hAnsiTheme="majorHAnsi" w:cstheme="majorHAnsi"/>
                <w:color w:val="383B3F"/>
                <w:sz w:val="26"/>
                <w:szCs w:val="26"/>
                <w:rtl/>
              </w:rPr>
              <w:t>בין גורמים עירוניים</w:t>
            </w:r>
            <w:r w:rsidRPr="003E46B8">
              <w:rPr>
                <w:rFonts w:asciiTheme="majorHAnsi" w:eastAsia="Times New Roman" w:hAnsiTheme="majorHAnsi" w:cstheme="majorHAnsi"/>
                <w:color w:val="383B3F"/>
                <w:sz w:val="26"/>
                <w:szCs w:val="26"/>
              </w:rPr>
              <w:t>.</w:t>
            </w:r>
          </w:p>
          <w:p w:rsidR="003E46B8" w:rsidRPr="003E46B8" w:rsidRDefault="003E46B8" w:rsidP="003E46B8">
            <w:pPr>
              <w:numPr>
                <w:ilvl w:val="0"/>
                <w:numId w:val="11"/>
              </w:numPr>
              <w:spacing w:before="100" w:beforeAutospacing="1" w:after="100" w:afterAutospacing="1"/>
              <w:jc w:val="both"/>
              <w:textAlignment w:val="baseline"/>
              <w:rPr>
                <w:rFonts w:asciiTheme="majorHAnsi" w:eastAsia="Times New Roman" w:hAnsiTheme="majorHAnsi" w:cstheme="majorHAnsi"/>
                <w:color w:val="383B3F"/>
                <w:sz w:val="26"/>
                <w:szCs w:val="26"/>
              </w:rPr>
            </w:pPr>
            <w:r w:rsidRPr="003E46B8">
              <w:rPr>
                <w:rFonts w:asciiTheme="majorHAnsi" w:eastAsia="Times New Roman" w:hAnsiTheme="majorHAnsi" w:cstheme="majorHAnsi"/>
                <w:color w:val="383B3F"/>
                <w:sz w:val="26"/>
                <w:szCs w:val="26"/>
                <w:rtl/>
              </w:rPr>
              <w:t xml:space="preserve">הכנס השנתי </w:t>
            </w:r>
            <w:proofErr w:type="spellStart"/>
            <w:r w:rsidRPr="003E46B8">
              <w:rPr>
                <w:rFonts w:asciiTheme="majorHAnsi" w:eastAsia="Times New Roman" w:hAnsiTheme="majorHAnsi" w:cstheme="majorHAnsi"/>
                <w:color w:val="383B3F"/>
                <w:sz w:val="26"/>
                <w:szCs w:val="26"/>
                <w:rtl/>
              </w:rPr>
              <w:t>התמצב</w:t>
            </w:r>
            <w:proofErr w:type="spellEnd"/>
            <w:r w:rsidRPr="003E46B8">
              <w:rPr>
                <w:rFonts w:asciiTheme="majorHAnsi" w:eastAsia="Times New Roman" w:hAnsiTheme="majorHAnsi" w:cstheme="majorHAnsi"/>
                <w:color w:val="383B3F"/>
                <w:sz w:val="26"/>
                <w:szCs w:val="26"/>
                <w:rtl/>
              </w:rPr>
              <w:t xml:space="preserve"> בעירייה כ</w:t>
            </w:r>
            <w:r w:rsidRPr="003E46B8">
              <w:rPr>
                <w:rFonts w:asciiTheme="majorHAnsi" w:eastAsia="Times New Roman" w:hAnsiTheme="majorHAnsi" w:cstheme="majorHAnsi"/>
                <w:b/>
                <w:bCs/>
                <w:color w:val="383B3F"/>
                <w:sz w:val="26"/>
                <w:szCs w:val="26"/>
                <w:rtl/>
              </w:rPr>
              <w:t>מעמד מקצועי ואיכותי</w:t>
            </w:r>
            <w:r w:rsidRPr="003E46B8">
              <w:rPr>
                <w:rFonts w:asciiTheme="majorHAnsi" w:eastAsia="Times New Roman" w:hAnsiTheme="majorHAnsi" w:cstheme="majorHAnsi"/>
                <w:color w:val="383B3F"/>
                <w:sz w:val="26"/>
                <w:szCs w:val="26"/>
              </w:rPr>
              <w:t xml:space="preserve">, </w:t>
            </w:r>
            <w:r w:rsidRPr="003E46B8">
              <w:rPr>
                <w:rFonts w:asciiTheme="majorHAnsi" w:eastAsia="Times New Roman" w:hAnsiTheme="majorHAnsi" w:cstheme="majorHAnsi"/>
                <w:color w:val="383B3F"/>
                <w:sz w:val="26"/>
                <w:szCs w:val="26"/>
                <w:rtl/>
              </w:rPr>
              <w:t>במסגרתו מגיעים דוברים בינלאומיים עם ידע עולמי משמעותי ורלוונטי למגוון תפקידים ותחומים</w:t>
            </w:r>
            <w:r w:rsidRPr="003E46B8">
              <w:rPr>
                <w:rFonts w:asciiTheme="majorHAnsi" w:eastAsia="Times New Roman" w:hAnsiTheme="majorHAnsi" w:cstheme="majorHAnsi"/>
                <w:color w:val="383B3F"/>
                <w:sz w:val="26"/>
                <w:szCs w:val="26"/>
              </w:rPr>
              <w:t>.</w:t>
            </w:r>
          </w:p>
          <w:p w:rsidR="004165CA" w:rsidRPr="003E46B8" w:rsidRDefault="003E46B8" w:rsidP="003E46B8">
            <w:pPr>
              <w:numPr>
                <w:ilvl w:val="0"/>
                <w:numId w:val="11"/>
              </w:numPr>
              <w:spacing w:before="100" w:beforeAutospacing="1" w:after="100" w:afterAutospacing="1"/>
              <w:jc w:val="both"/>
              <w:textAlignment w:val="baseline"/>
              <w:rPr>
                <w:rFonts w:asciiTheme="majorHAnsi" w:eastAsia="Times New Roman" w:hAnsiTheme="majorHAnsi" w:cstheme="majorHAnsi"/>
                <w:color w:val="383B3F"/>
                <w:sz w:val="26"/>
                <w:szCs w:val="26"/>
                <w:rtl/>
              </w:rPr>
            </w:pPr>
            <w:r w:rsidRPr="003E46B8">
              <w:rPr>
                <w:rFonts w:asciiTheme="majorHAnsi" w:eastAsia="Times New Roman" w:hAnsiTheme="majorHAnsi" w:cstheme="majorHAnsi"/>
                <w:color w:val="383B3F"/>
                <w:sz w:val="26"/>
                <w:szCs w:val="26"/>
                <w:rtl/>
              </w:rPr>
              <w:t>תחושות של </w:t>
            </w:r>
            <w:r w:rsidRPr="003E46B8">
              <w:rPr>
                <w:rFonts w:asciiTheme="majorHAnsi" w:eastAsia="Times New Roman" w:hAnsiTheme="majorHAnsi" w:cstheme="majorHAnsi"/>
                <w:b/>
                <w:bCs/>
                <w:color w:val="383B3F"/>
                <w:sz w:val="26"/>
                <w:szCs w:val="26"/>
                <w:rtl/>
              </w:rPr>
              <w:t>השראה, יציאה מהשגרה ומוטיבציה ליישום</w:t>
            </w:r>
            <w:r w:rsidRPr="003E46B8">
              <w:rPr>
                <w:rFonts w:asciiTheme="majorHAnsi" w:eastAsia="Times New Roman" w:hAnsiTheme="majorHAnsi" w:cstheme="majorHAnsi"/>
                <w:color w:val="383B3F"/>
                <w:sz w:val="26"/>
                <w:szCs w:val="26"/>
                <w:rtl/>
              </w:rPr>
              <w:t> רעיונות בתחומים בהם עוסקים הכנסים</w:t>
            </w:r>
            <w:r w:rsidRPr="003E46B8">
              <w:rPr>
                <w:rFonts w:asciiTheme="majorHAnsi" w:eastAsia="Times New Roman" w:hAnsiTheme="majorHAnsi" w:cstheme="majorHAnsi"/>
                <w:color w:val="383B3F"/>
                <w:sz w:val="26"/>
                <w:szCs w:val="26"/>
              </w:rPr>
              <w:t>.</w:t>
            </w: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3E46B8" w:rsidRPr="003E46B8" w:rsidRDefault="003E46B8" w:rsidP="003E46B8">
            <w:pPr>
              <w:numPr>
                <w:ilvl w:val="0"/>
                <w:numId w:val="15"/>
              </w:numPr>
              <w:spacing w:before="100" w:beforeAutospacing="1" w:after="100" w:afterAutospacing="1"/>
              <w:jc w:val="both"/>
              <w:textAlignment w:val="baseline"/>
              <w:rPr>
                <w:rFonts w:asciiTheme="majorHAnsi" w:eastAsia="Times New Roman" w:hAnsiTheme="majorHAnsi" w:cstheme="majorHAnsi"/>
                <w:color w:val="383B3F"/>
                <w:sz w:val="26"/>
                <w:szCs w:val="26"/>
              </w:rPr>
            </w:pPr>
            <w:r w:rsidRPr="003E46B8">
              <w:rPr>
                <w:rFonts w:asciiTheme="majorHAnsi" w:eastAsia="Times New Roman" w:hAnsiTheme="majorHAnsi" w:cstheme="majorHAnsi"/>
                <w:b/>
                <w:bCs/>
                <w:color w:val="383B3F"/>
                <w:sz w:val="26"/>
                <w:szCs w:val="26"/>
                <w:rtl/>
              </w:rPr>
              <w:t>תכנון וביצוע הכנס יחד עם גורם עירוני מרכזי נוסף</w:t>
            </w:r>
            <w:r w:rsidRPr="003E46B8">
              <w:rPr>
                <w:rFonts w:asciiTheme="majorHAnsi" w:eastAsia="Times New Roman" w:hAnsiTheme="majorHAnsi" w:cstheme="majorHAnsi"/>
                <w:color w:val="383B3F"/>
                <w:sz w:val="26"/>
                <w:szCs w:val="26"/>
              </w:rPr>
              <w:t xml:space="preserve">, </w:t>
            </w:r>
            <w:r w:rsidRPr="003E46B8">
              <w:rPr>
                <w:rFonts w:asciiTheme="majorHAnsi" w:eastAsia="Times New Roman" w:hAnsiTheme="majorHAnsi" w:cstheme="majorHAnsi"/>
                <w:color w:val="383B3F"/>
                <w:sz w:val="26"/>
                <w:szCs w:val="26"/>
                <w:rtl/>
              </w:rPr>
              <w:t>מאפשרת רתימה משמעותית של אגפי עירייה, איגום משאבים, והידוק רלוונטיות נושא הכנס לפרקטיקה העירונית היומיומית</w:t>
            </w:r>
            <w:r w:rsidRPr="003E46B8">
              <w:rPr>
                <w:rFonts w:asciiTheme="majorHAnsi" w:eastAsia="Times New Roman" w:hAnsiTheme="majorHAnsi" w:cstheme="majorHAnsi"/>
                <w:color w:val="383B3F"/>
                <w:sz w:val="26"/>
                <w:szCs w:val="26"/>
              </w:rPr>
              <w:t>.</w:t>
            </w:r>
          </w:p>
          <w:p w:rsidR="003E46B8" w:rsidRPr="003E46B8" w:rsidRDefault="003E46B8" w:rsidP="003E46B8">
            <w:pPr>
              <w:numPr>
                <w:ilvl w:val="0"/>
                <w:numId w:val="15"/>
              </w:numPr>
              <w:spacing w:before="100" w:beforeAutospacing="1" w:after="100" w:afterAutospacing="1"/>
              <w:jc w:val="both"/>
              <w:textAlignment w:val="baseline"/>
              <w:rPr>
                <w:rFonts w:asciiTheme="majorHAnsi" w:eastAsia="Times New Roman" w:hAnsiTheme="majorHAnsi" w:cstheme="majorHAnsi"/>
                <w:color w:val="383B3F"/>
                <w:sz w:val="26"/>
                <w:szCs w:val="26"/>
              </w:rPr>
            </w:pPr>
            <w:r w:rsidRPr="003E46B8">
              <w:rPr>
                <w:rFonts w:asciiTheme="majorHAnsi" w:eastAsia="Times New Roman" w:hAnsiTheme="majorHAnsi" w:cstheme="majorHAnsi"/>
                <w:color w:val="383B3F"/>
                <w:sz w:val="26"/>
                <w:szCs w:val="26"/>
                <w:rtl/>
              </w:rPr>
              <w:t>ההשקעה בהבאת </w:t>
            </w:r>
            <w:r w:rsidRPr="003E46B8">
              <w:rPr>
                <w:rFonts w:asciiTheme="majorHAnsi" w:eastAsia="Times New Roman" w:hAnsiTheme="majorHAnsi" w:cstheme="majorHAnsi"/>
                <w:b/>
                <w:bCs/>
                <w:color w:val="383B3F"/>
                <w:sz w:val="26"/>
                <w:szCs w:val="26"/>
                <w:rtl/>
              </w:rPr>
              <w:t>דובר מרכזי בעל שם בינלאומי</w:t>
            </w:r>
            <w:r w:rsidRPr="003E46B8">
              <w:rPr>
                <w:rFonts w:asciiTheme="majorHAnsi" w:eastAsia="Times New Roman" w:hAnsiTheme="majorHAnsi" w:cstheme="majorHAnsi"/>
                <w:color w:val="383B3F"/>
                <w:sz w:val="26"/>
                <w:szCs w:val="26"/>
                <w:rtl/>
              </w:rPr>
              <w:t> או הכרה מקצועית רחבה מעודדת אנשים להשתתפות ושמה "תו איכות" על האירוע כולו</w:t>
            </w:r>
            <w:r w:rsidRPr="003E46B8">
              <w:rPr>
                <w:rFonts w:asciiTheme="majorHAnsi" w:eastAsia="Times New Roman" w:hAnsiTheme="majorHAnsi" w:cstheme="majorHAnsi"/>
                <w:color w:val="383B3F"/>
                <w:sz w:val="26"/>
                <w:szCs w:val="26"/>
              </w:rPr>
              <w:t>.</w:t>
            </w:r>
          </w:p>
          <w:p w:rsidR="003E46B8" w:rsidRPr="003E46B8" w:rsidRDefault="003E46B8" w:rsidP="003E46B8">
            <w:pPr>
              <w:numPr>
                <w:ilvl w:val="0"/>
                <w:numId w:val="15"/>
              </w:numPr>
              <w:spacing w:before="100" w:beforeAutospacing="1" w:after="100" w:afterAutospacing="1"/>
              <w:jc w:val="both"/>
              <w:textAlignment w:val="baseline"/>
              <w:rPr>
                <w:rFonts w:asciiTheme="majorHAnsi" w:eastAsia="Times New Roman" w:hAnsiTheme="majorHAnsi" w:cstheme="majorHAnsi"/>
                <w:color w:val="383B3F"/>
                <w:sz w:val="26"/>
                <w:szCs w:val="26"/>
              </w:rPr>
            </w:pPr>
            <w:r w:rsidRPr="003E46B8">
              <w:rPr>
                <w:rFonts w:asciiTheme="majorHAnsi" w:eastAsia="Times New Roman" w:hAnsiTheme="majorHAnsi" w:cstheme="majorHAnsi"/>
                <w:color w:val="383B3F"/>
                <w:sz w:val="26"/>
                <w:szCs w:val="26"/>
                <w:rtl/>
              </w:rPr>
              <w:t>על מנת להביא לנוכחות גבוהה מכל היחידות העירוניות</w:t>
            </w:r>
            <w:r w:rsidRPr="003E46B8">
              <w:rPr>
                <w:rFonts w:asciiTheme="majorHAnsi" w:eastAsia="Times New Roman" w:hAnsiTheme="majorHAnsi" w:cstheme="majorHAnsi"/>
                <w:color w:val="383B3F"/>
                <w:sz w:val="26"/>
                <w:szCs w:val="26"/>
              </w:rPr>
              <w:t>, </w:t>
            </w:r>
            <w:r w:rsidRPr="003E46B8">
              <w:rPr>
                <w:rFonts w:asciiTheme="majorHAnsi" w:eastAsia="Times New Roman" w:hAnsiTheme="majorHAnsi" w:cstheme="majorHAnsi"/>
                <w:b/>
                <w:bCs/>
                <w:color w:val="383B3F"/>
                <w:sz w:val="26"/>
                <w:szCs w:val="26"/>
                <w:rtl/>
              </w:rPr>
              <w:t>נדרשת עבודה משמעותית ויומיומית של פרסום, הרשמה ושיח מול מנהלים ועובדים</w:t>
            </w:r>
            <w:r w:rsidRPr="003E46B8">
              <w:rPr>
                <w:rFonts w:asciiTheme="majorHAnsi" w:eastAsia="Times New Roman" w:hAnsiTheme="majorHAnsi" w:cstheme="majorHAnsi"/>
                <w:color w:val="383B3F"/>
                <w:sz w:val="26"/>
                <w:szCs w:val="26"/>
              </w:rPr>
              <w:t>. </w:t>
            </w:r>
          </w:p>
          <w:p w:rsidR="004165CA" w:rsidRPr="003E46B8" w:rsidRDefault="003E46B8" w:rsidP="003E46B8">
            <w:pPr>
              <w:numPr>
                <w:ilvl w:val="0"/>
                <w:numId w:val="15"/>
              </w:numPr>
              <w:spacing w:before="100" w:beforeAutospacing="1" w:after="100" w:afterAutospacing="1"/>
              <w:jc w:val="both"/>
              <w:textAlignment w:val="baseline"/>
              <w:rPr>
                <w:rFonts w:asciiTheme="majorHAnsi" w:eastAsia="Times New Roman" w:hAnsiTheme="majorHAnsi" w:cstheme="majorHAnsi"/>
                <w:color w:val="383B3F"/>
                <w:sz w:val="26"/>
                <w:szCs w:val="26"/>
                <w:rtl/>
              </w:rPr>
            </w:pPr>
            <w:r w:rsidRPr="003E46B8">
              <w:rPr>
                <w:rFonts w:asciiTheme="majorHAnsi" w:eastAsia="Times New Roman" w:hAnsiTheme="majorHAnsi" w:cstheme="majorHAnsi"/>
                <w:b/>
                <w:bCs/>
                <w:color w:val="383B3F"/>
                <w:sz w:val="26"/>
                <w:szCs w:val="26"/>
                <w:rtl/>
              </w:rPr>
              <w:t>בחירת נושא הכנס ומועדו בחיבור לאג'נדה עירונית ולאירועים נוספים במרחב</w:t>
            </w:r>
            <w:r w:rsidRPr="003E46B8">
              <w:rPr>
                <w:rFonts w:asciiTheme="majorHAnsi" w:eastAsia="Times New Roman" w:hAnsiTheme="majorHAnsi" w:cstheme="majorHAnsi"/>
                <w:color w:val="383B3F"/>
                <w:sz w:val="26"/>
                <w:szCs w:val="26"/>
              </w:rPr>
              <w:t xml:space="preserve">, </w:t>
            </w:r>
            <w:r w:rsidRPr="003E46B8">
              <w:rPr>
                <w:rFonts w:asciiTheme="majorHAnsi" w:eastAsia="Times New Roman" w:hAnsiTheme="majorHAnsi" w:cstheme="majorHAnsi"/>
                <w:color w:val="383B3F"/>
                <w:sz w:val="26"/>
                <w:szCs w:val="26"/>
                <w:rtl/>
              </w:rPr>
              <w:t>מאפשרים תהודה רחבה יותר והשפעה חווייתית בדרכים שונות. לדוגמא, הכנס שעסק ב"משחק חופשי" התקיים במקביל לאירוע "משחקים בכיכר</w:t>
            </w:r>
            <w:r w:rsidRPr="003E46B8">
              <w:rPr>
                <w:rFonts w:asciiTheme="majorHAnsi" w:eastAsia="Times New Roman" w:hAnsiTheme="majorHAnsi" w:cstheme="majorHAnsi"/>
                <w:color w:val="383B3F"/>
                <w:sz w:val="26"/>
                <w:szCs w:val="26"/>
              </w:rPr>
              <w:t>".</w:t>
            </w:r>
          </w:p>
        </w:tc>
        <w:tc>
          <w:tcPr>
            <w:tcW w:w="5057" w:type="dxa"/>
          </w:tcPr>
          <w:p w:rsidR="004165CA" w:rsidRDefault="004165CA" w:rsidP="00E84131">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092C82" w:rsidRPr="00B56768" w:rsidRDefault="00092C82" w:rsidP="00B2576A">
            <w:pPr>
              <w:rPr>
                <w:rFonts w:ascii="Calibri Light" w:hAnsi="Calibri Light" w:cs="Calibri Light"/>
                <w:sz w:val="26"/>
                <w:szCs w:val="26"/>
                <w:rtl/>
              </w:rPr>
            </w:pPr>
            <w:bookmarkStart w:id="0" w:name="_GoBack"/>
            <w:bookmarkEnd w:id="0"/>
            <w:r>
              <w:rPr>
                <w:rFonts w:ascii="Calibri Light" w:hAnsi="Calibri Light" w:cs="Calibri Light" w:hint="cs"/>
                <w:sz w:val="26"/>
                <w:szCs w:val="26"/>
                <w:rtl/>
              </w:rPr>
              <w:t>תשתית עירונית</w:t>
            </w:r>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6C05D1" w:rsidRDefault="00092C82" w:rsidP="00CA407B">
            <w:pPr>
              <w:rPr>
                <w:rFonts w:ascii="Calibri Light" w:hAnsi="Calibri Light" w:cs="Calibri Light"/>
                <w:sz w:val="26"/>
                <w:szCs w:val="26"/>
                <w:rtl/>
              </w:rPr>
            </w:pPr>
            <w:r>
              <w:rPr>
                <w:rFonts w:ascii="Calibri Light" w:hAnsi="Calibri Light" w:cs="Calibri Light" w:hint="cs"/>
                <w:sz w:val="26"/>
                <w:szCs w:val="26"/>
                <w:rtl/>
              </w:rPr>
              <w:t>גוף ידע</w:t>
            </w:r>
          </w:p>
          <w:p w:rsidR="00CA407B" w:rsidRPr="00B56768" w:rsidRDefault="00CA407B" w:rsidP="00CA407B">
            <w:pPr>
              <w:rPr>
                <w:rFonts w:ascii="Calibri Light" w:hAnsi="Calibri Light" w:cs="Calibri Light"/>
                <w:sz w:val="26"/>
                <w:szCs w:val="26"/>
                <w:rtl/>
              </w:rPr>
            </w:pPr>
          </w:p>
        </w:tc>
        <w:tc>
          <w:tcPr>
            <w:tcW w:w="5057" w:type="dxa"/>
          </w:tcPr>
          <w:p w:rsidR="00CA407B" w:rsidRDefault="00CA407B" w:rsidP="00CA407B">
            <w:pPr>
              <w:rPr>
                <w:rtl/>
              </w:rPr>
            </w:pPr>
          </w:p>
        </w:tc>
      </w:tr>
      <w:tr w:rsidR="006D41D8" w:rsidTr="00507681">
        <w:tc>
          <w:tcPr>
            <w:tcW w:w="1640" w:type="dxa"/>
            <w:vMerge w:val="restart"/>
          </w:tcPr>
          <w:p w:rsidR="006D41D8" w:rsidRDefault="006D41D8"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כיתוב (תמונות)</w:t>
            </w:r>
          </w:p>
        </w:tc>
        <w:tc>
          <w:tcPr>
            <w:tcW w:w="3978" w:type="dxa"/>
          </w:tcPr>
          <w:p w:rsidR="006D41D8" w:rsidRDefault="006D41D8" w:rsidP="00CA407B">
            <w:pPr>
              <w:rPr>
                <w:rFonts w:ascii="Calibri Light" w:hAnsi="Calibri Light" w:cs="Calibri Light"/>
                <w:sz w:val="26"/>
                <w:szCs w:val="26"/>
                <w:rtl/>
              </w:rPr>
            </w:pPr>
            <w:r>
              <w:rPr>
                <w:rFonts w:ascii="Calibri Light" w:hAnsi="Calibri Light" w:cs="Calibri Light" w:hint="cs"/>
                <w:sz w:val="26"/>
                <w:szCs w:val="26"/>
                <w:rtl/>
              </w:rPr>
              <w:t>צילום: שני לויה</w:t>
            </w:r>
          </w:p>
        </w:tc>
        <w:tc>
          <w:tcPr>
            <w:tcW w:w="5057" w:type="dxa"/>
          </w:tcPr>
          <w:p w:rsidR="006D41D8" w:rsidRDefault="006D41D8" w:rsidP="00CA407B">
            <w:pPr>
              <w:rPr>
                <w:rtl/>
              </w:rPr>
            </w:pPr>
          </w:p>
        </w:tc>
      </w:tr>
      <w:tr w:rsidR="006D41D8" w:rsidTr="00507681">
        <w:tc>
          <w:tcPr>
            <w:tcW w:w="1640" w:type="dxa"/>
            <w:vMerge/>
          </w:tcPr>
          <w:p w:rsidR="006D41D8" w:rsidRDefault="006D41D8" w:rsidP="00CA407B">
            <w:pPr>
              <w:rPr>
                <w:rFonts w:ascii="Calibri Light" w:hAnsi="Calibri Light" w:cs="Calibri Light"/>
                <w:b/>
                <w:bCs/>
                <w:sz w:val="26"/>
                <w:szCs w:val="26"/>
                <w:highlight w:val="cyan"/>
                <w:rtl/>
              </w:rPr>
            </w:pPr>
          </w:p>
        </w:tc>
        <w:tc>
          <w:tcPr>
            <w:tcW w:w="3978" w:type="dxa"/>
          </w:tcPr>
          <w:p w:rsidR="006D41D8" w:rsidRDefault="006D41D8" w:rsidP="00CA407B">
            <w:pPr>
              <w:rPr>
                <w:rFonts w:ascii="Calibri Light" w:hAnsi="Calibri Light" w:cs="Calibri Light"/>
                <w:sz w:val="26"/>
                <w:szCs w:val="26"/>
                <w:rtl/>
              </w:rPr>
            </w:pPr>
            <w:r>
              <w:rPr>
                <w:rFonts w:ascii="Calibri Light" w:hAnsi="Calibri Light" w:cs="Calibri Light" w:hint="cs"/>
                <w:sz w:val="26"/>
                <w:szCs w:val="26"/>
                <w:rtl/>
              </w:rPr>
              <w:t xml:space="preserve">צילום: תומר </w:t>
            </w:r>
            <w:proofErr w:type="spellStart"/>
            <w:r>
              <w:rPr>
                <w:rFonts w:ascii="Calibri Light" w:hAnsi="Calibri Light" w:cs="Calibri Light" w:hint="cs"/>
                <w:sz w:val="26"/>
                <w:szCs w:val="26"/>
                <w:rtl/>
              </w:rPr>
              <w:t>ועקנין</w:t>
            </w:r>
            <w:proofErr w:type="spellEnd"/>
          </w:p>
        </w:tc>
        <w:tc>
          <w:tcPr>
            <w:tcW w:w="5057" w:type="dxa"/>
          </w:tcPr>
          <w:p w:rsidR="006D41D8" w:rsidRDefault="006D41D8" w:rsidP="00CA407B">
            <w:pPr>
              <w:rPr>
                <w:rtl/>
              </w:rPr>
            </w:pPr>
          </w:p>
        </w:tc>
      </w:tr>
    </w:tbl>
    <w:p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3BE7"/>
    <w:multiLevelType w:val="multilevel"/>
    <w:tmpl w:val="86F0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23B2C"/>
    <w:multiLevelType w:val="multilevel"/>
    <w:tmpl w:val="9A4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43A92"/>
    <w:multiLevelType w:val="multilevel"/>
    <w:tmpl w:val="7AE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B72D5"/>
    <w:multiLevelType w:val="hybridMultilevel"/>
    <w:tmpl w:val="54BE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C2C4D"/>
    <w:multiLevelType w:val="hybridMultilevel"/>
    <w:tmpl w:val="7960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82AAA"/>
    <w:multiLevelType w:val="multilevel"/>
    <w:tmpl w:val="10C4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2"/>
  </w:num>
  <w:num w:numId="5">
    <w:abstractNumId w:val="7"/>
  </w:num>
  <w:num w:numId="6">
    <w:abstractNumId w:val="6"/>
  </w:num>
  <w:num w:numId="7">
    <w:abstractNumId w:val="9"/>
  </w:num>
  <w:num w:numId="8">
    <w:abstractNumId w:val="5"/>
  </w:num>
  <w:num w:numId="9">
    <w:abstractNumId w:val="13"/>
  </w:num>
  <w:num w:numId="10">
    <w:abstractNumId w:val="11"/>
  </w:num>
  <w:num w:numId="11">
    <w:abstractNumId w:val="8"/>
  </w:num>
  <w:num w:numId="12">
    <w:abstractNumId w:val="3"/>
  </w:num>
  <w:num w:numId="13">
    <w:abstractNumId w:val="10"/>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92C82"/>
    <w:rsid w:val="000D7DCB"/>
    <w:rsid w:val="00212727"/>
    <w:rsid w:val="002B1902"/>
    <w:rsid w:val="002B71A4"/>
    <w:rsid w:val="003E46B8"/>
    <w:rsid w:val="004165CA"/>
    <w:rsid w:val="00507681"/>
    <w:rsid w:val="00556B0A"/>
    <w:rsid w:val="006D41D8"/>
    <w:rsid w:val="007424F2"/>
    <w:rsid w:val="00980C10"/>
    <w:rsid w:val="00B2576A"/>
    <w:rsid w:val="00BC5729"/>
    <w:rsid w:val="00BF10F1"/>
    <w:rsid w:val="00CA407B"/>
    <w:rsid w:val="00CF007E"/>
    <w:rsid w:val="00E41CFF"/>
    <w:rsid w:val="00E84131"/>
    <w:rsid w:val="00E859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48EF"/>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 w:type="paragraph" w:styleId="NormalWeb">
    <w:name w:val="Normal (Web)"/>
    <w:basedOn w:val="a"/>
    <w:uiPriority w:val="99"/>
    <w:semiHidden/>
    <w:unhideWhenUsed/>
    <w:rsid w:val="003E46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59594">
      <w:bodyDiv w:val="1"/>
      <w:marLeft w:val="0"/>
      <w:marRight w:val="0"/>
      <w:marTop w:val="0"/>
      <w:marBottom w:val="0"/>
      <w:divBdr>
        <w:top w:val="none" w:sz="0" w:space="0" w:color="auto"/>
        <w:left w:val="none" w:sz="0" w:space="0" w:color="auto"/>
        <w:bottom w:val="none" w:sz="0" w:space="0" w:color="auto"/>
        <w:right w:val="none" w:sz="0" w:space="0" w:color="auto"/>
      </w:divBdr>
    </w:div>
    <w:div w:id="1215922097">
      <w:bodyDiv w:val="1"/>
      <w:marLeft w:val="0"/>
      <w:marRight w:val="0"/>
      <w:marTop w:val="0"/>
      <w:marBottom w:val="0"/>
      <w:divBdr>
        <w:top w:val="none" w:sz="0" w:space="0" w:color="auto"/>
        <w:left w:val="none" w:sz="0" w:space="0" w:color="auto"/>
        <w:bottom w:val="none" w:sz="0" w:space="0" w:color="auto"/>
        <w:right w:val="none" w:sz="0" w:space="0" w:color="auto"/>
      </w:divBdr>
    </w:div>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365786758">
      <w:bodyDiv w:val="1"/>
      <w:marLeft w:val="0"/>
      <w:marRight w:val="0"/>
      <w:marTop w:val="0"/>
      <w:marBottom w:val="0"/>
      <w:divBdr>
        <w:top w:val="none" w:sz="0" w:space="0" w:color="auto"/>
        <w:left w:val="none" w:sz="0" w:space="0" w:color="auto"/>
        <w:bottom w:val="none" w:sz="0" w:space="0" w:color="auto"/>
        <w:right w:val="none" w:sz="0" w:space="0" w:color="auto"/>
      </w:divBdr>
    </w:div>
    <w:div w:id="1525552899">
      <w:bodyDiv w:val="1"/>
      <w:marLeft w:val="0"/>
      <w:marRight w:val="0"/>
      <w:marTop w:val="0"/>
      <w:marBottom w:val="0"/>
      <w:divBdr>
        <w:top w:val="none" w:sz="0" w:space="0" w:color="auto"/>
        <w:left w:val="none" w:sz="0" w:space="0" w:color="auto"/>
        <w:bottom w:val="none" w:sz="0" w:space="0" w:color="auto"/>
        <w:right w:val="none" w:sz="0" w:space="0" w:color="auto"/>
      </w:divBdr>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611</Words>
  <Characters>3059</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2024-10-09T10:38:00Z</dcterms:created>
  <dcterms:modified xsi:type="dcterms:W3CDTF">2024-10-09T10:45:00Z</dcterms:modified>
</cp:coreProperties>
</file>