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Pr="006D41D8" w:rsidRDefault="006D41D8" w:rsidP="006D41D8">
            <w:pPr>
              <w:jc w:val="center"/>
              <w:rPr>
                <w:highlight w:val="yellow"/>
                <w:rtl/>
              </w:rPr>
            </w:pPr>
            <w:r w:rsidRPr="006D41D8">
              <w:rPr>
                <w:rFonts w:hint="cs"/>
                <w:highlight w:val="yellow"/>
                <w:rtl/>
              </w:rPr>
              <w:t>תרגום</w:t>
            </w: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BC5729" w:rsidRDefault="00DD1048" w:rsidP="00BC5729">
            <w:pPr>
              <w:rPr>
                <w:rFonts w:asciiTheme="majorHAnsi" w:hAnsiTheme="majorHAnsi" w:cstheme="majorHAnsi"/>
                <w:b/>
                <w:bCs/>
                <w:sz w:val="26"/>
                <w:szCs w:val="26"/>
                <w:rtl/>
              </w:rPr>
            </w:pPr>
            <w:r>
              <w:rPr>
                <w:rFonts w:asciiTheme="majorHAnsi" w:hAnsiTheme="majorHAnsi" w:cstheme="majorHAnsi" w:hint="cs"/>
                <w:b/>
                <w:bCs/>
                <w:sz w:val="26"/>
                <w:szCs w:val="26"/>
                <w:rtl/>
              </w:rPr>
              <w:t xml:space="preserve">פרוגרמה למשחקיות </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F0494A" w:rsidRDefault="000D7DCB" w:rsidP="00E84131">
            <w:pPr>
              <w:rPr>
                <w:rFonts w:asciiTheme="majorHAnsi" w:hAnsiTheme="majorHAnsi" w:cstheme="majorHAnsi"/>
                <w:b/>
                <w:bCs/>
                <w:sz w:val="27"/>
                <w:szCs w:val="27"/>
                <w:rtl/>
              </w:rPr>
            </w:pPr>
            <w:r w:rsidRPr="000D7DCB">
              <w:rPr>
                <w:rFonts w:asciiTheme="majorHAnsi" w:hAnsiTheme="majorHAnsi" w:cstheme="majorHAnsi"/>
                <w:b/>
                <w:bCs/>
                <w:sz w:val="27"/>
                <w:szCs w:val="27"/>
                <w:rtl/>
              </w:rPr>
              <w:t xml:space="preserve"> </w:t>
            </w:r>
            <w:r w:rsidR="00F0494A" w:rsidRPr="00F0494A">
              <w:rPr>
                <w:rFonts w:asciiTheme="majorHAnsi" w:hAnsiTheme="majorHAnsi" w:cs="Calibri Light"/>
                <w:b/>
                <w:bCs/>
                <w:sz w:val="27"/>
                <w:szCs w:val="27"/>
                <w:rtl/>
              </w:rPr>
              <w:t>התערבות אסטרטגית בפיתוח משחקיוֹת לגיל הרך במרכזים הקהילתיים, במטרה למצות את הפוטנציאל הטמון בתשתית עירונית קיימת, ודיוקה למגוון צרכי בני ובנות הגיל הרך והמלווים שלהם.</w:t>
            </w:r>
          </w:p>
        </w:tc>
        <w:tc>
          <w:tcPr>
            <w:tcW w:w="5057" w:type="dxa"/>
          </w:tcPr>
          <w:p w:rsidR="00E84131" w:rsidRDefault="00E84131" w:rsidP="00E84131"/>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B2576A" w:rsidRDefault="00F0494A" w:rsidP="00E84131">
            <w:pPr>
              <w:rPr>
                <w:rFonts w:asciiTheme="majorHAnsi" w:hAnsiTheme="majorHAnsi" w:cstheme="majorHAnsi"/>
                <w:sz w:val="26"/>
                <w:szCs w:val="26"/>
                <w:rtl/>
              </w:rPr>
            </w:pPr>
            <w:r w:rsidRPr="00F0494A">
              <w:rPr>
                <w:rFonts w:asciiTheme="majorHAnsi" w:hAnsiTheme="majorHAnsi" w:cs="Calibri Light"/>
                <w:sz w:val="26"/>
                <w:szCs w:val="26"/>
                <w:rtl/>
              </w:rPr>
              <w:t>כחלק ממהלך עירוני להוזלת יוקר המחייה, עיריית תל אביב-יפו החליטה להפחית את עלות הכניסה למשחקיוֹת עירוניות לגיל הרך, לעלות של 5 ש"ח לכרטיס. הטבה משמעותית זו יצרה עומס משתמשים עצום, שגרם גם לבלאי רב - אך גם הכניסה לפוקוס הציבורי והעירוני את הפוטנציאל הלא ממומש שיש למעל ל-30 מרכזים קהילתיים בפריסה עירונית, שרובם מכילים משחקיוֹת בסגנון "</w:t>
            </w:r>
            <w:proofErr w:type="spellStart"/>
            <w:r w:rsidRPr="00F0494A">
              <w:rPr>
                <w:rFonts w:asciiTheme="majorHAnsi" w:hAnsiTheme="majorHAnsi" w:cs="Calibri Light"/>
                <w:sz w:val="26"/>
                <w:szCs w:val="26"/>
                <w:rtl/>
              </w:rPr>
              <w:t>ג'ימבורי</w:t>
            </w:r>
            <w:proofErr w:type="spellEnd"/>
            <w:r w:rsidRPr="00F0494A">
              <w:rPr>
                <w:rFonts w:asciiTheme="majorHAnsi" w:hAnsiTheme="majorHAnsi" w:cs="Calibri Light"/>
                <w:sz w:val="26"/>
                <w:szCs w:val="26"/>
                <w:rtl/>
              </w:rPr>
              <w:t>".</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B2576A" w:rsidRDefault="00F0494A" w:rsidP="00B2576A">
            <w:pPr>
              <w:rPr>
                <w:rFonts w:asciiTheme="majorHAnsi" w:hAnsiTheme="majorHAnsi" w:cstheme="majorHAnsi"/>
                <w:sz w:val="26"/>
                <w:szCs w:val="26"/>
                <w:rtl/>
              </w:rPr>
            </w:pPr>
            <w:r w:rsidRPr="00F0494A">
              <w:rPr>
                <w:rFonts w:asciiTheme="majorHAnsi" w:hAnsiTheme="majorHAnsi" w:cs="Calibri Light"/>
                <w:sz w:val="26"/>
                <w:szCs w:val="26"/>
                <w:rtl/>
              </w:rPr>
              <w:t>אותן משחקיוֹת עירוניות מאופיינות לרוב במתקנים רכים, המעודדים בעיקר התפתחות מוטורית גסה. החלטנו לנצל את התשתית הקיימת ולשדרג אותה - לפתח מרחב המעודד מנעד רחב יותר של סוגי משחק, תומך בערוצים רבים יותר להתפתחות פעוטות, תקשורת הורה-ילד ודמיון. מתוך ההבנה שמשחקייה יכולה לאפשר מרחב הרפתקני ומשחקי עם היבטים התפתחותיים מגוונים, ושהתשתית כבר קיימת במרבית שכונות העיר, בחרנו לפתח פרוגרמה למשחקיוֹת - מסגרת מקצועית לבנייה והפעלת משחקיוֹת לגיל הרך.</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0D7DCB" w:rsidRDefault="00F0494A" w:rsidP="00E84131">
            <w:pPr>
              <w:rPr>
                <w:rFonts w:ascii="Calibri Light" w:hAnsi="Calibri Light" w:cs="Calibri Light"/>
                <w:sz w:val="26"/>
                <w:szCs w:val="26"/>
                <w:rtl/>
              </w:rPr>
            </w:pPr>
            <w:r w:rsidRPr="00F0494A">
              <w:rPr>
                <w:rFonts w:ascii="Calibri Light" w:hAnsi="Calibri Light" w:cs="Calibri Light"/>
                <w:sz w:val="26"/>
                <w:szCs w:val="26"/>
                <w:rtl/>
              </w:rPr>
              <w:t xml:space="preserve">מאחר והמרכזים הקהילתיים מגוונים ומנוהלים באופן עצמאי, בחרנו לנקוט </w:t>
            </w:r>
            <w:r w:rsidRPr="00F0494A">
              <w:rPr>
                <w:rFonts w:ascii="Calibri Light" w:hAnsi="Calibri Light" w:cs="Calibri Light"/>
                <w:b/>
                <w:bCs/>
                <w:sz w:val="26"/>
                <w:szCs w:val="26"/>
                <w:rtl/>
              </w:rPr>
              <w:t>בגישה אסטרטגית</w:t>
            </w:r>
            <w:r w:rsidRPr="00F0494A">
              <w:rPr>
                <w:rFonts w:ascii="Calibri Light" w:hAnsi="Calibri Light" w:cs="Calibri Light"/>
                <w:sz w:val="26"/>
                <w:szCs w:val="26"/>
                <w:rtl/>
              </w:rPr>
              <w:t xml:space="preserve"> על ידי כתיבת פרוגרמה למשחקיוֹת. מטרתנו הייתה לייצר </w:t>
            </w:r>
            <w:r w:rsidRPr="00F0494A">
              <w:rPr>
                <w:rFonts w:ascii="Calibri Light" w:hAnsi="Calibri Light" w:cs="Calibri Light"/>
                <w:b/>
                <w:bCs/>
                <w:sz w:val="26"/>
                <w:szCs w:val="26"/>
                <w:rtl/>
              </w:rPr>
              <w:t>הנחייה מקצועית ונגישה</w:t>
            </w:r>
            <w:r w:rsidRPr="00F0494A">
              <w:rPr>
                <w:rFonts w:ascii="Calibri Light" w:hAnsi="Calibri Light" w:cs="Calibri Light"/>
                <w:sz w:val="26"/>
                <w:szCs w:val="26"/>
                <w:rtl/>
              </w:rPr>
              <w:t xml:space="preserve"> למרחב משחקי לפעוטות והמלווים שלהם, על מנת שיותר מנהלי מרכזים קהילתיים יטמיעו את השיקולים והעקרונות התומכים בהתפתחות הגיל הרך, בתהליך התכנון המתבצע עם צוות המעצבים, אדריכלים וגורמי המקצוע שבחרו.</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F0494A" w:rsidRDefault="00F0494A" w:rsidP="007424F2">
            <w:pPr>
              <w:rPr>
                <w:rFonts w:ascii="Calibri Light" w:hAnsi="Calibri Light" w:cs="Calibri Light"/>
                <w:sz w:val="26"/>
                <w:szCs w:val="26"/>
                <w:rtl/>
              </w:rPr>
            </w:pPr>
            <w:r w:rsidRPr="00F0494A">
              <w:rPr>
                <w:rFonts w:ascii="Calibri Light" w:hAnsi="Calibri Light" w:cs="Calibri Light"/>
                <w:b/>
                <w:bCs/>
                <w:sz w:val="26"/>
                <w:szCs w:val="26"/>
                <w:rtl/>
              </w:rPr>
              <w:t>לטובת תהליך כתיבת הפרוגרמה הקמנו צוות מקצועי</w:t>
            </w:r>
            <w:r w:rsidRPr="00F0494A">
              <w:rPr>
                <w:rFonts w:ascii="Calibri Light" w:hAnsi="Calibri Light" w:cs="Calibri Light"/>
                <w:sz w:val="26"/>
                <w:szCs w:val="26"/>
                <w:rtl/>
              </w:rPr>
              <w:t xml:space="preserve"> שכלל את אגף בינוי תחזוקה </w:t>
            </w:r>
            <w:r w:rsidRPr="00F0494A">
              <w:rPr>
                <w:rFonts w:ascii="Calibri Light" w:hAnsi="Calibri Light" w:cs="Calibri Light"/>
                <w:sz w:val="26"/>
                <w:szCs w:val="26"/>
                <w:rtl/>
              </w:rPr>
              <w:lastRenderedPageBreak/>
              <w:t>ובטיחות של מינהל קהילה, אגף מבני ציבור, אדריכל חיצוני, גורמי שטח רלוונטיים ממגוון תפקידים וצוות אורבן95. תהליך העבודה כלל מחקר מקיף על משחקיוֹת בארץ ובעולם, תצפיות והעמקה מקצועית בהיבטים התפתחותיים שונים בגיל הרך וכיצד ניתן לעודד ולתמוך אותם. במהלך הדרך גילינו בעיה ארצית - לא קיימות הנחיות תכנון למשחקיה, וכתוצאה מכך יש חוסר במענה לשאלות תכנוניות על חומרים ותקנים ואי-בהירות בנוגע לסמכות המאשרת.</w:t>
            </w:r>
          </w:p>
        </w:tc>
        <w:tc>
          <w:tcPr>
            <w:tcW w:w="5057" w:type="dxa"/>
          </w:tcPr>
          <w:p w:rsidR="00E41CFF" w:rsidRDefault="00E41CFF" w:rsidP="00E84131">
            <w:pPr>
              <w:rPr>
                <w:rtl/>
              </w:rPr>
            </w:pPr>
          </w:p>
        </w:tc>
      </w:tr>
      <w:tr w:rsidR="000D7DCB" w:rsidTr="00507681">
        <w:tc>
          <w:tcPr>
            <w:tcW w:w="1640" w:type="dxa"/>
            <w:vMerge/>
          </w:tcPr>
          <w:p w:rsidR="000D7DCB" w:rsidRDefault="000D7DCB" w:rsidP="00E84131">
            <w:pPr>
              <w:rPr>
                <w:rtl/>
              </w:rPr>
            </w:pPr>
          </w:p>
        </w:tc>
        <w:tc>
          <w:tcPr>
            <w:tcW w:w="3978" w:type="dxa"/>
          </w:tcPr>
          <w:p w:rsidR="000D7DCB" w:rsidRPr="00F0494A" w:rsidRDefault="00F0494A" w:rsidP="00F0494A">
            <w:pPr>
              <w:rPr>
                <w:rFonts w:ascii="Calibri Light" w:hAnsi="Calibri Light" w:cs="Calibri Light"/>
                <w:sz w:val="26"/>
                <w:szCs w:val="26"/>
                <w:rtl/>
              </w:rPr>
            </w:pPr>
            <w:r w:rsidRPr="00F0494A">
              <w:rPr>
                <w:rFonts w:ascii="Calibri Light" w:hAnsi="Calibri Light" w:cs="Calibri Light"/>
                <w:sz w:val="26"/>
                <w:szCs w:val="26"/>
                <w:rtl/>
              </w:rPr>
              <w:t>הפרוגרמה שנכתבה מהווה מסגרת ראשונה מסוגה להנחיות בנייה והפעלת משחקיוֹת: היא מכילה עקרונות לתכנון, עיצוב, וכוללת המלצות לאלמנטים משחקיים וציוד. עסקנו בשאלות כמו: כיצד לייצר מענים רב-</w:t>
            </w:r>
            <w:proofErr w:type="spellStart"/>
            <w:r w:rsidRPr="00F0494A">
              <w:rPr>
                <w:rFonts w:ascii="Calibri Light" w:hAnsi="Calibri Light" w:cs="Calibri Light"/>
                <w:sz w:val="26"/>
                <w:szCs w:val="26"/>
                <w:rtl/>
              </w:rPr>
              <w:t>גיליים</w:t>
            </w:r>
            <w:proofErr w:type="spellEnd"/>
            <w:r w:rsidRPr="00F0494A">
              <w:rPr>
                <w:rFonts w:ascii="Calibri Light" w:hAnsi="Calibri Light" w:cs="Calibri Light"/>
                <w:sz w:val="26"/>
                <w:szCs w:val="26"/>
                <w:rtl/>
              </w:rPr>
              <w:t>? איזו תאורה מיטבית עבור תינוק השוכב על גבו? איך להתייחס להיבטי רעש? באילו חומרים להשתמש? אילו אלמנטים יאפשרו מגוון היבטים התפתחותיים? כיצד להפעיל את המרחב בשעות השונות של היום? מה תפקיד המלווה הבוגר בעת השהייה במרחב ומה הם צרכיו?</w:t>
            </w:r>
          </w:p>
        </w:tc>
        <w:tc>
          <w:tcPr>
            <w:tcW w:w="5057" w:type="dxa"/>
          </w:tcPr>
          <w:p w:rsidR="000D7DCB" w:rsidRDefault="000D7DCB" w:rsidP="00E84131">
            <w:pPr>
              <w:rPr>
                <w:rtl/>
              </w:rPr>
            </w:pPr>
          </w:p>
        </w:tc>
      </w:tr>
      <w:tr w:rsidR="00F0494A" w:rsidTr="00507681">
        <w:tc>
          <w:tcPr>
            <w:tcW w:w="1640" w:type="dxa"/>
            <w:vMerge/>
          </w:tcPr>
          <w:p w:rsidR="00F0494A" w:rsidRDefault="00F0494A" w:rsidP="00E84131">
            <w:pPr>
              <w:rPr>
                <w:rtl/>
              </w:rPr>
            </w:pPr>
          </w:p>
        </w:tc>
        <w:tc>
          <w:tcPr>
            <w:tcW w:w="3978" w:type="dxa"/>
          </w:tcPr>
          <w:p w:rsidR="00F0494A" w:rsidRPr="00F0494A" w:rsidRDefault="00F0494A" w:rsidP="000D7DCB">
            <w:pPr>
              <w:rPr>
                <w:rFonts w:ascii="Calibri Light" w:hAnsi="Calibri Light" w:cs="Calibri Light"/>
                <w:b/>
                <w:bCs/>
                <w:sz w:val="26"/>
                <w:szCs w:val="26"/>
                <w:rtl/>
              </w:rPr>
            </w:pPr>
            <w:r w:rsidRPr="00F0494A">
              <w:rPr>
                <w:rFonts w:ascii="Calibri Light" w:hAnsi="Calibri Light" w:cs="Calibri Light"/>
                <w:b/>
                <w:bCs/>
                <w:sz w:val="26"/>
                <w:szCs w:val="26"/>
                <w:rtl/>
              </w:rPr>
              <w:t>המחקר המקיף הנוגע לסביבה התומכת בהתפתחות הגיל הרך ואיגודו לכדי מסמך אחד, מרכז לראשונה בישראל הנחיות ברורות, יישומיות וחדשניות הנוגעות לבנייה והפעלה של משחקיוֹת עירוניות.</w:t>
            </w:r>
          </w:p>
        </w:tc>
        <w:tc>
          <w:tcPr>
            <w:tcW w:w="5057" w:type="dxa"/>
          </w:tcPr>
          <w:p w:rsidR="00F0494A" w:rsidRDefault="00F0494A" w:rsidP="00E84131">
            <w:pPr>
              <w:rPr>
                <w:rtl/>
              </w:rPr>
            </w:pPr>
          </w:p>
        </w:tc>
      </w:tr>
      <w:tr w:rsidR="00F0494A" w:rsidTr="00507681">
        <w:tc>
          <w:tcPr>
            <w:tcW w:w="1640" w:type="dxa"/>
            <w:vMerge/>
          </w:tcPr>
          <w:p w:rsidR="00F0494A" w:rsidRDefault="00F0494A" w:rsidP="00E84131">
            <w:pPr>
              <w:rPr>
                <w:rtl/>
              </w:rPr>
            </w:pPr>
          </w:p>
        </w:tc>
        <w:tc>
          <w:tcPr>
            <w:tcW w:w="3978" w:type="dxa"/>
          </w:tcPr>
          <w:p w:rsidR="00F0494A" w:rsidRPr="00F0494A" w:rsidRDefault="00F0494A" w:rsidP="00F0494A">
            <w:pPr>
              <w:rPr>
                <w:rFonts w:ascii="Calibri Light" w:hAnsi="Calibri Light" w:cs="Calibri Light"/>
                <w:sz w:val="26"/>
                <w:szCs w:val="26"/>
                <w:rtl/>
              </w:rPr>
            </w:pPr>
            <w:r w:rsidRPr="00F0494A">
              <w:rPr>
                <w:rFonts w:ascii="Calibri Light" w:hAnsi="Calibri Light" w:cs="Calibri Light" w:hint="cs"/>
                <w:b/>
                <w:bCs/>
                <w:sz w:val="26"/>
                <w:szCs w:val="26"/>
                <w:u w:val="single"/>
                <w:rtl/>
              </w:rPr>
              <w:t>י</w:t>
            </w:r>
            <w:r w:rsidRPr="00F0494A">
              <w:rPr>
                <w:rFonts w:ascii="Calibri Light" w:hAnsi="Calibri Light" w:cs="Calibri Light"/>
                <w:b/>
                <w:bCs/>
                <w:sz w:val="26"/>
                <w:szCs w:val="26"/>
                <w:u w:val="single"/>
                <w:rtl/>
              </w:rPr>
              <w:t>חידות עירוניות שותפות:</w:t>
            </w:r>
            <w:r w:rsidRPr="00F0494A">
              <w:rPr>
                <w:rFonts w:ascii="Calibri Light" w:hAnsi="Calibri Light" w:cs="Calibri Light"/>
                <w:b/>
                <w:bCs/>
                <w:sz w:val="26"/>
                <w:szCs w:val="26"/>
                <w:rtl/>
              </w:rPr>
              <w:t xml:space="preserve"> </w:t>
            </w:r>
            <w:r w:rsidRPr="00F0494A">
              <w:rPr>
                <w:rFonts w:ascii="Calibri Light" w:hAnsi="Calibri Light" w:cs="Calibri Light"/>
                <w:sz w:val="26"/>
                <w:szCs w:val="26"/>
                <w:rtl/>
              </w:rPr>
              <w:t>מינהל קהילה, תרבות וספורט: אגף בינוי ותחזוקה, סגני מנהלי אגפים, מנהלי מרכזים קהילתיים; אגף מבני ציבור</w:t>
            </w:r>
          </w:p>
          <w:p w:rsidR="00F0494A" w:rsidRPr="00F0494A" w:rsidRDefault="00F0494A" w:rsidP="00F0494A">
            <w:pPr>
              <w:rPr>
                <w:rFonts w:ascii="Calibri Light" w:hAnsi="Calibri Light" w:cs="Calibri Light" w:hint="cs"/>
                <w:b/>
                <w:bCs/>
                <w:sz w:val="26"/>
                <w:szCs w:val="26"/>
                <w:u w:val="single"/>
                <w:rtl/>
              </w:rPr>
            </w:pPr>
          </w:p>
        </w:tc>
        <w:tc>
          <w:tcPr>
            <w:tcW w:w="5057" w:type="dxa"/>
          </w:tcPr>
          <w:p w:rsidR="00F0494A" w:rsidRDefault="00F0494A" w:rsidP="00E84131">
            <w:pPr>
              <w:rPr>
                <w:rtl/>
              </w:rPr>
            </w:pPr>
          </w:p>
        </w:tc>
      </w:tr>
      <w:tr w:rsidR="000D7DCB" w:rsidTr="00507681">
        <w:tc>
          <w:tcPr>
            <w:tcW w:w="1640" w:type="dxa"/>
            <w:vMerge/>
          </w:tcPr>
          <w:p w:rsidR="000D7DCB" w:rsidRDefault="000D7DCB" w:rsidP="00E84131">
            <w:pPr>
              <w:rPr>
                <w:rtl/>
              </w:rPr>
            </w:pPr>
          </w:p>
        </w:tc>
        <w:tc>
          <w:tcPr>
            <w:tcW w:w="3978" w:type="dxa"/>
          </w:tcPr>
          <w:p w:rsidR="000D7DCB" w:rsidRPr="00F0494A" w:rsidRDefault="00F0494A" w:rsidP="00F0494A">
            <w:pPr>
              <w:rPr>
                <w:rFonts w:ascii="Calibri Light" w:hAnsi="Calibri Light" w:cs="Calibri Light" w:hint="cs"/>
                <w:b/>
                <w:bCs/>
                <w:sz w:val="26"/>
                <w:szCs w:val="26"/>
                <w:rtl/>
              </w:rPr>
            </w:pPr>
            <w:r w:rsidRPr="00F0494A">
              <w:rPr>
                <w:rFonts w:ascii="Calibri Light" w:hAnsi="Calibri Light" w:cs="Calibri Light"/>
                <w:b/>
                <w:bCs/>
                <w:sz w:val="26"/>
                <w:szCs w:val="26"/>
                <w:rtl/>
              </w:rPr>
              <w:t xml:space="preserve">במידה ותרצו לשמוע עוד, ניתן ליצור קשר עם חן אלפיה, </w:t>
            </w:r>
            <w:r w:rsidRPr="00F0494A">
              <w:rPr>
                <w:rFonts w:ascii="Calibri Light" w:hAnsi="Calibri Light" w:cs="Calibri Light"/>
                <w:b/>
                <w:bCs/>
                <w:sz w:val="26"/>
                <w:szCs w:val="26"/>
              </w:rPr>
              <w:t>Alfia_chen@mail.tel-aviv.gov.il</w:t>
            </w:r>
            <w:r w:rsidRPr="00F0494A">
              <w:rPr>
                <w:rFonts w:ascii="Calibri Light" w:hAnsi="Calibri Light" w:cs="Calibri Light"/>
                <w:b/>
                <w:bCs/>
                <w:sz w:val="26"/>
                <w:szCs w:val="26"/>
                <w:rtl/>
              </w:rPr>
              <w:t>.</w:t>
            </w:r>
          </w:p>
        </w:tc>
        <w:tc>
          <w:tcPr>
            <w:tcW w:w="5057" w:type="dxa"/>
          </w:tcPr>
          <w:p w:rsidR="000D7DCB" w:rsidRDefault="000D7DCB" w:rsidP="00E84131">
            <w:pPr>
              <w:rPr>
                <w:rtl/>
              </w:rPr>
            </w:pPr>
          </w:p>
        </w:tc>
      </w:tr>
      <w:tr w:rsidR="004165CA" w:rsidRPr="00F0494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F0494A" w:rsidRDefault="00F0494A" w:rsidP="00F0494A">
            <w:pPr>
              <w:numPr>
                <w:ilvl w:val="0"/>
                <w:numId w:val="13"/>
              </w:numPr>
              <w:spacing w:before="100" w:beforeAutospacing="1" w:after="100" w:afterAutospacing="1" w:line="450" w:lineRule="atLeast"/>
              <w:textAlignment w:val="baseline"/>
              <w:rPr>
                <w:rFonts w:asciiTheme="majorHAnsi" w:eastAsia="Times New Roman" w:hAnsiTheme="majorHAnsi" w:cstheme="majorHAnsi"/>
                <w:sz w:val="26"/>
                <w:szCs w:val="26"/>
              </w:rPr>
            </w:pPr>
            <w:r w:rsidRPr="00F0494A">
              <w:rPr>
                <w:rFonts w:asciiTheme="majorHAnsi" w:eastAsia="Times New Roman" w:hAnsiTheme="majorHAnsi" w:cstheme="majorHAnsi"/>
                <w:b/>
                <w:bCs/>
                <w:sz w:val="26"/>
                <w:szCs w:val="26"/>
                <w:rtl/>
              </w:rPr>
              <w:t>צוות העבודה הרב-תחומי</w:t>
            </w:r>
            <w:r w:rsidRPr="00F0494A">
              <w:rPr>
                <w:rFonts w:asciiTheme="majorHAnsi" w:eastAsia="Times New Roman" w:hAnsiTheme="majorHAnsi" w:cstheme="majorHAnsi"/>
                <w:sz w:val="26"/>
                <w:szCs w:val="26"/>
                <w:rtl/>
              </w:rPr>
              <w:t xml:space="preserve"> שהורכב מאנשי מקצוע מגוונים ובעלי תפקידים מהשטח המכירים מקרוב את האוכלוסייה, </w:t>
            </w:r>
            <w:proofErr w:type="spellStart"/>
            <w:r w:rsidRPr="00F0494A">
              <w:rPr>
                <w:rFonts w:asciiTheme="majorHAnsi" w:eastAsia="Times New Roman" w:hAnsiTheme="majorHAnsi" w:cstheme="majorHAnsi"/>
                <w:sz w:val="26"/>
                <w:szCs w:val="26"/>
                <w:rtl/>
              </w:rPr>
              <w:t>איפשר</w:t>
            </w:r>
            <w:proofErr w:type="spellEnd"/>
            <w:r w:rsidRPr="00F0494A">
              <w:rPr>
                <w:rFonts w:asciiTheme="majorHAnsi" w:eastAsia="Times New Roman" w:hAnsiTheme="majorHAnsi" w:cstheme="majorHAnsi"/>
                <w:sz w:val="26"/>
                <w:szCs w:val="26"/>
                <w:rtl/>
              </w:rPr>
              <w:t xml:space="preserve"> תהליך חשיבה פורה ויצירתי. בנוסף, הוביל לכתיבת </w:t>
            </w:r>
            <w:r w:rsidRPr="00F0494A">
              <w:rPr>
                <w:rFonts w:asciiTheme="majorHAnsi" w:eastAsia="Times New Roman" w:hAnsiTheme="majorHAnsi" w:cstheme="majorHAnsi"/>
                <w:sz w:val="26"/>
                <w:szCs w:val="26"/>
                <w:rtl/>
              </w:rPr>
              <w:lastRenderedPageBreak/>
              <w:t>מסמך רלוונטי לצרכי הקהילה, תואם למרחב הקיים במרכזים הקהילתיים ובר ביצוע</w:t>
            </w:r>
            <w:r w:rsidRPr="00F0494A">
              <w:rPr>
                <w:rFonts w:asciiTheme="majorHAnsi" w:eastAsia="Times New Roman" w:hAnsiTheme="majorHAnsi" w:cstheme="majorHAnsi"/>
                <w:sz w:val="26"/>
                <w:szCs w:val="26"/>
              </w:rPr>
              <w:t>.</w:t>
            </w:r>
          </w:p>
          <w:p w:rsidR="00F0494A" w:rsidRDefault="00F0494A" w:rsidP="00F0494A">
            <w:pPr>
              <w:numPr>
                <w:ilvl w:val="0"/>
                <w:numId w:val="13"/>
              </w:numPr>
              <w:spacing w:before="100" w:beforeAutospacing="1" w:after="100" w:afterAutospacing="1" w:line="450" w:lineRule="atLeast"/>
              <w:textAlignment w:val="baseline"/>
              <w:rPr>
                <w:rFonts w:asciiTheme="majorHAnsi" w:eastAsia="Times New Roman" w:hAnsiTheme="majorHAnsi" w:cstheme="majorHAnsi"/>
                <w:sz w:val="26"/>
                <w:szCs w:val="26"/>
              </w:rPr>
            </w:pPr>
            <w:r w:rsidRPr="00F0494A">
              <w:rPr>
                <w:rFonts w:asciiTheme="majorHAnsi" w:eastAsia="Times New Roman" w:hAnsiTheme="majorHAnsi" w:cstheme="majorHAnsi"/>
                <w:b/>
                <w:bCs/>
                <w:sz w:val="26"/>
                <w:szCs w:val="26"/>
                <w:rtl/>
              </w:rPr>
              <w:t>עבודה צמודה עם  מכון התקנים וגורמים רגולטורים נוספים </w:t>
            </w:r>
            <w:r w:rsidRPr="00F0494A">
              <w:rPr>
                <w:rFonts w:asciiTheme="majorHAnsi" w:eastAsia="Times New Roman" w:hAnsiTheme="majorHAnsi" w:cstheme="majorHAnsi"/>
                <w:sz w:val="26"/>
                <w:szCs w:val="26"/>
              </w:rPr>
              <w:t> </w:t>
            </w:r>
            <w:r w:rsidRPr="00F0494A">
              <w:rPr>
                <w:rFonts w:asciiTheme="majorHAnsi" w:eastAsia="Times New Roman" w:hAnsiTheme="majorHAnsi" w:cstheme="majorHAnsi"/>
                <w:sz w:val="26"/>
                <w:szCs w:val="26"/>
                <w:rtl/>
              </w:rPr>
              <w:t>יצרה שיח קרוב ומתמשך על צרכים ואילוצים, ומציאת פתרונות בזמן אמת המשלבים היבטים בטיחותיים, תכנוניים והתפתחותיים</w:t>
            </w:r>
            <w:r w:rsidRPr="00F0494A">
              <w:rPr>
                <w:rFonts w:asciiTheme="majorHAnsi" w:eastAsia="Times New Roman" w:hAnsiTheme="majorHAnsi" w:cstheme="majorHAnsi"/>
                <w:sz w:val="26"/>
                <w:szCs w:val="26"/>
              </w:rPr>
              <w:t>.</w:t>
            </w:r>
          </w:p>
          <w:p w:rsidR="004165CA" w:rsidRPr="00F0494A" w:rsidRDefault="00F0494A" w:rsidP="00F0494A">
            <w:pPr>
              <w:numPr>
                <w:ilvl w:val="0"/>
                <w:numId w:val="13"/>
              </w:numPr>
              <w:spacing w:before="100" w:beforeAutospacing="1" w:after="100" w:afterAutospacing="1" w:line="450" w:lineRule="atLeast"/>
              <w:textAlignment w:val="baseline"/>
              <w:rPr>
                <w:rFonts w:asciiTheme="majorHAnsi" w:eastAsia="Times New Roman" w:hAnsiTheme="majorHAnsi" w:cstheme="majorHAnsi"/>
                <w:sz w:val="26"/>
                <w:szCs w:val="26"/>
                <w:rtl/>
              </w:rPr>
            </w:pPr>
            <w:r w:rsidRPr="00F0494A">
              <w:rPr>
                <w:rFonts w:asciiTheme="majorHAnsi" w:eastAsia="Times New Roman" w:hAnsiTheme="majorHAnsi" w:cstheme="majorHAnsi"/>
                <w:b/>
                <w:bCs/>
                <w:sz w:val="26"/>
                <w:szCs w:val="26"/>
                <w:rtl/>
              </w:rPr>
              <w:t>שותפות איכותית עם גורמי מפתח עירוניים</w:t>
            </w:r>
            <w:r w:rsidRPr="00F0494A">
              <w:rPr>
                <w:rFonts w:asciiTheme="majorHAnsi" w:eastAsia="Times New Roman" w:hAnsiTheme="majorHAnsi" w:cstheme="majorHAnsi"/>
                <w:sz w:val="26"/>
                <w:szCs w:val="26"/>
              </w:rPr>
              <w:t xml:space="preserve">, </w:t>
            </w:r>
            <w:r w:rsidRPr="00F0494A">
              <w:rPr>
                <w:rFonts w:asciiTheme="majorHAnsi" w:eastAsia="Times New Roman" w:hAnsiTheme="majorHAnsi" w:cstheme="majorHAnsi"/>
                <w:sz w:val="26"/>
                <w:szCs w:val="26"/>
                <w:rtl/>
              </w:rPr>
              <w:t>בעלי עניין הדדי בקידום הנושא היה הכרחי על מנת למצב את ה</w:t>
            </w:r>
            <w:r w:rsidRPr="00F0494A">
              <w:rPr>
                <w:rFonts w:asciiTheme="majorHAnsi" w:eastAsia="Times New Roman" w:hAnsiTheme="majorHAnsi" w:cstheme="majorHAnsi"/>
                <w:b/>
                <w:bCs/>
                <w:sz w:val="26"/>
                <w:szCs w:val="26"/>
                <w:rtl/>
              </w:rPr>
              <w:t>פרוגרמה עם תוקף מחייב לביצוע</w:t>
            </w:r>
            <w:r w:rsidRPr="00F0494A">
              <w:rPr>
                <w:rFonts w:asciiTheme="majorHAnsi" w:eastAsia="Times New Roman" w:hAnsiTheme="majorHAnsi" w:cstheme="majorHAnsi"/>
                <w:sz w:val="26"/>
                <w:szCs w:val="26"/>
                <w:rtl/>
              </w:rPr>
              <w:t> ברמה העירונית</w:t>
            </w:r>
            <w:r w:rsidRPr="00F0494A">
              <w:rPr>
                <w:rFonts w:asciiTheme="majorHAnsi" w:eastAsia="Times New Roman" w:hAnsiTheme="majorHAnsi" w:cstheme="majorHAnsi"/>
                <w:sz w:val="26"/>
                <w:szCs w:val="26"/>
              </w:rPr>
              <w:t>.</w:t>
            </w:r>
          </w:p>
        </w:tc>
        <w:tc>
          <w:tcPr>
            <w:tcW w:w="5057" w:type="dxa"/>
          </w:tcPr>
          <w:p w:rsidR="004165CA" w:rsidRPr="00F0494A" w:rsidRDefault="004165CA" w:rsidP="00F0494A">
            <w:pPr>
              <w:rPr>
                <w:rFonts w:asciiTheme="majorHAnsi" w:hAnsiTheme="majorHAnsi" w:cstheme="majorHAnsi"/>
                <w:sz w:val="26"/>
                <w:szCs w:val="26"/>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CA407B" w:rsidRDefault="00092C82" w:rsidP="00B2576A">
            <w:pPr>
              <w:rPr>
                <w:rFonts w:ascii="Calibri Light" w:hAnsi="Calibri Light" w:cs="Calibri Light" w:hint="cs"/>
                <w:sz w:val="26"/>
                <w:szCs w:val="26"/>
                <w:rtl/>
              </w:rPr>
            </w:pPr>
            <w:r>
              <w:rPr>
                <w:rFonts w:ascii="Calibri Light" w:hAnsi="Calibri Light" w:cs="Calibri Light" w:hint="cs"/>
                <w:sz w:val="26"/>
                <w:szCs w:val="26"/>
                <w:rtl/>
              </w:rPr>
              <w:t>תכנון</w:t>
            </w:r>
          </w:p>
          <w:p w:rsidR="00092C82" w:rsidRDefault="00092C82" w:rsidP="00B2576A">
            <w:pPr>
              <w:rPr>
                <w:rFonts w:ascii="Calibri Light" w:hAnsi="Calibri Light" w:cs="Calibri Light"/>
                <w:sz w:val="26"/>
                <w:szCs w:val="26"/>
                <w:rtl/>
              </w:rPr>
            </w:pPr>
            <w:r>
              <w:rPr>
                <w:rFonts w:ascii="Calibri Light" w:hAnsi="Calibri Light" w:cs="Calibri Light" w:hint="cs"/>
                <w:sz w:val="26"/>
                <w:szCs w:val="26"/>
                <w:rtl/>
              </w:rPr>
              <w:t>תשת</w:t>
            </w:r>
            <w:bookmarkStart w:id="0" w:name="_GoBack"/>
            <w:bookmarkEnd w:id="0"/>
            <w:r>
              <w:rPr>
                <w:rFonts w:ascii="Calibri Light" w:hAnsi="Calibri Light" w:cs="Calibri Light" w:hint="cs"/>
                <w:sz w:val="26"/>
                <w:szCs w:val="26"/>
                <w:rtl/>
              </w:rPr>
              <w:t>ית עירונית</w:t>
            </w:r>
          </w:p>
          <w:p w:rsidR="00F0494A" w:rsidRDefault="00F0494A" w:rsidP="00B2576A">
            <w:pPr>
              <w:rPr>
                <w:rFonts w:ascii="Calibri Light" w:hAnsi="Calibri Light" w:cs="Calibri Light" w:hint="cs"/>
                <w:sz w:val="26"/>
                <w:szCs w:val="26"/>
                <w:rtl/>
              </w:rPr>
            </w:pPr>
            <w:r>
              <w:rPr>
                <w:rFonts w:ascii="Calibri Light" w:hAnsi="Calibri Light" w:cs="Calibri Light" w:hint="cs"/>
                <w:sz w:val="26"/>
                <w:szCs w:val="26"/>
                <w:rtl/>
              </w:rPr>
              <w:t>קשר הורה-ילד</w:t>
            </w:r>
          </w:p>
          <w:p w:rsidR="00F0494A" w:rsidRDefault="00F0494A" w:rsidP="00B2576A">
            <w:pPr>
              <w:rPr>
                <w:rFonts w:ascii="Calibri Light" w:hAnsi="Calibri Light" w:cs="Calibri Light" w:hint="cs"/>
                <w:sz w:val="26"/>
                <w:szCs w:val="26"/>
                <w:rtl/>
              </w:rPr>
            </w:pPr>
            <w:r>
              <w:rPr>
                <w:rFonts w:ascii="Calibri Light" w:hAnsi="Calibri Light" w:cs="Calibri Light" w:hint="cs"/>
                <w:sz w:val="26"/>
                <w:szCs w:val="26"/>
                <w:rtl/>
              </w:rPr>
              <w:t>משחקיות</w:t>
            </w:r>
          </w:p>
          <w:p w:rsidR="00F0494A" w:rsidRPr="00B56768" w:rsidRDefault="00F0494A" w:rsidP="00B2576A">
            <w:pPr>
              <w:rPr>
                <w:rFonts w:ascii="Calibri Light" w:hAnsi="Calibri Light" w:cs="Calibri Light"/>
                <w:sz w:val="26"/>
                <w:szCs w:val="26"/>
                <w:rtl/>
              </w:rPr>
            </w:pPr>
            <w:r>
              <w:rPr>
                <w:rFonts w:ascii="Calibri Light" w:hAnsi="Calibri Light" w:cs="Calibri Light" w:hint="cs"/>
                <w:sz w:val="26"/>
                <w:szCs w:val="26"/>
                <w:rtl/>
              </w:rPr>
              <w:t>מרכז קהילתי</w:t>
            </w:r>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6C05D1" w:rsidRDefault="00092C82" w:rsidP="00CA407B">
            <w:pPr>
              <w:rPr>
                <w:rFonts w:ascii="Calibri Light" w:hAnsi="Calibri Light" w:cs="Calibri Light"/>
                <w:sz w:val="26"/>
                <w:szCs w:val="26"/>
                <w:rtl/>
              </w:rPr>
            </w:pPr>
            <w:r>
              <w:rPr>
                <w:rFonts w:ascii="Calibri Light" w:hAnsi="Calibri Light" w:cs="Calibri Light" w:hint="cs"/>
                <w:sz w:val="26"/>
                <w:szCs w:val="26"/>
                <w:rtl/>
              </w:rPr>
              <w:t>גוף ידע</w:t>
            </w:r>
          </w:p>
          <w:p w:rsidR="00CA407B" w:rsidRPr="00B56768" w:rsidRDefault="00CA407B" w:rsidP="00CA407B">
            <w:pPr>
              <w:rPr>
                <w:rFonts w:ascii="Calibri Light" w:hAnsi="Calibri Light" w:cs="Calibri Light"/>
                <w:sz w:val="26"/>
                <w:szCs w:val="26"/>
                <w:rtl/>
              </w:rPr>
            </w:pPr>
          </w:p>
        </w:tc>
        <w:tc>
          <w:tcPr>
            <w:tcW w:w="5057" w:type="dxa"/>
          </w:tcPr>
          <w:p w:rsidR="00CA407B" w:rsidRDefault="00CA407B" w:rsidP="00CA407B">
            <w:pPr>
              <w:rPr>
                <w:rtl/>
              </w:rPr>
            </w:pPr>
          </w:p>
        </w:tc>
      </w:tr>
      <w:tr w:rsidR="006D41D8" w:rsidTr="00507681">
        <w:tc>
          <w:tcPr>
            <w:tcW w:w="1640" w:type="dxa"/>
            <w:vMerge w:val="restart"/>
          </w:tcPr>
          <w:p w:rsidR="006D41D8" w:rsidRDefault="006D41D8" w:rsidP="00CA407B">
            <w:pPr>
              <w:rPr>
                <w:rFonts w:ascii="Calibri Light" w:hAnsi="Calibri Light" w:cs="Calibri Light" w:hint="cs"/>
                <w:b/>
                <w:bCs/>
                <w:sz w:val="26"/>
                <w:szCs w:val="26"/>
                <w:highlight w:val="cyan"/>
                <w:rtl/>
              </w:rPr>
            </w:pPr>
            <w:r>
              <w:rPr>
                <w:rFonts w:ascii="Calibri Light" w:hAnsi="Calibri Light" w:cs="Calibri Light" w:hint="cs"/>
                <w:b/>
                <w:bCs/>
                <w:sz w:val="26"/>
                <w:szCs w:val="26"/>
                <w:highlight w:val="cyan"/>
                <w:rtl/>
              </w:rPr>
              <w:t>כיתוב (תמונות)</w:t>
            </w:r>
          </w:p>
        </w:tc>
        <w:tc>
          <w:tcPr>
            <w:tcW w:w="3978" w:type="dxa"/>
          </w:tcPr>
          <w:p w:rsidR="006D41D8" w:rsidRDefault="00F0494A" w:rsidP="00CA407B">
            <w:pPr>
              <w:rPr>
                <w:rFonts w:ascii="Calibri Light" w:hAnsi="Calibri Light" w:cs="Calibri Light" w:hint="cs"/>
                <w:sz w:val="26"/>
                <w:szCs w:val="26"/>
                <w:rtl/>
              </w:rPr>
            </w:pPr>
            <w:r w:rsidRPr="00F0494A">
              <w:rPr>
                <w:rFonts w:ascii="Calibri Light" w:hAnsi="Calibri Light" w:cs="Calibri Light"/>
                <w:sz w:val="26"/>
                <w:szCs w:val="26"/>
                <w:rtl/>
              </w:rPr>
              <w:t>משחקייה משופצת, המרכז הערבי-יהודי ביפו. (צילום: אורית ארנון)</w:t>
            </w:r>
          </w:p>
        </w:tc>
        <w:tc>
          <w:tcPr>
            <w:tcW w:w="5057" w:type="dxa"/>
          </w:tcPr>
          <w:p w:rsidR="006D41D8" w:rsidRDefault="006D41D8" w:rsidP="00CA407B">
            <w:pPr>
              <w:rPr>
                <w:rtl/>
              </w:rPr>
            </w:pPr>
          </w:p>
        </w:tc>
      </w:tr>
      <w:tr w:rsidR="00FB0B3B" w:rsidTr="00507681">
        <w:tc>
          <w:tcPr>
            <w:tcW w:w="1640" w:type="dxa"/>
            <w:vMerge/>
          </w:tcPr>
          <w:p w:rsidR="00FB0B3B" w:rsidRDefault="00FB0B3B" w:rsidP="00FB0B3B">
            <w:pPr>
              <w:rPr>
                <w:rFonts w:ascii="Calibri Light" w:hAnsi="Calibri Light" w:cs="Calibri Light" w:hint="cs"/>
                <w:b/>
                <w:bCs/>
                <w:sz w:val="26"/>
                <w:szCs w:val="26"/>
                <w:highlight w:val="cyan"/>
                <w:rtl/>
              </w:rPr>
            </w:pPr>
          </w:p>
        </w:tc>
        <w:tc>
          <w:tcPr>
            <w:tcW w:w="3978" w:type="dxa"/>
          </w:tcPr>
          <w:p w:rsidR="00FB0B3B" w:rsidRDefault="00FB0B3B" w:rsidP="00FB0B3B">
            <w:pPr>
              <w:rPr>
                <w:rFonts w:ascii="Calibri Light" w:hAnsi="Calibri Light" w:cs="Calibri Light" w:hint="cs"/>
                <w:sz w:val="26"/>
                <w:szCs w:val="26"/>
                <w:rtl/>
              </w:rPr>
            </w:pPr>
            <w:r>
              <w:rPr>
                <w:rFonts w:ascii="Calibri Light" w:hAnsi="Calibri Light" w:cs="Calibri Light" w:hint="cs"/>
                <w:sz w:val="26"/>
                <w:szCs w:val="26"/>
                <w:rtl/>
              </w:rPr>
              <w:t>מרכז פרפרים בנמל</w:t>
            </w:r>
          </w:p>
        </w:tc>
        <w:tc>
          <w:tcPr>
            <w:tcW w:w="5057" w:type="dxa"/>
          </w:tcPr>
          <w:p w:rsidR="00FB0B3B" w:rsidRDefault="00FB0B3B" w:rsidP="00FB0B3B">
            <w:pPr>
              <w:rPr>
                <w:rtl/>
              </w:rPr>
            </w:pPr>
          </w:p>
        </w:tc>
      </w:tr>
      <w:tr w:rsidR="00FB0B3B" w:rsidTr="00507681">
        <w:tc>
          <w:tcPr>
            <w:tcW w:w="1640" w:type="dxa"/>
            <w:vMerge/>
          </w:tcPr>
          <w:p w:rsidR="00FB0B3B" w:rsidRDefault="00FB0B3B" w:rsidP="00FB0B3B">
            <w:pPr>
              <w:rPr>
                <w:rFonts w:ascii="Calibri Light" w:hAnsi="Calibri Light" w:cs="Calibri Light" w:hint="cs"/>
                <w:b/>
                <w:bCs/>
                <w:sz w:val="26"/>
                <w:szCs w:val="26"/>
                <w:highlight w:val="cyan"/>
                <w:rtl/>
              </w:rPr>
            </w:pPr>
          </w:p>
        </w:tc>
        <w:tc>
          <w:tcPr>
            <w:tcW w:w="3978" w:type="dxa"/>
          </w:tcPr>
          <w:p w:rsidR="00FB0B3B" w:rsidRPr="00FB0B3B" w:rsidRDefault="00FB0B3B" w:rsidP="00FB0B3B">
            <w:pPr>
              <w:rPr>
                <w:rFonts w:ascii="Calibri Light" w:hAnsi="Calibri Light" w:cs="Calibri Light"/>
                <w:sz w:val="26"/>
                <w:szCs w:val="26"/>
                <w:rtl/>
              </w:rPr>
            </w:pPr>
            <w:r w:rsidRPr="00FB0B3B">
              <w:rPr>
                <w:rFonts w:ascii="Calibri Light" w:hAnsi="Calibri Light" w:cs="Calibri Light"/>
                <w:sz w:val="26"/>
                <w:szCs w:val="26"/>
                <w:rtl/>
              </w:rPr>
              <w:t>משחקייה במרכז הקהילתי נווה עופר</w:t>
            </w:r>
          </w:p>
        </w:tc>
        <w:tc>
          <w:tcPr>
            <w:tcW w:w="5057" w:type="dxa"/>
          </w:tcPr>
          <w:p w:rsidR="00FB0B3B" w:rsidRPr="00FB0B3B" w:rsidRDefault="00FB0B3B" w:rsidP="00FB0B3B">
            <w:pPr>
              <w:rPr>
                <w:rFonts w:ascii="Calibri Light" w:hAnsi="Calibri Light" w:cs="Calibri Light"/>
                <w:sz w:val="26"/>
                <w:szCs w:val="26"/>
                <w:rtl/>
              </w:rPr>
            </w:pPr>
          </w:p>
        </w:tc>
      </w:tr>
    </w:tbl>
    <w:p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076"/>
    <w:multiLevelType w:val="multilevel"/>
    <w:tmpl w:val="AB9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23B2C"/>
    <w:multiLevelType w:val="multilevel"/>
    <w:tmpl w:val="9A4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43A92"/>
    <w:multiLevelType w:val="multilevel"/>
    <w:tmpl w:val="7AE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C217E"/>
    <w:multiLevelType w:val="multilevel"/>
    <w:tmpl w:val="1F0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C2C4D"/>
    <w:multiLevelType w:val="hybridMultilevel"/>
    <w:tmpl w:val="7960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2"/>
  </w:num>
  <w:num w:numId="5">
    <w:abstractNumId w:val="7"/>
  </w:num>
  <w:num w:numId="6">
    <w:abstractNumId w:val="6"/>
  </w:num>
  <w:num w:numId="7">
    <w:abstractNumId w:val="9"/>
  </w:num>
  <w:num w:numId="8">
    <w:abstractNumId w:val="5"/>
  </w:num>
  <w:num w:numId="9">
    <w:abstractNumId w:val="12"/>
  </w:num>
  <w:num w:numId="10">
    <w:abstractNumId w:val="11"/>
  </w:num>
  <w:num w:numId="11">
    <w:abstractNumId w:val="8"/>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92C82"/>
    <w:rsid w:val="000D7DCB"/>
    <w:rsid w:val="00212727"/>
    <w:rsid w:val="002B71A4"/>
    <w:rsid w:val="004165CA"/>
    <w:rsid w:val="00507681"/>
    <w:rsid w:val="00556B0A"/>
    <w:rsid w:val="006D41D8"/>
    <w:rsid w:val="007424F2"/>
    <w:rsid w:val="008740B1"/>
    <w:rsid w:val="00980C10"/>
    <w:rsid w:val="00B2576A"/>
    <w:rsid w:val="00BC5729"/>
    <w:rsid w:val="00BF10F1"/>
    <w:rsid w:val="00CA407B"/>
    <w:rsid w:val="00CF007E"/>
    <w:rsid w:val="00DD1048"/>
    <w:rsid w:val="00E41CFF"/>
    <w:rsid w:val="00E84131"/>
    <w:rsid w:val="00E8598C"/>
    <w:rsid w:val="00F0494A"/>
    <w:rsid w:val="00FB0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2472"/>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paragraph" w:styleId="3">
    <w:name w:val="heading 3"/>
    <w:basedOn w:val="a"/>
    <w:link w:val="30"/>
    <w:uiPriority w:val="9"/>
    <w:qFormat/>
    <w:rsid w:val="00F0494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 w:type="character" w:customStyle="1" w:styleId="30">
    <w:name w:val="כותרת 3 תו"/>
    <w:basedOn w:val="a0"/>
    <w:link w:val="3"/>
    <w:uiPriority w:val="9"/>
    <w:rsid w:val="00F0494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301769677">
      <w:bodyDiv w:val="1"/>
      <w:marLeft w:val="0"/>
      <w:marRight w:val="0"/>
      <w:marTop w:val="0"/>
      <w:marBottom w:val="0"/>
      <w:divBdr>
        <w:top w:val="none" w:sz="0" w:space="0" w:color="auto"/>
        <w:left w:val="none" w:sz="0" w:space="0" w:color="auto"/>
        <w:bottom w:val="none" w:sz="0" w:space="0" w:color="auto"/>
        <w:right w:val="none" w:sz="0" w:space="0" w:color="auto"/>
      </w:divBdr>
    </w:div>
    <w:div w:id="1365786758">
      <w:bodyDiv w:val="1"/>
      <w:marLeft w:val="0"/>
      <w:marRight w:val="0"/>
      <w:marTop w:val="0"/>
      <w:marBottom w:val="0"/>
      <w:divBdr>
        <w:top w:val="none" w:sz="0" w:space="0" w:color="auto"/>
        <w:left w:val="none" w:sz="0" w:space="0" w:color="auto"/>
        <w:bottom w:val="none" w:sz="0" w:space="0" w:color="auto"/>
        <w:right w:val="none" w:sz="0" w:space="0" w:color="auto"/>
      </w:divBdr>
    </w:div>
    <w:div w:id="1525552899">
      <w:bodyDiv w:val="1"/>
      <w:marLeft w:val="0"/>
      <w:marRight w:val="0"/>
      <w:marTop w:val="0"/>
      <w:marBottom w:val="0"/>
      <w:divBdr>
        <w:top w:val="none" w:sz="0" w:space="0" w:color="auto"/>
        <w:left w:val="none" w:sz="0" w:space="0" w:color="auto"/>
        <w:bottom w:val="none" w:sz="0" w:space="0" w:color="auto"/>
        <w:right w:val="none" w:sz="0" w:space="0" w:color="auto"/>
      </w:divBdr>
    </w:div>
    <w:div w:id="1536112832">
      <w:bodyDiv w:val="1"/>
      <w:marLeft w:val="0"/>
      <w:marRight w:val="0"/>
      <w:marTop w:val="0"/>
      <w:marBottom w:val="0"/>
      <w:divBdr>
        <w:top w:val="none" w:sz="0" w:space="0" w:color="auto"/>
        <w:left w:val="none" w:sz="0" w:space="0" w:color="auto"/>
        <w:bottom w:val="none" w:sz="0" w:space="0" w:color="auto"/>
        <w:right w:val="none" w:sz="0" w:space="0" w:color="auto"/>
      </w:divBdr>
      <w:divsChild>
        <w:div w:id="1695887940">
          <w:marLeft w:val="0"/>
          <w:marRight w:val="0"/>
          <w:marTop w:val="0"/>
          <w:marBottom w:val="300"/>
          <w:divBdr>
            <w:top w:val="none" w:sz="0" w:space="0" w:color="auto"/>
            <w:left w:val="none" w:sz="0" w:space="0" w:color="auto"/>
            <w:bottom w:val="none" w:sz="0" w:space="0" w:color="auto"/>
            <w:right w:val="none" w:sz="0" w:space="0" w:color="auto"/>
          </w:divBdr>
          <w:divsChild>
            <w:div w:id="86117726">
              <w:marLeft w:val="0"/>
              <w:marRight w:val="0"/>
              <w:marTop w:val="150"/>
              <w:marBottom w:val="0"/>
              <w:divBdr>
                <w:top w:val="none" w:sz="0" w:space="0" w:color="auto"/>
                <w:left w:val="none" w:sz="0" w:space="0" w:color="auto"/>
                <w:bottom w:val="none" w:sz="0" w:space="0" w:color="auto"/>
                <w:right w:val="none" w:sz="0" w:space="0" w:color="auto"/>
              </w:divBdr>
            </w:div>
          </w:divsChild>
        </w:div>
        <w:div w:id="951549673">
          <w:marLeft w:val="0"/>
          <w:marRight w:val="-540"/>
          <w:marTop w:val="0"/>
          <w:marBottom w:val="0"/>
          <w:divBdr>
            <w:top w:val="none" w:sz="0" w:space="0" w:color="auto"/>
            <w:left w:val="none" w:sz="0" w:space="0" w:color="auto"/>
            <w:bottom w:val="none" w:sz="0" w:space="0" w:color="auto"/>
            <w:right w:val="none" w:sz="0" w:space="0" w:color="auto"/>
          </w:divBdr>
        </w:div>
      </w:divsChild>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573</Words>
  <Characters>2865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2024-10-09T10:17:00Z</dcterms:created>
  <dcterms:modified xsi:type="dcterms:W3CDTF">2024-10-09T10:39:00Z</dcterms:modified>
</cp:coreProperties>
</file>