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Default="00E84131">
            <w:pPr>
              <w:rPr>
                <w:rtl/>
              </w:rPr>
            </w:pP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8D3BC3" w:rsidRDefault="00A667B4" w:rsidP="00E84131">
            <w:pPr>
              <w:rPr>
                <w:rFonts w:asciiTheme="majorHAnsi" w:hAnsiTheme="majorHAnsi" w:cstheme="majorHAnsi"/>
                <w:b/>
                <w:bCs/>
                <w:sz w:val="26"/>
                <w:szCs w:val="26"/>
                <w:rtl/>
              </w:rPr>
            </w:pPr>
            <w:r>
              <w:rPr>
                <w:rFonts w:asciiTheme="majorHAnsi" w:hAnsiTheme="majorHAnsi" w:cstheme="majorHAnsi" w:hint="cs"/>
                <w:b/>
                <w:bCs/>
                <w:sz w:val="26"/>
                <w:szCs w:val="26"/>
                <w:rtl/>
              </w:rPr>
              <w:t>מאה נקודות</w:t>
            </w:r>
            <w:r w:rsidR="002D5752">
              <w:rPr>
                <w:rFonts w:asciiTheme="majorHAnsi" w:hAnsiTheme="majorHAnsi" w:cstheme="majorHAnsi" w:hint="cs"/>
                <w:b/>
                <w:bCs/>
                <w:sz w:val="26"/>
                <w:szCs w:val="26"/>
                <w:rtl/>
              </w:rPr>
              <w:t xml:space="preserve"> </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D67034" w:rsidRDefault="00D67034" w:rsidP="00E84131">
            <w:pPr>
              <w:rPr>
                <w:rFonts w:asciiTheme="majorHAnsi" w:hAnsiTheme="majorHAnsi" w:cstheme="majorHAnsi"/>
                <w:b/>
                <w:bCs/>
                <w:sz w:val="26"/>
                <w:szCs w:val="26"/>
                <w:rtl/>
              </w:rPr>
            </w:pPr>
            <w:r w:rsidRPr="00D67034">
              <w:rPr>
                <w:rFonts w:asciiTheme="majorHAnsi" w:hAnsiTheme="majorHAnsi" w:cstheme="majorHAnsi"/>
                <w:b/>
                <w:bCs/>
                <w:sz w:val="26"/>
                <w:szCs w:val="26"/>
                <w:rtl/>
              </w:rPr>
              <w:t>התערבות טקטית ב-100 נקודות ברחבי העיר, שהושפעו מעבודות התשתית והבינוי הרבות המתבצעות בעיר בשנים האחרונות. זהו פרויקט ייחודי במרחב הציבורי, חוצה מחלקות עירוניות, ומושתת על עבודה משותפת בין גורמים רבים, למען מטרה אחת - איתור אזורים ורחובות שהנגישות או הבטיחות בהם נפגעו באופן "זמני" - והפיכתם למקומות בטוחים, נוחים ובריאים</w:t>
            </w:r>
            <w:r w:rsidRPr="00D67034">
              <w:rPr>
                <w:rFonts w:asciiTheme="majorHAnsi" w:hAnsiTheme="majorHAnsi" w:cstheme="majorHAnsi"/>
                <w:b/>
                <w:bCs/>
                <w:sz w:val="26"/>
                <w:szCs w:val="26"/>
              </w:rPr>
              <w:t>.</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8053A8" w:rsidRDefault="00D67034" w:rsidP="00E84131">
            <w:pPr>
              <w:rPr>
                <w:rFonts w:ascii="Calibri Light" w:hAnsi="Calibri Light" w:cs="Calibri Light"/>
                <w:sz w:val="26"/>
                <w:szCs w:val="26"/>
                <w:rtl/>
              </w:rPr>
            </w:pPr>
            <w:r w:rsidRPr="00D67034">
              <w:rPr>
                <w:rFonts w:ascii="Calibri Light" w:hAnsi="Calibri Light" w:cs="Calibri Light"/>
                <w:sz w:val="26"/>
                <w:szCs w:val="26"/>
                <w:rtl/>
              </w:rPr>
              <w:t xml:space="preserve">תל אביב-יפו הינה "עיר בעבודות" - שנים ארוכות מתקיימות בעיר עבודות פיתוח, תשתית ובינוי, המשלבות גורמי תכנון וביצוע מגוונים. ביניהן ניתן למצוא את פרויקט הרכבת הקלה שמבוצעת על ידי </w:t>
            </w:r>
            <w:proofErr w:type="spellStart"/>
            <w:r w:rsidRPr="00D67034">
              <w:rPr>
                <w:rFonts w:ascii="Calibri Light" w:hAnsi="Calibri Light" w:cs="Calibri Light"/>
                <w:sz w:val="26"/>
                <w:szCs w:val="26"/>
                <w:rtl/>
              </w:rPr>
              <w:t>נת"ע</w:t>
            </w:r>
            <w:proofErr w:type="spellEnd"/>
            <w:r w:rsidRPr="00D67034">
              <w:rPr>
                <w:rFonts w:ascii="Calibri Light" w:hAnsi="Calibri Light" w:cs="Calibri Light"/>
                <w:sz w:val="26"/>
                <w:szCs w:val="26"/>
                <w:rtl/>
              </w:rPr>
              <w:t xml:space="preserve">, עבודות תשתית עירוניות בחסות העירייה, שיפוץ </w:t>
            </w:r>
            <w:proofErr w:type="spellStart"/>
            <w:r w:rsidRPr="00D67034">
              <w:rPr>
                <w:rFonts w:ascii="Calibri Light" w:hAnsi="Calibri Light" w:cs="Calibri Light"/>
                <w:sz w:val="26"/>
                <w:szCs w:val="26"/>
                <w:rtl/>
              </w:rPr>
              <w:t>תמ"אות</w:t>
            </w:r>
            <w:proofErr w:type="spellEnd"/>
            <w:r w:rsidRPr="00D67034">
              <w:rPr>
                <w:rFonts w:ascii="Calibri Light" w:hAnsi="Calibri Light" w:cs="Calibri Light"/>
                <w:sz w:val="26"/>
                <w:szCs w:val="26"/>
                <w:rtl/>
              </w:rPr>
              <w:t xml:space="preserve">, הריסה והקמה של בניינים בהובלת יזמים פרטיים. כלל העבודות והשותפים יוצרים אתגרים עירוניים ממשיים, ביניהם פגיעה </w:t>
            </w:r>
            <w:proofErr w:type="spellStart"/>
            <w:r w:rsidRPr="00D67034">
              <w:rPr>
                <w:rFonts w:ascii="Calibri Light" w:hAnsi="Calibri Light" w:cs="Calibri Light"/>
                <w:sz w:val="26"/>
                <w:szCs w:val="26"/>
                <w:rtl/>
              </w:rPr>
              <w:t>בהליכתיו·ת</w:t>
            </w:r>
            <w:proofErr w:type="spellEnd"/>
            <w:r w:rsidRPr="00D67034">
              <w:rPr>
                <w:rFonts w:ascii="Calibri Light" w:hAnsi="Calibri Light" w:cs="Calibri Light"/>
                <w:sz w:val="26"/>
                <w:szCs w:val="26"/>
                <w:rtl/>
              </w:rPr>
              <w:t>, נגישות ובטיחות: חוסר בהצללה, מעברים חשוכים, רחובות ללא מוצא, שאריות חומרי בנייה, קושי בהתמצאות, מדרכות צרות, חסימת מדרכות, מסלולי תנועה חדשים שאינם מוסדרים, זיהום אוויר, רעש ממושך לאורך כל היום ועוד.</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4E451B" w:rsidRDefault="00D67034" w:rsidP="004E451B">
            <w:pPr>
              <w:rPr>
                <w:rFonts w:ascii="Calibri Light" w:hAnsi="Calibri Light" w:cs="Calibri Light"/>
                <w:sz w:val="26"/>
                <w:szCs w:val="26"/>
                <w:rtl/>
              </w:rPr>
            </w:pPr>
            <w:r w:rsidRPr="00D67034">
              <w:rPr>
                <w:rFonts w:ascii="Calibri Light" w:hAnsi="Calibri Light" w:cs="Calibri Light"/>
                <w:sz w:val="26"/>
                <w:szCs w:val="26"/>
                <w:rtl/>
              </w:rPr>
              <w:t xml:space="preserve">אנו מבינות כי המושג "עבודות זמניות" אינו תקף עבור הגיל הרך, שכן מספר חודשים בחיי תינוקת או פעוט מהווים כמעט חיים שלמים עבורם. למעשה, עבור פעוטות והמטפלים שלהם, להחלפת קו ביוב הנמשך "רק" מספר חודשים, יכולה להיות השפעה ממשית ויומיומית על בריאות, איכות חיים ובטיחות. עלה צורך ברור בהתמודדות עם אתגרים מקומיים וזמניים שנבעו מעבודות הפיתוח, מתוך האמונה שמרחב ציבורי המתאים לתינוקות, ילדים והמלווים שלהם, יתאים לכולם. פרויקט זה </w:t>
            </w:r>
            <w:proofErr w:type="spellStart"/>
            <w:r w:rsidRPr="00D67034">
              <w:rPr>
                <w:rFonts w:ascii="Calibri Light" w:hAnsi="Calibri Light" w:cs="Calibri Light"/>
                <w:sz w:val="26"/>
                <w:szCs w:val="26"/>
                <w:rtl/>
              </w:rPr>
              <w:t>מתכלל</w:t>
            </w:r>
            <w:proofErr w:type="spellEnd"/>
            <w:r w:rsidRPr="00D67034">
              <w:rPr>
                <w:rFonts w:ascii="Calibri Light" w:hAnsi="Calibri Light" w:cs="Calibri Light"/>
                <w:sz w:val="26"/>
                <w:szCs w:val="26"/>
                <w:rtl/>
              </w:rPr>
              <w:t xml:space="preserve"> את אוסף ההתערבויות ברחבי העיר, ארגז הכלים שפיתחנו עבורם ומגוון שיתופי הפעולה שנדרשו </w:t>
            </w:r>
            <w:proofErr w:type="spellStart"/>
            <w:r w:rsidRPr="00D67034">
              <w:rPr>
                <w:rFonts w:ascii="Calibri Light" w:hAnsi="Calibri Light" w:cs="Calibri Light"/>
                <w:sz w:val="26"/>
                <w:szCs w:val="26"/>
                <w:rtl/>
              </w:rPr>
              <w:t>לתכלול</w:t>
            </w:r>
            <w:proofErr w:type="spellEnd"/>
            <w:r w:rsidRPr="00D67034">
              <w:rPr>
                <w:rFonts w:ascii="Calibri Light" w:hAnsi="Calibri Light" w:cs="Calibri Light"/>
                <w:sz w:val="26"/>
                <w:szCs w:val="26"/>
                <w:rtl/>
              </w:rPr>
              <w:t xml:space="preserve"> ולביצוע.</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D67034" w:rsidRDefault="00D67034" w:rsidP="004E451B">
            <w:pPr>
              <w:rPr>
                <w:rFonts w:ascii="Calibri Light" w:hAnsi="Calibri Light" w:cs="Calibri Light"/>
                <w:sz w:val="26"/>
                <w:szCs w:val="26"/>
                <w:rtl/>
              </w:rPr>
            </w:pPr>
            <w:r w:rsidRPr="00D67034">
              <w:rPr>
                <w:rFonts w:ascii="Calibri Light" w:hAnsi="Calibri Light" w:cs="Calibri Light"/>
                <w:sz w:val="26"/>
                <w:szCs w:val="26"/>
                <w:rtl/>
              </w:rPr>
              <w:t>התהליך החל בזכות נסיעת צוות עירוני להשתלמות ב-</w:t>
            </w:r>
            <w:r w:rsidRPr="00D67034">
              <w:rPr>
                <w:rFonts w:ascii="Calibri Light" w:hAnsi="Calibri Light" w:cs="Calibri Light"/>
                <w:sz w:val="26"/>
                <w:szCs w:val="26"/>
              </w:rPr>
              <w:t>Urban Academy</w:t>
            </w:r>
            <w:r w:rsidRPr="00D67034">
              <w:rPr>
                <w:rFonts w:ascii="Calibri Light" w:hAnsi="Calibri Light" w:cs="Calibri Light"/>
                <w:sz w:val="26"/>
                <w:szCs w:val="26"/>
                <w:rtl/>
              </w:rPr>
              <w:t xml:space="preserve"> ב-</w:t>
            </w:r>
            <w:r w:rsidRPr="00D67034">
              <w:rPr>
                <w:rFonts w:ascii="Calibri Light" w:hAnsi="Calibri Light" w:cs="Calibri Light"/>
                <w:sz w:val="26"/>
                <w:szCs w:val="26"/>
              </w:rPr>
              <w:t>LSE</w:t>
            </w:r>
            <w:r w:rsidRPr="00D67034">
              <w:rPr>
                <w:rFonts w:ascii="Calibri Light" w:hAnsi="Calibri Light" w:cs="Calibri Light"/>
                <w:sz w:val="26"/>
                <w:szCs w:val="26"/>
                <w:rtl/>
              </w:rPr>
              <w:t xml:space="preserve">, והמשיך בהובלת אדריכל העיר. פתחנו בתהליך מיפוי הדרגתי של 100 נקודות אסטרטגיות - כאלו </w:t>
            </w:r>
            <w:proofErr w:type="spellStart"/>
            <w:r w:rsidRPr="00D67034">
              <w:rPr>
                <w:rFonts w:ascii="Calibri Light" w:hAnsi="Calibri Light" w:cs="Calibri Light"/>
                <w:sz w:val="26"/>
                <w:szCs w:val="26"/>
                <w:rtl/>
              </w:rPr>
              <w:t>שההליכתיו·ת</w:t>
            </w:r>
            <w:proofErr w:type="spellEnd"/>
            <w:r w:rsidRPr="00D67034">
              <w:rPr>
                <w:rFonts w:ascii="Calibri Light" w:hAnsi="Calibri Light" w:cs="Calibri Light"/>
                <w:sz w:val="26"/>
                <w:szCs w:val="26"/>
                <w:rtl/>
              </w:rPr>
              <w:t xml:space="preserve"> בהן נפגעה בעקבות עבודות התשתית העירוניות - במטרה לתת מענה טקטי הולם לכל אחת ואחת. תהליך האיתור כלל גורמים מגוונים בעירייה, צוותי שטח של הרכבת הקלה וסיורים עצמאיים של צוות אורבן95, ובמהלכו זיהינו רחובות שהפכו ללא מוצא, מעברים חדשים שנוצרו מפתרונות יצירתיים של הולכי רגל, מרחבים בהם רצועת השירות נפגעה (ספסלים, פחים, שילוט ועזרי התמצאות), מקטעי אספלט ריקים שצמחו יש מאין ועוד.</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D67034" w:rsidRDefault="00D67034" w:rsidP="00D67034">
            <w:pPr>
              <w:rPr>
                <w:rFonts w:ascii="Calibri Light" w:hAnsi="Calibri Light" w:cs="Calibri Light"/>
                <w:sz w:val="26"/>
                <w:szCs w:val="26"/>
                <w:rtl/>
              </w:rPr>
            </w:pPr>
            <w:r w:rsidRPr="00D67034">
              <w:rPr>
                <w:rFonts w:ascii="Calibri Light" w:hAnsi="Calibri Light" w:cs="Calibri Light"/>
                <w:sz w:val="26"/>
                <w:szCs w:val="26"/>
                <w:rtl/>
              </w:rPr>
              <w:t>הנקודות שנבחרו פרוסות על פני כלל העיר, ובכולן זיהינו שניתן וכדאי לבצע התערבות טקטית: השקעת משאבים הולמת להתערבות הזמנית. החלטנו שחצי שנה זהו פרק הזמן המינימלי להתערבות, המצדיק את המענה הזמני להשפעות שחווים התושבים.</w:t>
            </w:r>
          </w:p>
        </w:tc>
        <w:tc>
          <w:tcPr>
            <w:tcW w:w="5057" w:type="dxa"/>
          </w:tcPr>
          <w:p w:rsidR="00E41CFF" w:rsidRDefault="00E41CFF" w:rsidP="00E84131">
            <w:pPr>
              <w:rPr>
                <w:rtl/>
              </w:rPr>
            </w:pPr>
          </w:p>
        </w:tc>
      </w:tr>
      <w:tr w:rsidR="00C324B2" w:rsidTr="00507681">
        <w:tc>
          <w:tcPr>
            <w:tcW w:w="1640" w:type="dxa"/>
            <w:vMerge/>
          </w:tcPr>
          <w:p w:rsidR="00C324B2" w:rsidRDefault="00C324B2" w:rsidP="00E84131">
            <w:pPr>
              <w:rPr>
                <w:rtl/>
              </w:rPr>
            </w:pPr>
          </w:p>
        </w:tc>
        <w:tc>
          <w:tcPr>
            <w:tcW w:w="3978" w:type="dxa"/>
          </w:tcPr>
          <w:p w:rsidR="00D67034" w:rsidRPr="00D67034" w:rsidRDefault="00D67034" w:rsidP="00D67034">
            <w:pPr>
              <w:shd w:val="clear" w:color="auto" w:fill="F3FCFF"/>
              <w:spacing w:before="100" w:beforeAutospacing="1" w:after="300"/>
              <w:rPr>
                <w:rFonts w:asciiTheme="majorHAnsi" w:eastAsia="Times New Roman" w:hAnsiTheme="majorHAnsi" w:cstheme="majorHAnsi"/>
                <w:color w:val="383B3F"/>
                <w:sz w:val="26"/>
                <w:szCs w:val="26"/>
              </w:rPr>
            </w:pPr>
            <w:r w:rsidRPr="00D67034">
              <w:rPr>
                <w:rFonts w:asciiTheme="majorHAnsi" w:eastAsia="Times New Roman" w:hAnsiTheme="majorHAnsi" w:cstheme="majorHAnsi"/>
                <w:color w:val="383B3F"/>
                <w:sz w:val="26"/>
                <w:szCs w:val="26"/>
                <w:u w:val="single"/>
                <w:rtl/>
              </w:rPr>
              <w:t>תהליך ההתערבות הטקטית כלל מספר עקרונות</w:t>
            </w:r>
            <w:r w:rsidRPr="00D67034">
              <w:rPr>
                <w:rFonts w:asciiTheme="majorHAnsi" w:eastAsia="Times New Roman" w:hAnsiTheme="majorHAnsi" w:cstheme="majorHAnsi"/>
                <w:color w:val="383B3F"/>
                <w:sz w:val="26"/>
                <w:szCs w:val="26"/>
                <w:u w:val="single"/>
              </w:rPr>
              <w:t>:</w:t>
            </w:r>
          </w:p>
          <w:p w:rsidR="00D67034" w:rsidRPr="00D67034" w:rsidRDefault="00D67034" w:rsidP="00D67034">
            <w:pPr>
              <w:numPr>
                <w:ilvl w:val="0"/>
                <w:numId w:val="25"/>
              </w:numPr>
              <w:spacing w:before="100" w:beforeAutospacing="1" w:after="100" w:afterAutospacing="1"/>
              <w:textAlignment w:val="baseline"/>
              <w:rPr>
                <w:rFonts w:asciiTheme="majorHAnsi" w:eastAsia="Times New Roman" w:hAnsiTheme="majorHAnsi" w:cstheme="majorHAnsi"/>
                <w:color w:val="383B3F"/>
                <w:sz w:val="26"/>
                <w:szCs w:val="26"/>
              </w:rPr>
            </w:pPr>
            <w:r w:rsidRPr="00D67034">
              <w:rPr>
                <w:rFonts w:asciiTheme="majorHAnsi" w:eastAsia="Times New Roman" w:hAnsiTheme="majorHAnsi" w:cstheme="majorHAnsi"/>
                <w:color w:val="383B3F"/>
                <w:sz w:val="26"/>
                <w:szCs w:val="26"/>
                <w:rtl/>
              </w:rPr>
              <w:t>ביצענו תהליכי מדידה והערכה לפני ואחרי ההתערבות</w:t>
            </w:r>
            <w:r w:rsidRPr="00D67034">
              <w:rPr>
                <w:rFonts w:asciiTheme="majorHAnsi" w:eastAsia="Times New Roman" w:hAnsiTheme="majorHAnsi" w:cstheme="majorHAnsi"/>
                <w:color w:val="383B3F"/>
                <w:sz w:val="26"/>
                <w:szCs w:val="26"/>
              </w:rPr>
              <w:t>.</w:t>
            </w:r>
          </w:p>
          <w:p w:rsidR="00D67034" w:rsidRPr="00D67034" w:rsidRDefault="00D67034" w:rsidP="00D67034">
            <w:pPr>
              <w:numPr>
                <w:ilvl w:val="0"/>
                <w:numId w:val="25"/>
              </w:numPr>
              <w:spacing w:before="100" w:beforeAutospacing="1" w:after="100" w:afterAutospacing="1"/>
              <w:textAlignment w:val="baseline"/>
              <w:rPr>
                <w:rFonts w:asciiTheme="majorHAnsi" w:eastAsia="Times New Roman" w:hAnsiTheme="majorHAnsi" w:cstheme="majorHAnsi"/>
                <w:color w:val="383B3F"/>
                <w:sz w:val="26"/>
                <w:szCs w:val="26"/>
              </w:rPr>
            </w:pPr>
            <w:r w:rsidRPr="00D67034">
              <w:rPr>
                <w:rFonts w:asciiTheme="majorHAnsi" w:eastAsia="Times New Roman" w:hAnsiTheme="majorHAnsi" w:cstheme="majorHAnsi"/>
                <w:color w:val="383B3F"/>
                <w:sz w:val="26"/>
                <w:szCs w:val="26"/>
                <w:rtl/>
              </w:rPr>
              <w:t>בזירות עם אתגרים ומאפיינים דומים התחלנו בהתערבות במרחב אחד, מתוכו פיתחנו ארגז כלים של פתרונות דומים במרחבים המקבילים</w:t>
            </w:r>
            <w:r w:rsidRPr="00D67034">
              <w:rPr>
                <w:rFonts w:asciiTheme="majorHAnsi" w:eastAsia="Times New Roman" w:hAnsiTheme="majorHAnsi" w:cstheme="majorHAnsi"/>
                <w:color w:val="383B3F"/>
                <w:sz w:val="26"/>
                <w:szCs w:val="26"/>
              </w:rPr>
              <w:t>.</w:t>
            </w:r>
          </w:p>
          <w:p w:rsidR="00D67034" w:rsidRPr="00D67034" w:rsidRDefault="00D67034" w:rsidP="00D67034">
            <w:pPr>
              <w:numPr>
                <w:ilvl w:val="0"/>
                <w:numId w:val="25"/>
              </w:numPr>
              <w:spacing w:before="100" w:beforeAutospacing="1" w:after="100" w:afterAutospacing="1"/>
              <w:textAlignment w:val="baseline"/>
              <w:rPr>
                <w:rFonts w:asciiTheme="majorHAnsi" w:eastAsia="Times New Roman" w:hAnsiTheme="majorHAnsi" w:cstheme="majorHAnsi"/>
                <w:color w:val="383B3F"/>
                <w:sz w:val="26"/>
                <w:szCs w:val="26"/>
              </w:rPr>
            </w:pPr>
            <w:r w:rsidRPr="00D67034">
              <w:rPr>
                <w:rFonts w:asciiTheme="majorHAnsi" w:eastAsia="Times New Roman" w:hAnsiTheme="majorHAnsi" w:cstheme="majorHAnsi"/>
                <w:color w:val="383B3F"/>
                <w:sz w:val="26"/>
                <w:szCs w:val="26"/>
                <w:rtl/>
              </w:rPr>
              <w:t>ההתערבויות מותגו בצהוב- צבע ברור, קל לתפעול ונגיש. זאת על מנת להבהיר שמדובר בשינויים זמניים</w:t>
            </w:r>
            <w:r w:rsidRPr="00D67034">
              <w:rPr>
                <w:rFonts w:asciiTheme="majorHAnsi" w:eastAsia="Times New Roman" w:hAnsiTheme="majorHAnsi" w:cstheme="majorHAnsi"/>
                <w:color w:val="383B3F"/>
                <w:sz w:val="26"/>
                <w:szCs w:val="26"/>
              </w:rPr>
              <w:t>.</w:t>
            </w:r>
          </w:p>
          <w:p w:rsidR="00C324B2" w:rsidRPr="00D67034" w:rsidRDefault="00D67034" w:rsidP="00D67034">
            <w:pPr>
              <w:numPr>
                <w:ilvl w:val="0"/>
                <w:numId w:val="25"/>
              </w:numPr>
              <w:spacing w:before="100" w:beforeAutospacing="1" w:after="100" w:afterAutospacing="1"/>
              <w:textAlignment w:val="baseline"/>
              <w:rPr>
                <w:rFonts w:asciiTheme="majorHAnsi" w:eastAsia="Times New Roman" w:hAnsiTheme="majorHAnsi" w:cstheme="majorHAnsi"/>
                <w:color w:val="383B3F"/>
                <w:sz w:val="26"/>
                <w:szCs w:val="26"/>
                <w:rtl/>
              </w:rPr>
            </w:pPr>
            <w:r w:rsidRPr="00D67034">
              <w:rPr>
                <w:rFonts w:asciiTheme="majorHAnsi" w:eastAsia="Times New Roman" w:hAnsiTheme="majorHAnsi" w:cstheme="majorHAnsi"/>
                <w:color w:val="383B3F"/>
                <w:sz w:val="26"/>
                <w:szCs w:val="26"/>
                <w:rtl/>
              </w:rPr>
              <w:t>כל נקודת התערבות הייתה בעלת תוקף סיום</w:t>
            </w:r>
            <w:r w:rsidRPr="00D67034">
              <w:rPr>
                <w:rFonts w:asciiTheme="majorHAnsi" w:eastAsia="Times New Roman" w:hAnsiTheme="majorHAnsi" w:cstheme="majorHAnsi"/>
                <w:color w:val="383B3F"/>
                <w:sz w:val="26"/>
                <w:szCs w:val="26"/>
              </w:rPr>
              <w:t>.</w:t>
            </w:r>
          </w:p>
        </w:tc>
        <w:tc>
          <w:tcPr>
            <w:tcW w:w="5057" w:type="dxa"/>
          </w:tcPr>
          <w:p w:rsidR="00C324B2" w:rsidRDefault="00C324B2" w:rsidP="00E84131">
            <w:pPr>
              <w:rPr>
                <w:rtl/>
              </w:rPr>
            </w:pPr>
          </w:p>
        </w:tc>
      </w:tr>
      <w:tr w:rsidR="00C324B2" w:rsidTr="00507681">
        <w:tc>
          <w:tcPr>
            <w:tcW w:w="1640" w:type="dxa"/>
            <w:vMerge/>
          </w:tcPr>
          <w:p w:rsidR="00C324B2" w:rsidRDefault="00C324B2" w:rsidP="00E84131">
            <w:pPr>
              <w:rPr>
                <w:rtl/>
              </w:rPr>
            </w:pPr>
          </w:p>
        </w:tc>
        <w:tc>
          <w:tcPr>
            <w:tcW w:w="3978" w:type="dxa"/>
          </w:tcPr>
          <w:p w:rsidR="00C324B2" w:rsidRPr="004E451B" w:rsidRDefault="00D67034" w:rsidP="004E451B">
            <w:pPr>
              <w:rPr>
                <w:rFonts w:ascii="Calibri Light" w:hAnsi="Calibri Light" w:cs="Calibri Light"/>
                <w:sz w:val="26"/>
                <w:szCs w:val="26"/>
                <w:rtl/>
              </w:rPr>
            </w:pPr>
            <w:r w:rsidRPr="00D67034">
              <w:rPr>
                <w:rFonts w:ascii="Calibri Light" w:hAnsi="Calibri Light" w:cs="Calibri Light"/>
                <w:sz w:val="26"/>
                <w:szCs w:val="26"/>
                <w:rtl/>
              </w:rPr>
              <w:t xml:space="preserve">ייחודיות פרויקט זה מתבטאת במבנה ושגרת הפעילות של צוות "מאה נקודות": שותפות של נציגים ממחלקות שונות בעירייה, כמו שפ"ע, אדריכל העיר, אורבן95, וכן גורמים חיצוניים נוספים כמו מנהלת הרכבת הקלה, </w:t>
            </w:r>
            <w:proofErr w:type="spellStart"/>
            <w:r w:rsidRPr="00D67034">
              <w:rPr>
                <w:rFonts w:ascii="Calibri Light" w:hAnsi="Calibri Light" w:cs="Calibri Light"/>
                <w:sz w:val="26"/>
                <w:szCs w:val="26"/>
                <w:rtl/>
              </w:rPr>
              <w:t>נת"ע</w:t>
            </w:r>
            <w:proofErr w:type="spellEnd"/>
            <w:r w:rsidRPr="00D67034">
              <w:rPr>
                <w:rFonts w:ascii="Calibri Light" w:hAnsi="Calibri Light" w:cs="Calibri Light"/>
                <w:sz w:val="26"/>
                <w:szCs w:val="26"/>
                <w:rtl/>
              </w:rPr>
              <w:t xml:space="preserve"> ואדריכלים אחרים. בנוסף, בהתאם לנקודת </w:t>
            </w:r>
            <w:r w:rsidRPr="00D67034">
              <w:rPr>
                <w:rFonts w:ascii="Calibri Light" w:hAnsi="Calibri Light" w:cs="Calibri Light"/>
                <w:sz w:val="26"/>
                <w:szCs w:val="26"/>
                <w:rtl/>
              </w:rPr>
              <w:lastRenderedPageBreak/>
              <w:t xml:space="preserve">ההתערבות ומאפייניה, הצטרפו גם גורמים כמו אגף התחבורה, חניוני "אחוזות החוף" ועוד. לצוות הפרויקט מפגש שבועי המייצר שגרה של עבודה </w:t>
            </w:r>
            <w:proofErr w:type="spellStart"/>
            <w:r w:rsidRPr="00D67034">
              <w:rPr>
                <w:rFonts w:ascii="Calibri Light" w:hAnsi="Calibri Light" w:cs="Calibri Light"/>
                <w:sz w:val="26"/>
                <w:szCs w:val="26"/>
                <w:rtl/>
              </w:rPr>
              <w:t>חוצת</w:t>
            </w:r>
            <w:proofErr w:type="spellEnd"/>
            <w:r w:rsidRPr="00D67034">
              <w:rPr>
                <w:rFonts w:ascii="Calibri Light" w:hAnsi="Calibri Light" w:cs="Calibri Light"/>
                <w:sz w:val="26"/>
                <w:szCs w:val="26"/>
                <w:rtl/>
              </w:rPr>
              <w:t xml:space="preserve"> מחלקות, ותומך בעבודה עקבית ואפקטיבית לאורך זמן.</w:t>
            </w:r>
          </w:p>
        </w:tc>
        <w:tc>
          <w:tcPr>
            <w:tcW w:w="5057" w:type="dxa"/>
          </w:tcPr>
          <w:p w:rsidR="00C324B2" w:rsidRDefault="00C324B2" w:rsidP="00E84131">
            <w:pPr>
              <w:rPr>
                <w:rtl/>
              </w:rPr>
            </w:pPr>
          </w:p>
        </w:tc>
      </w:tr>
      <w:tr w:rsidR="00D67034" w:rsidTr="00507681">
        <w:tc>
          <w:tcPr>
            <w:tcW w:w="1640" w:type="dxa"/>
          </w:tcPr>
          <w:p w:rsidR="00D67034" w:rsidRPr="00E41CFF" w:rsidRDefault="00D67034" w:rsidP="00E84131">
            <w:pPr>
              <w:rPr>
                <w:rFonts w:ascii="Calibri Light" w:hAnsi="Calibri Light" w:cs="Calibri Light" w:hint="cs"/>
                <w:b/>
                <w:bCs/>
                <w:sz w:val="26"/>
                <w:szCs w:val="26"/>
                <w:highlight w:val="cyan"/>
                <w:rtl/>
              </w:rPr>
            </w:pPr>
          </w:p>
        </w:tc>
        <w:tc>
          <w:tcPr>
            <w:tcW w:w="3978" w:type="dxa"/>
          </w:tcPr>
          <w:p w:rsidR="00D67034" w:rsidRPr="0026436E" w:rsidRDefault="00D67034" w:rsidP="00D67034">
            <w:pPr>
              <w:spacing w:before="100" w:beforeAutospacing="1" w:after="100" w:afterAutospacing="1" w:line="276" w:lineRule="auto"/>
              <w:textAlignment w:val="baseline"/>
              <w:rPr>
                <w:rFonts w:ascii="Calibri Light" w:eastAsia="Times New Roman" w:hAnsi="Calibri Light" w:cs="Calibri Light"/>
                <w:color w:val="333333"/>
                <w:sz w:val="26"/>
                <w:szCs w:val="26"/>
                <w:rtl/>
              </w:rPr>
            </w:pPr>
            <w:r w:rsidRPr="00D67034">
              <w:rPr>
                <w:rFonts w:ascii="Calibri Light" w:eastAsia="Times New Roman" w:hAnsi="Calibri Light" w:cs="Calibri Light"/>
                <w:b/>
                <w:bCs/>
                <w:color w:val="333333"/>
                <w:sz w:val="26"/>
                <w:szCs w:val="26"/>
                <w:u w:val="single"/>
                <w:rtl/>
              </w:rPr>
              <w:t>יחידות עירוניות שותפות:</w:t>
            </w:r>
            <w:r w:rsidRPr="00D67034">
              <w:rPr>
                <w:rFonts w:ascii="Calibri Light" w:eastAsia="Times New Roman" w:hAnsi="Calibri Light" w:cs="Calibri Light"/>
                <w:color w:val="333333"/>
                <w:sz w:val="26"/>
                <w:szCs w:val="26"/>
                <w:rtl/>
              </w:rPr>
              <w:t xml:space="preserve"> אדריכל העיר, מינהל קהילה תרבות וספורט, אגף שפ"ע, הרשות לתנועה תחבורה וחנייה, יחידת הדוברות, אגף דרכים ומאור, אגף תברואה וניהול פסולת, תיאום הנדסי, שילוט</w:t>
            </w:r>
          </w:p>
        </w:tc>
        <w:tc>
          <w:tcPr>
            <w:tcW w:w="5057" w:type="dxa"/>
          </w:tcPr>
          <w:p w:rsidR="00D67034" w:rsidRDefault="00D67034"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D67034" w:rsidRPr="00D67034" w:rsidRDefault="00D67034" w:rsidP="00D67034">
            <w:pPr>
              <w:numPr>
                <w:ilvl w:val="0"/>
                <w:numId w:val="26"/>
              </w:numPr>
              <w:spacing w:before="100" w:beforeAutospacing="1" w:after="100" w:afterAutospacing="1"/>
              <w:textAlignment w:val="baseline"/>
              <w:rPr>
                <w:rFonts w:asciiTheme="majorHAnsi" w:eastAsia="Times New Roman" w:hAnsiTheme="majorHAnsi" w:cstheme="majorHAnsi"/>
                <w:color w:val="333333"/>
                <w:sz w:val="26"/>
                <w:szCs w:val="26"/>
              </w:rPr>
            </w:pPr>
            <w:r w:rsidRPr="00D67034">
              <w:rPr>
                <w:rFonts w:asciiTheme="majorHAnsi" w:eastAsia="Times New Roman" w:hAnsiTheme="majorHAnsi" w:cstheme="majorHAnsi"/>
                <w:b/>
                <w:bCs/>
                <w:color w:val="333333"/>
                <w:sz w:val="26"/>
                <w:szCs w:val="26"/>
                <w:rtl/>
              </w:rPr>
              <w:t>הקלה על התושבים בחוויה הכללית</w:t>
            </w:r>
            <w:r w:rsidRPr="00D67034">
              <w:rPr>
                <w:rFonts w:asciiTheme="majorHAnsi" w:eastAsia="Times New Roman" w:hAnsiTheme="majorHAnsi" w:cstheme="majorHAnsi"/>
                <w:color w:val="333333"/>
                <w:sz w:val="26"/>
                <w:szCs w:val="26"/>
                <w:rtl/>
              </w:rPr>
              <w:t> בעיר בתקופת עבודות תשתית</w:t>
            </w:r>
            <w:r w:rsidRPr="00D67034">
              <w:rPr>
                <w:rFonts w:asciiTheme="majorHAnsi" w:eastAsia="Times New Roman" w:hAnsiTheme="majorHAnsi" w:cstheme="majorHAnsi"/>
                <w:color w:val="333333"/>
                <w:sz w:val="26"/>
                <w:szCs w:val="26"/>
              </w:rPr>
              <w:t>.</w:t>
            </w:r>
          </w:p>
          <w:p w:rsidR="00D67034" w:rsidRPr="00D67034" w:rsidRDefault="00D67034" w:rsidP="00D67034">
            <w:pPr>
              <w:numPr>
                <w:ilvl w:val="0"/>
                <w:numId w:val="26"/>
              </w:numPr>
              <w:spacing w:before="100" w:beforeAutospacing="1" w:after="100" w:afterAutospacing="1"/>
              <w:textAlignment w:val="baseline"/>
              <w:rPr>
                <w:rFonts w:asciiTheme="majorHAnsi" w:eastAsia="Times New Roman" w:hAnsiTheme="majorHAnsi" w:cstheme="majorHAnsi"/>
                <w:color w:val="333333"/>
                <w:sz w:val="26"/>
                <w:szCs w:val="26"/>
              </w:rPr>
            </w:pPr>
            <w:r w:rsidRPr="00D67034">
              <w:rPr>
                <w:rFonts w:asciiTheme="majorHAnsi" w:eastAsia="Times New Roman" w:hAnsiTheme="majorHAnsi" w:cstheme="majorHAnsi"/>
                <w:b/>
                <w:bCs/>
                <w:color w:val="333333"/>
                <w:sz w:val="26"/>
                <w:szCs w:val="26"/>
                <w:rtl/>
              </w:rPr>
              <w:t>שביעות רצון</w:t>
            </w:r>
            <w:r w:rsidRPr="00D67034">
              <w:rPr>
                <w:rFonts w:asciiTheme="majorHAnsi" w:eastAsia="Times New Roman" w:hAnsiTheme="majorHAnsi" w:cstheme="majorHAnsi"/>
                <w:color w:val="333333"/>
                <w:sz w:val="26"/>
                <w:szCs w:val="26"/>
                <w:rtl/>
              </w:rPr>
              <w:t> של התושבים מהמענים השונים וההתייחסות העירונית לאתגרי התקופה והמרחב</w:t>
            </w:r>
            <w:r w:rsidRPr="00D67034">
              <w:rPr>
                <w:rFonts w:asciiTheme="majorHAnsi" w:eastAsia="Times New Roman" w:hAnsiTheme="majorHAnsi" w:cstheme="majorHAnsi"/>
                <w:color w:val="333333"/>
                <w:sz w:val="26"/>
                <w:szCs w:val="26"/>
              </w:rPr>
              <w:t>.</w:t>
            </w:r>
          </w:p>
          <w:p w:rsidR="004165CA" w:rsidRPr="00D67034" w:rsidRDefault="00D67034" w:rsidP="00D67034">
            <w:pPr>
              <w:numPr>
                <w:ilvl w:val="0"/>
                <w:numId w:val="26"/>
              </w:numPr>
              <w:spacing w:before="100" w:beforeAutospacing="1" w:after="100" w:afterAutospacing="1"/>
              <w:textAlignment w:val="baseline"/>
              <w:rPr>
                <w:rFonts w:asciiTheme="majorHAnsi" w:eastAsia="Times New Roman" w:hAnsiTheme="majorHAnsi" w:cstheme="majorHAnsi"/>
                <w:color w:val="333333"/>
                <w:sz w:val="26"/>
                <w:szCs w:val="26"/>
                <w:rtl/>
              </w:rPr>
            </w:pPr>
            <w:r w:rsidRPr="00D67034">
              <w:rPr>
                <w:rFonts w:asciiTheme="majorHAnsi" w:eastAsia="Times New Roman" w:hAnsiTheme="majorHAnsi" w:cstheme="majorHAnsi"/>
                <w:color w:val="333333"/>
                <w:sz w:val="26"/>
                <w:szCs w:val="26"/>
                <w:rtl/>
              </w:rPr>
              <w:t>בחלק מנקודות ההתערבות נצפה </w:t>
            </w:r>
            <w:r w:rsidRPr="00D67034">
              <w:rPr>
                <w:rFonts w:asciiTheme="majorHAnsi" w:eastAsia="Times New Roman" w:hAnsiTheme="majorHAnsi" w:cstheme="majorHAnsi"/>
                <w:b/>
                <w:bCs/>
                <w:color w:val="333333"/>
                <w:sz w:val="26"/>
                <w:szCs w:val="26"/>
                <w:rtl/>
              </w:rPr>
              <w:t>שיפור בתנאי הגישה למעברי חצייה</w:t>
            </w:r>
            <w:r w:rsidRPr="00D67034">
              <w:rPr>
                <w:rFonts w:asciiTheme="majorHAnsi" w:eastAsia="Times New Roman" w:hAnsiTheme="majorHAnsi" w:cstheme="majorHAnsi"/>
                <w:b/>
                <w:bCs/>
                <w:color w:val="333333"/>
                <w:sz w:val="26"/>
                <w:szCs w:val="26"/>
              </w:rPr>
              <w:t>.</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D67034" w:rsidRPr="00D67034" w:rsidRDefault="00D67034" w:rsidP="00D67034">
            <w:pPr>
              <w:numPr>
                <w:ilvl w:val="0"/>
                <w:numId w:val="27"/>
              </w:numPr>
              <w:spacing w:before="100" w:beforeAutospacing="1" w:after="100" w:afterAutospacing="1"/>
              <w:textAlignment w:val="baseline"/>
              <w:rPr>
                <w:rFonts w:asciiTheme="majorHAnsi" w:eastAsia="Times New Roman" w:hAnsiTheme="majorHAnsi" w:cstheme="majorHAnsi"/>
                <w:color w:val="383B3F"/>
                <w:sz w:val="26"/>
                <w:szCs w:val="26"/>
              </w:rPr>
            </w:pPr>
            <w:r w:rsidRPr="00D67034">
              <w:rPr>
                <w:rFonts w:asciiTheme="majorHAnsi" w:eastAsia="Times New Roman" w:hAnsiTheme="majorHAnsi" w:cstheme="majorHAnsi"/>
                <w:b/>
                <w:bCs/>
                <w:color w:val="383B3F"/>
                <w:sz w:val="26"/>
                <w:szCs w:val="26"/>
                <w:rtl/>
              </w:rPr>
              <w:t>התושבים אינם מבחינים בין מחלקות שונות</w:t>
            </w:r>
            <w:r w:rsidRPr="00D67034">
              <w:rPr>
                <w:rFonts w:asciiTheme="majorHAnsi" w:eastAsia="Times New Roman" w:hAnsiTheme="majorHAnsi" w:cstheme="majorHAnsi"/>
                <w:color w:val="383B3F"/>
                <w:sz w:val="26"/>
                <w:szCs w:val="26"/>
                <w:rtl/>
              </w:rPr>
              <w:t> </w:t>
            </w:r>
            <w:r w:rsidRPr="00D67034">
              <w:rPr>
                <w:rFonts w:asciiTheme="majorHAnsi" w:eastAsia="Times New Roman" w:hAnsiTheme="majorHAnsi" w:cstheme="majorHAnsi"/>
                <w:color w:val="383B3F"/>
                <w:sz w:val="26"/>
                <w:szCs w:val="26"/>
              </w:rPr>
              <w:t xml:space="preserve">- </w:t>
            </w:r>
            <w:r w:rsidRPr="00D67034">
              <w:rPr>
                <w:rFonts w:asciiTheme="majorHAnsi" w:eastAsia="Times New Roman" w:hAnsiTheme="majorHAnsi" w:cstheme="majorHAnsi"/>
                <w:color w:val="383B3F"/>
                <w:sz w:val="26"/>
                <w:szCs w:val="26"/>
                <w:rtl/>
              </w:rPr>
              <w:t xml:space="preserve">עבורם יש אחראי אחד - העירייה. ביקורת ופידבק על המרחב הציבורי יופנו לעירייה, גם אם באחריות </w:t>
            </w:r>
            <w:proofErr w:type="spellStart"/>
            <w:r w:rsidRPr="00D67034">
              <w:rPr>
                <w:rFonts w:asciiTheme="majorHAnsi" w:eastAsia="Times New Roman" w:hAnsiTheme="majorHAnsi" w:cstheme="majorHAnsi"/>
                <w:color w:val="383B3F"/>
                <w:sz w:val="26"/>
                <w:szCs w:val="26"/>
                <w:rtl/>
              </w:rPr>
              <w:t>נת"ע</w:t>
            </w:r>
            <w:proofErr w:type="spellEnd"/>
            <w:r w:rsidRPr="00D67034">
              <w:rPr>
                <w:rFonts w:asciiTheme="majorHAnsi" w:eastAsia="Times New Roman" w:hAnsiTheme="majorHAnsi" w:cstheme="majorHAnsi"/>
                <w:color w:val="383B3F"/>
                <w:sz w:val="26"/>
                <w:szCs w:val="26"/>
                <w:rtl/>
              </w:rPr>
              <w:t xml:space="preserve"> לדוגמא. לכן, העירייה בחרה לקחת אחריות על המרחב, גם תחת "עבודות זמניות</w:t>
            </w:r>
            <w:r w:rsidRPr="00D67034">
              <w:rPr>
                <w:rFonts w:asciiTheme="majorHAnsi" w:eastAsia="Times New Roman" w:hAnsiTheme="majorHAnsi" w:cstheme="majorHAnsi"/>
                <w:color w:val="383B3F"/>
                <w:sz w:val="26"/>
                <w:szCs w:val="26"/>
              </w:rPr>
              <w:t>".</w:t>
            </w:r>
          </w:p>
          <w:p w:rsidR="00D67034" w:rsidRPr="00D67034" w:rsidRDefault="00D67034" w:rsidP="00D67034">
            <w:pPr>
              <w:numPr>
                <w:ilvl w:val="0"/>
                <w:numId w:val="27"/>
              </w:numPr>
              <w:spacing w:before="100" w:beforeAutospacing="1" w:after="100" w:afterAutospacing="1"/>
              <w:textAlignment w:val="baseline"/>
              <w:rPr>
                <w:rFonts w:asciiTheme="majorHAnsi" w:eastAsia="Times New Roman" w:hAnsiTheme="majorHAnsi" w:cstheme="majorHAnsi"/>
                <w:color w:val="383B3F"/>
                <w:sz w:val="26"/>
                <w:szCs w:val="26"/>
              </w:rPr>
            </w:pPr>
            <w:r w:rsidRPr="00D67034">
              <w:rPr>
                <w:rFonts w:asciiTheme="majorHAnsi" w:eastAsia="Times New Roman" w:hAnsiTheme="majorHAnsi" w:cstheme="majorHAnsi"/>
                <w:b/>
                <w:bCs/>
                <w:color w:val="383B3F"/>
                <w:sz w:val="26"/>
                <w:szCs w:val="26"/>
                <w:rtl/>
              </w:rPr>
              <w:t>שיתוף פעולה סדיר ומנוהל בין מחלקות שונות</w:t>
            </w:r>
            <w:r w:rsidRPr="00D67034">
              <w:rPr>
                <w:rFonts w:asciiTheme="majorHAnsi" w:eastAsia="Times New Roman" w:hAnsiTheme="majorHAnsi" w:cstheme="majorHAnsi"/>
                <w:color w:val="383B3F"/>
                <w:sz w:val="26"/>
                <w:szCs w:val="26"/>
                <w:rtl/>
              </w:rPr>
              <w:t> מביא לביצועים מהירים ואיכותיים. תחת אדריכל העיר מונתה מנהלת קבועה לפרויקט, שניהלה בין היתר מנגנון מוסדר וקבוע של פגישות</w:t>
            </w:r>
            <w:r w:rsidRPr="00D67034">
              <w:rPr>
                <w:rFonts w:asciiTheme="majorHAnsi" w:eastAsia="Times New Roman" w:hAnsiTheme="majorHAnsi" w:cstheme="majorHAnsi"/>
                <w:color w:val="383B3F"/>
                <w:sz w:val="26"/>
                <w:szCs w:val="26"/>
              </w:rPr>
              <w:t>.</w:t>
            </w:r>
          </w:p>
          <w:p w:rsidR="00D67034" w:rsidRPr="00D67034" w:rsidRDefault="00D67034" w:rsidP="00D67034">
            <w:pPr>
              <w:numPr>
                <w:ilvl w:val="0"/>
                <w:numId w:val="27"/>
              </w:numPr>
              <w:spacing w:before="100" w:beforeAutospacing="1" w:after="100" w:afterAutospacing="1"/>
              <w:textAlignment w:val="baseline"/>
              <w:rPr>
                <w:rFonts w:asciiTheme="majorHAnsi" w:eastAsia="Times New Roman" w:hAnsiTheme="majorHAnsi" w:cstheme="majorHAnsi"/>
                <w:color w:val="383B3F"/>
                <w:sz w:val="26"/>
                <w:szCs w:val="26"/>
              </w:rPr>
            </w:pPr>
            <w:r w:rsidRPr="00D67034">
              <w:rPr>
                <w:rFonts w:asciiTheme="majorHAnsi" w:eastAsia="Times New Roman" w:hAnsiTheme="majorHAnsi" w:cstheme="majorHAnsi"/>
                <w:b/>
                <w:bCs/>
                <w:color w:val="383B3F"/>
                <w:sz w:val="26"/>
                <w:szCs w:val="26"/>
                <w:rtl/>
              </w:rPr>
              <w:t>שילוב עסקים מקומיים תוך שימוש ביצירתיות</w:t>
            </w:r>
            <w:r w:rsidRPr="00D67034">
              <w:rPr>
                <w:rFonts w:asciiTheme="majorHAnsi" w:eastAsia="Times New Roman" w:hAnsiTheme="majorHAnsi" w:cstheme="majorHAnsi"/>
                <w:b/>
                <w:bCs/>
                <w:color w:val="383B3F"/>
                <w:sz w:val="26"/>
                <w:szCs w:val="26"/>
              </w:rPr>
              <w:t>,</w:t>
            </w:r>
            <w:r w:rsidRPr="00D67034">
              <w:rPr>
                <w:rFonts w:asciiTheme="majorHAnsi" w:eastAsia="Times New Roman" w:hAnsiTheme="majorHAnsi" w:cstheme="majorHAnsi"/>
                <w:color w:val="383B3F"/>
                <w:sz w:val="26"/>
                <w:szCs w:val="26"/>
              </w:rPr>
              <w:t> </w:t>
            </w:r>
            <w:r w:rsidRPr="00D67034">
              <w:rPr>
                <w:rFonts w:asciiTheme="majorHAnsi" w:eastAsia="Times New Roman" w:hAnsiTheme="majorHAnsi" w:cstheme="majorHAnsi"/>
                <w:color w:val="383B3F"/>
                <w:sz w:val="26"/>
                <w:szCs w:val="26"/>
                <w:rtl/>
              </w:rPr>
              <w:t xml:space="preserve">הוביל לפתרונות מתאימים לתחזוקת ההתערבות. לדוגמא, בית קפה שכן דואג </w:t>
            </w:r>
            <w:proofErr w:type="spellStart"/>
            <w:r w:rsidRPr="00D67034">
              <w:rPr>
                <w:rFonts w:asciiTheme="majorHAnsi" w:eastAsia="Times New Roman" w:hAnsiTheme="majorHAnsi" w:cstheme="majorHAnsi"/>
                <w:color w:val="383B3F"/>
                <w:sz w:val="26"/>
                <w:szCs w:val="26"/>
                <w:rtl/>
              </w:rPr>
              <w:t>להשקייה</w:t>
            </w:r>
            <w:proofErr w:type="spellEnd"/>
            <w:r w:rsidRPr="00D67034">
              <w:rPr>
                <w:rFonts w:asciiTheme="majorHAnsi" w:eastAsia="Times New Roman" w:hAnsiTheme="majorHAnsi" w:cstheme="majorHAnsi"/>
                <w:color w:val="383B3F"/>
                <w:sz w:val="26"/>
                <w:szCs w:val="26"/>
                <w:rtl/>
              </w:rPr>
              <w:t xml:space="preserve"> סדירה של האדניות ולמילוי מים בפינת השתייה</w:t>
            </w:r>
            <w:r w:rsidRPr="00D67034">
              <w:rPr>
                <w:rFonts w:asciiTheme="majorHAnsi" w:eastAsia="Times New Roman" w:hAnsiTheme="majorHAnsi" w:cstheme="majorHAnsi"/>
                <w:color w:val="383B3F"/>
                <w:sz w:val="26"/>
                <w:szCs w:val="26"/>
              </w:rPr>
              <w:t>.</w:t>
            </w:r>
          </w:p>
          <w:p w:rsidR="004165CA" w:rsidRPr="00D67034" w:rsidRDefault="00D67034" w:rsidP="00D67034">
            <w:pPr>
              <w:numPr>
                <w:ilvl w:val="0"/>
                <w:numId w:val="27"/>
              </w:numPr>
              <w:spacing w:before="100" w:beforeAutospacing="1" w:after="100" w:afterAutospacing="1"/>
              <w:textAlignment w:val="baseline"/>
              <w:rPr>
                <w:rFonts w:asciiTheme="majorHAnsi" w:eastAsia="Times New Roman" w:hAnsiTheme="majorHAnsi" w:cstheme="majorHAnsi"/>
                <w:color w:val="383B3F"/>
                <w:sz w:val="26"/>
                <w:szCs w:val="26"/>
                <w:rtl/>
              </w:rPr>
            </w:pPr>
            <w:r w:rsidRPr="00D67034">
              <w:rPr>
                <w:rFonts w:asciiTheme="majorHAnsi" w:eastAsia="Times New Roman" w:hAnsiTheme="majorHAnsi" w:cstheme="majorHAnsi"/>
                <w:b/>
                <w:bCs/>
                <w:color w:val="383B3F"/>
                <w:sz w:val="26"/>
                <w:szCs w:val="26"/>
                <w:rtl/>
              </w:rPr>
              <w:t>פיתוח ארגז הכלים דינאמי לסוגי ההתערבויות</w:t>
            </w:r>
            <w:r w:rsidRPr="00D67034">
              <w:rPr>
                <w:rFonts w:asciiTheme="majorHAnsi" w:eastAsia="Times New Roman" w:hAnsiTheme="majorHAnsi" w:cstheme="majorHAnsi"/>
                <w:color w:val="383B3F"/>
                <w:sz w:val="26"/>
                <w:szCs w:val="26"/>
              </w:rPr>
              <w:t xml:space="preserve">. </w:t>
            </w:r>
            <w:r w:rsidRPr="00D67034">
              <w:rPr>
                <w:rFonts w:asciiTheme="majorHAnsi" w:eastAsia="Times New Roman" w:hAnsiTheme="majorHAnsi" w:cstheme="majorHAnsi"/>
                <w:color w:val="383B3F"/>
                <w:sz w:val="26"/>
                <w:szCs w:val="26"/>
                <w:rtl/>
              </w:rPr>
              <w:t xml:space="preserve">איגדנו אלמנטים שונים כמו עמודי חסימה, ספסלי </w:t>
            </w:r>
            <w:r w:rsidRPr="00D67034">
              <w:rPr>
                <w:rFonts w:asciiTheme="majorHAnsi" w:eastAsia="Times New Roman" w:hAnsiTheme="majorHAnsi" w:cstheme="majorHAnsi"/>
                <w:color w:val="383B3F"/>
                <w:sz w:val="26"/>
                <w:szCs w:val="26"/>
                <w:rtl/>
              </w:rPr>
              <w:lastRenderedPageBreak/>
              <w:t>עמידה לילדים, שלטי הכוונה, שמשיות ופינות ישיבה. בנקודות ההתערבות השונות בחנו את האפקטיביות שלהם, ובהתאם שינינו - הוצאנו והוספנו בגמישות</w:t>
            </w:r>
            <w:r w:rsidRPr="00D67034">
              <w:rPr>
                <w:rFonts w:asciiTheme="majorHAnsi" w:eastAsia="Times New Roman" w:hAnsiTheme="majorHAnsi" w:cstheme="majorHAnsi"/>
                <w:color w:val="383B3F"/>
                <w:sz w:val="26"/>
                <w:szCs w:val="26"/>
              </w:rPr>
              <w:t>.</w:t>
            </w: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C324B2" w:rsidRDefault="0026436E" w:rsidP="00CD6DB7">
            <w:pPr>
              <w:rPr>
                <w:rFonts w:ascii="Calibri Light" w:hAnsi="Calibri Light" w:cs="Calibri Light" w:hint="cs"/>
                <w:sz w:val="26"/>
                <w:szCs w:val="26"/>
                <w:rtl/>
              </w:rPr>
            </w:pPr>
            <w:r>
              <w:rPr>
                <w:rFonts w:ascii="Calibri Light" w:hAnsi="Calibri Light" w:cs="Calibri Light" w:hint="cs"/>
                <w:sz w:val="26"/>
                <w:szCs w:val="26"/>
                <w:rtl/>
              </w:rPr>
              <w:t>שינוי טקטי</w:t>
            </w:r>
          </w:p>
          <w:p w:rsidR="0026436E" w:rsidRDefault="0026436E" w:rsidP="00CD6DB7">
            <w:pPr>
              <w:rPr>
                <w:rFonts w:ascii="Calibri Light" w:hAnsi="Calibri Light" w:cs="Calibri Light" w:hint="cs"/>
                <w:sz w:val="26"/>
                <w:szCs w:val="26"/>
                <w:rtl/>
              </w:rPr>
            </w:pPr>
            <w:r>
              <w:rPr>
                <w:rFonts w:ascii="Calibri Light" w:hAnsi="Calibri Light" w:cs="Calibri Light" w:hint="cs"/>
                <w:sz w:val="26"/>
                <w:szCs w:val="26"/>
                <w:rtl/>
              </w:rPr>
              <w:t>מרחב ציבורי</w:t>
            </w:r>
          </w:p>
          <w:p w:rsidR="0026436E" w:rsidRDefault="0026436E" w:rsidP="00CD6DB7">
            <w:pPr>
              <w:rPr>
                <w:rFonts w:ascii="Calibri Light" w:hAnsi="Calibri Light" w:cs="Calibri Light" w:hint="cs"/>
                <w:sz w:val="26"/>
                <w:szCs w:val="26"/>
                <w:rtl/>
              </w:rPr>
            </w:pPr>
            <w:proofErr w:type="spellStart"/>
            <w:r>
              <w:rPr>
                <w:rFonts w:ascii="Calibri Light" w:hAnsi="Calibri Light" w:cs="Calibri Light" w:hint="cs"/>
                <w:sz w:val="26"/>
                <w:szCs w:val="26"/>
                <w:rtl/>
              </w:rPr>
              <w:t>הליכתיות</w:t>
            </w:r>
            <w:proofErr w:type="spellEnd"/>
          </w:p>
          <w:p w:rsidR="0026436E" w:rsidRPr="00B56768" w:rsidRDefault="0026436E" w:rsidP="00CD6DB7">
            <w:pPr>
              <w:rPr>
                <w:rFonts w:ascii="Calibri Light" w:hAnsi="Calibri Light" w:cs="Calibri Light"/>
                <w:sz w:val="26"/>
                <w:szCs w:val="26"/>
                <w:rtl/>
              </w:rPr>
            </w:pPr>
            <w:r>
              <w:rPr>
                <w:rFonts w:ascii="Calibri Light" w:hAnsi="Calibri Light" w:cs="Calibri Light" w:hint="cs"/>
                <w:sz w:val="26"/>
                <w:szCs w:val="26"/>
                <w:rtl/>
              </w:rPr>
              <w:t>תכנון</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B56768" w:rsidRDefault="00C324B2" w:rsidP="00CA407B">
            <w:pPr>
              <w:rPr>
                <w:rFonts w:ascii="Calibri Light" w:hAnsi="Calibri Light" w:cs="Calibri Light"/>
                <w:sz w:val="26"/>
                <w:szCs w:val="26"/>
                <w:rtl/>
              </w:rPr>
            </w:pPr>
            <w:r>
              <w:rPr>
                <w:rFonts w:ascii="Calibri Light" w:hAnsi="Calibri Light" w:cs="Calibri Light" w:hint="cs"/>
                <w:sz w:val="26"/>
                <w:szCs w:val="26"/>
                <w:rtl/>
              </w:rPr>
              <w:t>מרחב ציבורי</w:t>
            </w:r>
          </w:p>
        </w:tc>
        <w:tc>
          <w:tcPr>
            <w:tcW w:w="5057" w:type="dxa"/>
          </w:tcPr>
          <w:p w:rsidR="00CA407B" w:rsidRDefault="00CA407B" w:rsidP="00CA407B">
            <w:pPr>
              <w:rPr>
                <w:rtl/>
              </w:rPr>
            </w:pPr>
          </w:p>
        </w:tc>
      </w:tr>
    </w:tbl>
    <w:p w:rsidR="002B71A4" w:rsidRDefault="002B71A4">
      <w:bookmarkStart w:id="0" w:name="_GoBack"/>
      <w:bookmarkEnd w:id="0"/>
    </w:p>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4AF"/>
    <w:multiLevelType w:val="multilevel"/>
    <w:tmpl w:val="2188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D3747"/>
    <w:multiLevelType w:val="multilevel"/>
    <w:tmpl w:val="BF4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31148"/>
    <w:multiLevelType w:val="hybridMultilevel"/>
    <w:tmpl w:val="3FFC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06108"/>
    <w:multiLevelType w:val="multilevel"/>
    <w:tmpl w:val="772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6172F"/>
    <w:multiLevelType w:val="multilevel"/>
    <w:tmpl w:val="2FC4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1776"/>
    <w:multiLevelType w:val="multilevel"/>
    <w:tmpl w:val="94EA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B2D15"/>
    <w:multiLevelType w:val="multilevel"/>
    <w:tmpl w:val="500A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D53DD"/>
    <w:multiLevelType w:val="multilevel"/>
    <w:tmpl w:val="092A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24568"/>
    <w:multiLevelType w:val="multilevel"/>
    <w:tmpl w:val="B3E0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16F77"/>
    <w:multiLevelType w:val="hybridMultilevel"/>
    <w:tmpl w:val="059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E311D"/>
    <w:multiLevelType w:val="multilevel"/>
    <w:tmpl w:val="C86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04D62"/>
    <w:multiLevelType w:val="multilevel"/>
    <w:tmpl w:val="CCE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66DA5"/>
    <w:multiLevelType w:val="multilevel"/>
    <w:tmpl w:val="5E7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5155CD"/>
    <w:multiLevelType w:val="multilevel"/>
    <w:tmpl w:val="C5D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C0F17"/>
    <w:multiLevelType w:val="hybridMultilevel"/>
    <w:tmpl w:val="1DB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25E58"/>
    <w:multiLevelType w:val="hybridMultilevel"/>
    <w:tmpl w:val="413A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43581"/>
    <w:multiLevelType w:val="multilevel"/>
    <w:tmpl w:val="82BA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573E8"/>
    <w:multiLevelType w:val="multilevel"/>
    <w:tmpl w:val="BCC6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25"/>
  </w:num>
  <w:num w:numId="4">
    <w:abstractNumId w:val="6"/>
  </w:num>
  <w:num w:numId="5">
    <w:abstractNumId w:val="16"/>
  </w:num>
  <w:num w:numId="6">
    <w:abstractNumId w:val="15"/>
  </w:num>
  <w:num w:numId="7">
    <w:abstractNumId w:val="19"/>
  </w:num>
  <w:num w:numId="8">
    <w:abstractNumId w:val="14"/>
  </w:num>
  <w:num w:numId="9">
    <w:abstractNumId w:val="24"/>
  </w:num>
  <w:num w:numId="10">
    <w:abstractNumId w:val="11"/>
  </w:num>
  <w:num w:numId="11">
    <w:abstractNumId w:val="22"/>
  </w:num>
  <w:num w:numId="12">
    <w:abstractNumId w:val="9"/>
  </w:num>
  <w:num w:numId="13">
    <w:abstractNumId w:val="1"/>
  </w:num>
  <w:num w:numId="14">
    <w:abstractNumId w:val="18"/>
  </w:num>
  <w:num w:numId="15">
    <w:abstractNumId w:val="21"/>
  </w:num>
  <w:num w:numId="16">
    <w:abstractNumId w:val="12"/>
  </w:num>
  <w:num w:numId="17">
    <w:abstractNumId w:val="26"/>
  </w:num>
  <w:num w:numId="18">
    <w:abstractNumId w:val="4"/>
  </w:num>
  <w:num w:numId="19">
    <w:abstractNumId w:val="5"/>
  </w:num>
  <w:num w:numId="20">
    <w:abstractNumId w:val="20"/>
  </w:num>
  <w:num w:numId="21">
    <w:abstractNumId w:val="17"/>
  </w:num>
  <w:num w:numId="22">
    <w:abstractNumId w:val="3"/>
  </w:num>
  <w:num w:numId="23">
    <w:abstractNumId w:val="10"/>
  </w:num>
  <w:num w:numId="24">
    <w:abstractNumId w:val="23"/>
  </w:num>
  <w:num w:numId="25">
    <w:abstractNumId w:val="7"/>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D7DCB"/>
    <w:rsid w:val="00112104"/>
    <w:rsid w:val="00212727"/>
    <w:rsid w:val="0026436E"/>
    <w:rsid w:val="002B71A4"/>
    <w:rsid w:val="002D5752"/>
    <w:rsid w:val="004165CA"/>
    <w:rsid w:val="004E451B"/>
    <w:rsid w:val="00507681"/>
    <w:rsid w:val="008053A8"/>
    <w:rsid w:val="00883A96"/>
    <w:rsid w:val="008D3BC3"/>
    <w:rsid w:val="00A667B4"/>
    <w:rsid w:val="00BF10F1"/>
    <w:rsid w:val="00C324B2"/>
    <w:rsid w:val="00CA407B"/>
    <w:rsid w:val="00CD6DB7"/>
    <w:rsid w:val="00CF007E"/>
    <w:rsid w:val="00D67034"/>
    <w:rsid w:val="00DE7985"/>
    <w:rsid w:val="00E41CFF"/>
    <w:rsid w:val="00E84131"/>
    <w:rsid w:val="00E859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7668"/>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paragraph" w:styleId="2">
    <w:name w:val="heading 2"/>
    <w:basedOn w:val="a"/>
    <w:link w:val="20"/>
    <w:uiPriority w:val="9"/>
    <w:qFormat/>
    <w:rsid w:val="0026436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 w:type="paragraph" w:styleId="NormalWeb">
    <w:name w:val="Normal (Web)"/>
    <w:basedOn w:val="a"/>
    <w:uiPriority w:val="99"/>
    <w:semiHidden/>
    <w:unhideWhenUsed/>
    <w:rsid w:val="002643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26436E"/>
    <w:rPr>
      <w:rFonts w:ascii="Times New Roman" w:eastAsia="Times New Roman" w:hAnsi="Times New Roman" w:cs="Times New Roman"/>
      <w:b/>
      <w:bCs/>
      <w:sz w:val="36"/>
      <w:szCs w:val="36"/>
    </w:rPr>
  </w:style>
  <w:style w:type="character" w:styleId="a5">
    <w:name w:val="Strong"/>
    <w:basedOn w:val="a0"/>
    <w:uiPriority w:val="22"/>
    <w:qFormat/>
    <w:rsid w:val="00D67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63443">
      <w:bodyDiv w:val="1"/>
      <w:marLeft w:val="0"/>
      <w:marRight w:val="0"/>
      <w:marTop w:val="0"/>
      <w:marBottom w:val="0"/>
      <w:divBdr>
        <w:top w:val="none" w:sz="0" w:space="0" w:color="auto"/>
        <w:left w:val="none" w:sz="0" w:space="0" w:color="auto"/>
        <w:bottom w:val="none" w:sz="0" w:space="0" w:color="auto"/>
        <w:right w:val="none" w:sz="0" w:space="0" w:color="auto"/>
      </w:divBdr>
    </w:div>
    <w:div w:id="519273280">
      <w:bodyDiv w:val="1"/>
      <w:marLeft w:val="0"/>
      <w:marRight w:val="0"/>
      <w:marTop w:val="0"/>
      <w:marBottom w:val="0"/>
      <w:divBdr>
        <w:top w:val="none" w:sz="0" w:space="0" w:color="auto"/>
        <w:left w:val="none" w:sz="0" w:space="0" w:color="auto"/>
        <w:bottom w:val="none" w:sz="0" w:space="0" w:color="auto"/>
        <w:right w:val="none" w:sz="0" w:space="0" w:color="auto"/>
      </w:divBdr>
      <w:divsChild>
        <w:div w:id="502550723">
          <w:marLeft w:val="0"/>
          <w:marRight w:val="0"/>
          <w:marTop w:val="0"/>
          <w:marBottom w:val="0"/>
          <w:divBdr>
            <w:top w:val="none" w:sz="0" w:space="0" w:color="auto"/>
            <w:left w:val="none" w:sz="0" w:space="0" w:color="auto"/>
            <w:bottom w:val="none" w:sz="0" w:space="0" w:color="auto"/>
            <w:right w:val="none" w:sz="0" w:space="0" w:color="auto"/>
          </w:divBdr>
          <w:divsChild>
            <w:div w:id="501505301">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899822923">
      <w:bodyDiv w:val="1"/>
      <w:marLeft w:val="0"/>
      <w:marRight w:val="0"/>
      <w:marTop w:val="0"/>
      <w:marBottom w:val="0"/>
      <w:divBdr>
        <w:top w:val="none" w:sz="0" w:space="0" w:color="auto"/>
        <w:left w:val="none" w:sz="0" w:space="0" w:color="auto"/>
        <w:bottom w:val="none" w:sz="0" w:space="0" w:color="auto"/>
        <w:right w:val="none" w:sz="0" w:space="0" w:color="auto"/>
      </w:divBdr>
    </w:div>
    <w:div w:id="927274116">
      <w:bodyDiv w:val="1"/>
      <w:marLeft w:val="0"/>
      <w:marRight w:val="0"/>
      <w:marTop w:val="0"/>
      <w:marBottom w:val="0"/>
      <w:divBdr>
        <w:top w:val="none" w:sz="0" w:space="0" w:color="auto"/>
        <w:left w:val="none" w:sz="0" w:space="0" w:color="auto"/>
        <w:bottom w:val="none" w:sz="0" w:space="0" w:color="auto"/>
        <w:right w:val="none" w:sz="0" w:space="0" w:color="auto"/>
      </w:divBdr>
      <w:divsChild>
        <w:div w:id="205725654">
          <w:marLeft w:val="0"/>
          <w:marRight w:val="0"/>
          <w:marTop w:val="0"/>
          <w:marBottom w:val="0"/>
          <w:divBdr>
            <w:top w:val="none" w:sz="0" w:space="0" w:color="auto"/>
            <w:left w:val="none" w:sz="0" w:space="0" w:color="auto"/>
            <w:bottom w:val="none" w:sz="0" w:space="0" w:color="auto"/>
            <w:right w:val="none" w:sz="0" w:space="0" w:color="auto"/>
          </w:divBdr>
          <w:divsChild>
            <w:div w:id="1442067800">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1050222995">
      <w:bodyDiv w:val="1"/>
      <w:marLeft w:val="0"/>
      <w:marRight w:val="0"/>
      <w:marTop w:val="0"/>
      <w:marBottom w:val="0"/>
      <w:divBdr>
        <w:top w:val="none" w:sz="0" w:space="0" w:color="auto"/>
        <w:left w:val="none" w:sz="0" w:space="0" w:color="auto"/>
        <w:bottom w:val="none" w:sz="0" w:space="0" w:color="auto"/>
        <w:right w:val="none" w:sz="0" w:space="0" w:color="auto"/>
      </w:divBdr>
    </w:div>
    <w:div w:id="1086070472">
      <w:bodyDiv w:val="1"/>
      <w:marLeft w:val="0"/>
      <w:marRight w:val="0"/>
      <w:marTop w:val="0"/>
      <w:marBottom w:val="0"/>
      <w:divBdr>
        <w:top w:val="none" w:sz="0" w:space="0" w:color="auto"/>
        <w:left w:val="none" w:sz="0" w:space="0" w:color="auto"/>
        <w:bottom w:val="none" w:sz="0" w:space="0" w:color="auto"/>
        <w:right w:val="none" w:sz="0" w:space="0" w:color="auto"/>
      </w:divBdr>
    </w:div>
    <w:div w:id="1116560484">
      <w:bodyDiv w:val="1"/>
      <w:marLeft w:val="0"/>
      <w:marRight w:val="0"/>
      <w:marTop w:val="0"/>
      <w:marBottom w:val="0"/>
      <w:divBdr>
        <w:top w:val="none" w:sz="0" w:space="0" w:color="auto"/>
        <w:left w:val="none" w:sz="0" w:space="0" w:color="auto"/>
        <w:bottom w:val="none" w:sz="0" w:space="0" w:color="auto"/>
        <w:right w:val="none" w:sz="0" w:space="0" w:color="auto"/>
      </w:divBdr>
    </w:div>
    <w:div w:id="1165559037">
      <w:bodyDiv w:val="1"/>
      <w:marLeft w:val="0"/>
      <w:marRight w:val="0"/>
      <w:marTop w:val="0"/>
      <w:marBottom w:val="0"/>
      <w:divBdr>
        <w:top w:val="none" w:sz="0" w:space="0" w:color="auto"/>
        <w:left w:val="none" w:sz="0" w:space="0" w:color="auto"/>
        <w:bottom w:val="none" w:sz="0" w:space="0" w:color="auto"/>
        <w:right w:val="none" w:sz="0" w:space="0" w:color="auto"/>
      </w:divBdr>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361586307">
      <w:bodyDiv w:val="1"/>
      <w:marLeft w:val="0"/>
      <w:marRight w:val="0"/>
      <w:marTop w:val="0"/>
      <w:marBottom w:val="0"/>
      <w:divBdr>
        <w:top w:val="none" w:sz="0" w:space="0" w:color="auto"/>
        <w:left w:val="none" w:sz="0" w:space="0" w:color="auto"/>
        <w:bottom w:val="none" w:sz="0" w:space="0" w:color="auto"/>
        <w:right w:val="none" w:sz="0" w:space="0" w:color="auto"/>
      </w:divBdr>
    </w:div>
    <w:div w:id="1557623632">
      <w:bodyDiv w:val="1"/>
      <w:marLeft w:val="0"/>
      <w:marRight w:val="0"/>
      <w:marTop w:val="0"/>
      <w:marBottom w:val="0"/>
      <w:divBdr>
        <w:top w:val="none" w:sz="0" w:space="0" w:color="auto"/>
        <w:left w:val="none" w:sz="0" w:space="0" w:color="auto"/>
        <w:bottom w:val="none" w:sz="0" w:space="0" w:color="auto"/>
        <w:right w:val="none" w:sz="0" w:space="0" w:color="auto"/>
      </w:divBdr>
    </w:div>
    <w:div w:id="1792477997">
      <w:bodyDiv w:val="1"/>
      <w:marLeft w:val="0"/>
      <w:marRight w:val="0"/>
      <w:marTop w:val="0"/>
      <w:marBottom w:val="0"/>
      <w:divBdr>
        <w:top w:val="none" w:sz="0" w:space="0" w:color="auto"/>
        <w:left w:val="none" w:sz="0" w:space="0" w:color="auto"/>
        <w:bottom w:val="none" w:sz="0" w:space="0" w:color="auto"/>
        <w:right w:val="none" w:sz="0" w:space="0" w:color="auto"/>
      </w:divBdr>
      <w:divsChild>
        <w:div w:id="1886334716">
          <w:marLeft w:val="0"/>
          <w:marRight w:val="0"/>
          <w:marTop w:val="0"/>
          <w:marBottom w:val="0"/>
          <w:divBdr>
            <w:top w:val="none" w:sz="0" w:space="0" w:color="auto"/>
            <w:left w:val="none" w:sz="0" w:space="0" w:color="auto"/>
            <w:bottom w:val="none" w:sz="0" w:space="0" w:color="auto"/>
            <w:right w:val="none" w:sz="0" w:space="0" w:color="auto"/>
          </w:divBdr>
          <w:divsChild>
            <w:div w:id="390344437">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 w:id="21196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704</Words>
  <Characters>3520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2024-10-14T10:13:00Z</dcterms:created>
  <dcterms:modified xsi:type="dcterms:W3CDTF">2024-10-14T10:19:00Z</dcterms:modified>
</cp:coreProperties>
</file>