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Pr="00FF4867" w:rsidRDefault="00FF4867" w:rsidP="00FF4867">
            <w:pPr>
              <w:jc w:val="center"/>
              <w:rPr>
                <w:highlight w:val="yellow"/>
                <w:rtl/>
              </w:rPr>
            </w:pPr>
            <w:r w:rsidRPr="00FF4867">
              <w:rPr>
                <w:rFonts w:hint="cs"/>
                <w:highlight w:val="yellow"/>
                <w:rtl/>
              </w:rPr>
              <w:t>תרגום</w:t>
            </w:r>
          </w:p>
        </w:tc>
      </w:tr>
      <w:tr w:rsidR="00E84131" w:rsidTr="00507681">
        <w:tc>
          <w:tcPr>
            <w:tcW w:w="1640" w:type="dxa"/>
          </w:tcPr>
          <w:p w:rsidR="00E84131" w:rsidRPr="00E41CFF" w:rsidRDefault="00E84131" w:rsidP="00E84131">
            <w:pPr>
              <w:rPr>
                <w:b/>
                <w:bCs/>
                <w:sz w:val="28"/>
                <w:szCs w:val="28"/>
                <w:highlight w:val="cyan"/>
                <w:rtl/>
              </w:rPr>
            </w:pPr>
            <w:r w:rsidRPr="00E41CFF">
              <w:rPr>
                <w:rFonts w:asciiTheme="majorHAnsi" w:hAnsiTheme="majorHAnsi" w:cs="Calibri Light" w:hint="cs"/>
                <w:b/>
                <w:bCs/>
                <w:sz w:val="27"/>
                <w:szCs w:val="27"/>
                <w:highlight w:val="cyan"/>
                <w:rtl/>
              </w:rPr>
              <w:t>הוספת כותרת</w:t>
            </w:r>
          </w:p>
          <w:p w:rsidR="00E84131" w:rsidRPr="00E41CFF" w:rsidRDefault="00E84131" w:rsidP="00E84131">
            <w:pPr>
              <w:rPr>
                <w:highlight w:val="cyan"/>
                <w:rtl/>
              </w:rPr>
            </w:pPr>
          </w:p>
        </w:tc>
        <w:tc>
          <w:tcPr>
            <w:tcW w:w="3978" w:type="dxa"/>
          </w:tcPr>
          <w:p w:rsidR="00E84131" w:rsidRPr="008D3BC3" w:rsidRDefault="00CD58AE" w:rsidP="00E84131">
            <w:pPr>
              <w:rPr>
                <w:rFonts w:asciiTheme="majorHAnsi" w:hAnsiTheme="majorHAnsi" w:cstheme="majorHAnsi"/>
                <w:b/>
                <w:bCs/>
                <w:sz w:val="26"/>
                <w:szCs w:val="26"/>
                <w:rtl/>
              </w:rPr>
            </w:pPr>
            <w:r>
              <w:rPr>
                <w:rFonts w:asciiTheme="majorHAnsi" w:hAnsiTheme="majorHAnsi" w:cstheme="majorHAnsi" w:hint="cs"/>
                <w:b/>
                <w:bCs/>
                <w:sz w:val="26"/>
                <w:szCs w:val="26"/>
                <w:rtl/>
              </w:rPr>
              <w:t>ארגזי חול</w:t>
            </w:r>
          </w:p>
        </w:tc>
        <w:tc>
          <w:tcPr>
            <w:tcW w:w="5057" w:type="dxa"/>
          </w:tcPr>
          <w:p w:rsidR="00E84131" w:rsidRDefault="00E84131" w:rsidP="00E84131">
            <w:pPr>
              <w:rPr>
                <w:rtl/>
              </w:rPr>
            </w:pPr>
          </w:p>
        </w:tc>
      </w:tr>
      <w:tr w:rsidR="00E84131" w:rsidTr="00507681">
        <w:tc>
          <w:tcPr>
            <w:tcW w:w="1640" w:type="dxa"/>
          </w:tcPr>
          <w:p w:rsidR="00E84131" w:rsidRPr="00E41CFF" w:rsidRDefault="00E84131" w:rsidP="00E84131">
            <w:pPr>
              <w:rPr>
                <w:highlight w:val="cyan"/>
                <w:rtl/>
              </w:rPr>
            </w:pPr>
            <w:r w:rsidRPr="00E41CFF">
              <w:rPr>
                <w:rFonts w:asciiTheme="majorHAnsi" w:hAnsiTheme="majorHAnsi" w:cs="Calibri Light" w:hint="cs"/>
                <w:b/>
                <w:bCs/>
                <w:sz w:val="27"/>
                <w:szCs w:val="27"/>
                <w:highlight w:val="cyan"/>
                <w:rtl/>
              </w:rPr>
              <w:t>תת כותרת</w:t>
            </w:r>
          </w:p>
        </w:tc>
        <w:tc>
          <w:tcPr>
            <w:tcW w:w="3978" w:type="dxa"/>
          </w:tcPr>
          <w:p w:rsidR="00E84131" w:rsidRPr="008053A8" w:rsidRDefault="00BB6FB7" w:rsidP="00E84131">
            <w:pPr>
              <w:rPr>
                <w:rFonts w:asciiTheme="majorHAnsi" w:hAnsiTheme="majorHAnsi" w:cstheme="majorHAnsi"/>
                <w:b/>
                <w:bCs/>
                <w:sz w:val="26"/>
                <w:szCs w:val="26"/>
                <w:rtl/>
              </w:rPr>
            </w:pPr>
            <w:r w:rsidRPr="00BB6FB7">
              <w:rPr>
                <w:rFonts w:asciiTheme="majorHAnsi" w:hAnsiTheme="majorHAnsi" w:cs="Calibri Light"/>
                <w:b/>
                <w:bCs/>
                <w:sz w:val="26"/>
                <w:szCs w:val="26"/>
                <w:rtl/>
              </w:rPr>
              <w:t xml:space="preserve">משחק בחול משמעותי להתפתחות פעוטות וילדים ויתרונותיו רבים. אך בשונה ממשחקים אחרים, לרוב משחק בחול אינו מתאפשר במרחב הביתי, כך שהחשיפה אליו תלויה בנוכחותו במרחב הציבורי. בתהליך משותף עם גופי עירייה מגוונים יצאנו בפרויקט שמטרתו </w:t>
            </w:r>
            <w:proofErr w:type="spellStart"/>
            <w:r w:rsidRPr="00BB6FB7">
              <w:rPr>
                <w:rFonts w:asciiTheme="majorHAnsi" w:hAnsiTheme="majorHAnsi" w:cs="Calibri Light"/>
                <w:b/>
                <w:bCs/>
                <w:sz w:val="26"/>
                <w:szCs w:val="26"/>
                <w:rtl/>
              </w:rPr>
              <w:t>להנגיש</w:t>
            </w:r>
            <w:proofErr w:type="spellEnd"/>
            <w:r w:rsidRPr="00BB6FB7">
              <w:rPr>
                <w:rFonts w:asciiTheme="majorHAnsi" w:hAnsiTheme="majorHAnsi" w:cs="Calibri Light"/>
                <w:b/>
                <w:bCs/>
                <w:sz w:val="26"/>
                <w:szCs w:val="26"/>
                <w:rtl/>
              </w:rPr>
              <w:t xml:space="preserve"> את המשחק בחול לתושבי העיר, בני ובנות הגיל הרך.</w:t>
            </w:r>
          </w:p>
        </w:tc>
        <w:tc>
          <w:tcPr>
            <w:tcW w:w="5057" w:type="dxa"/>
          </w:tcPr>
          <w:p w:rsidR="00E84131" w:rsidRDefault="00E84131" w:rsidP="00E84131">
            <w:bookmarkStart w:id="0" w:name="_GoBack"/>
            <w:bookmarkEnd w:id="0"/>
          </w:p>
        </w:tc>
      </w:tr>
      <w:tr w:rsidR="00E41CFF" w:rsidTr="00507681">
        <w:tc>
          <w:tcPr>
            <w:tcW w:w="1640" w:type="dxa"/>
            <w:vMerge w:val="restart"/>
          </w:tcPr>
          <w:p w:rsidR="00E41CFF" w:rsidRPr="00E41CFF" w:rsidRDefault="00E41CFF" w:rsidP="00E84131">
            <w:pPr>
              <w:rPr>
                <w:rFonts w:asciiTheme="majorHAnsi" w:hAnsiTheme="majorHAnsi" w:cs="Calibri Light"/>
                <w:b/>
                <w:bCs/>
                <w:sz w:val="27"/>
                <w:szCs w:val="27"/>
                <w:highlight w:val="cyan"/>
                <w:rtl/>
              </w:rPr>
            </w:pPr>
            <w:r w:rsidRPr="00E41CFF">
              <w:rPr>
                <w:rFonts w:asciiTheme="majorHAnsi" w:hAnsiTheme="majorHAnsi" w:cs="Calibri Light" w:hint="cs"/>
                <w:b/>
                <w:bCs/>
                <w:sz w:val="27"/>
                <w:szCs w:val="27"/>
                <w:highlight w:val="cyan"/>
                <w:rtl/>
              </w:rPr>
              <w:t>תיאור הפרויקט</w:t>
            </w:r>
          </w:p>
        </w:tc>
        <w:tc>
          <w:tcPr>
            <w:tcW w:w="3978" w:type="dxa"/>
          </w:tcPr>
          <w:p w:rsidR="00E41CFF" w:rsidRPr="008053A8" w:rsidRDefault="00BB6FB7" w:rsidP="00E84131">
            <w:pPr>
              <w:rPr>
                <w:rFonts w:ascii="Calibri Light" w:hAnsi="Calibri Light" w:cs="Calibri Light"/>
                <w:sz w:val="26"/>
                <w:szCs w:val="26"/>
                <w:rtl/>
              </w:rPr>
            </w:pPr>
            <w:r w:rsidRPr="00BB6FB7">
              <w:rPr>
                <w:rFonts w:ascii="Calibri Light" w:hAnsi="Calibri Light" w:cs="Calibri Light"/>
                <w:sz w:val="26"/>
                <w:szCs w:val="26"/>
                <w:rtl/>
              </w:rPr>
              <w:t>משחק בחול מאפשר מגוון הזדמנויות להתנסויות המעודדות התפתחות פעוטות וילדים. המאפיינים הייחודיים שלו אידאליים למשחק חופשי ומשותף, גירוי הדמיון ומותאם באופן טבעי לטווח גילים רחב:</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BB6FB7" w:rsidRPr="00BB6FB7" w:rsidRDefault="00BB6FB7" w:rsidP="00BB6FB7">
            <w:pPr>
              <w:numPr>
                <w:ilvl w:val="0"/>
                <w:numId w:val="15"/>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החול הינו חומר ייחודי הניתן לעיצוב</w:t>
            </w:r>
            <w:r w:rsidRPr="00BB6FB7">
              <w:rPr>
                <w:rFonts w:asciiTheme="majorHAnsi" w:eastAsia="Times New Roman" w:hAnsiTheme="majorHAnsi" w:cstheme="majorHAnsi"/>
                <w:color w:val="383B3F"/>
                <w:sz w:val="26"/>
                <w:szCs w:val="26"/>
              </w:rPr>
              <w:t xml:space="preserve">, </w:t>
            </w:r>
            <w:r w:rsidRPr="00BB6FB7">
              <w:rPr>
                <w:rFonts w:asciiTheme="majorHAnsi" w:eastAsia="Times New Roman" w:hAnsiTheme="majorHAnsi" w:cstheme="majorHAnsi"/>
                <w:color w:val="383B3F"/>
                <w:sz w:val="26"/>
                <w:szCs w:val="26"/>
                <w:rtl/>
              </w:rPr>
              <w:t xml:space="preserve">מגיב למים, מתגבש ומתפרק בקלות ואינו מתכלה. ניתן למלא </w:t>
            </w:r>
            <w:proofErr w:type="spellStart"/>
            <w:r w:rsidRPr="00BB6FB7">
              <w:rPr>
                <w:rFonts w:asciiTheme="majorHAnsi" w:eastAsia="Times New Roman" w:hAnsiTheme="majorHAnsi" w:cstheme="majorHAnsi"/>
                <w:color w:val="383B3F"/>
                <w:sz w:val="26"/>
                <w:szCs w:val="26"/>
                <w:rtl/>
              </w:rPr>
              <w:t>איתו</w:t>
            </w:r>
            <w:proofErr w:type="spellEnd"/>
            <w:r w:rsidRPr="00BB6FB7">
              <w:rPr>
                <w:rFonts w:asciiTheme="majorHAnsi" w:eastAsia="Times New Roman" w:hAnsiTheme="majorHAnsi" w:cstheme="majorHAnsi"/>
                <w:color w:val="383B3F"/>
                <w:sz w:val="26"/>
                <w:szCs w:val="26"/>
                <w:rtl/>
              </w:rPr>
              <w:t xml:space="preserve"> כלים שונים או לייצר תבניות השומרות על צורתן. אפשר להטמין בו אובייקטים ולגלות אותם מחדש</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6"/>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החול יכול לשאת את משקל הילדים</w:t>
            </w:r>
            <w:r w:rsidRPr="00BB6FB7">
              <w:rPr>
                <w:rFonts w:asciiTheme="majorHAnsi" w:eastAsia="Times New Roman" w:hAnsiTheme="majorHAnsi" w:cstheme="majorHAnsi"/>
                <w:color w:val="383B3F"/>
                <w:sz w:val="26"/>
                <w:szCs w:val="26"/>
              </w:rPr>
              <w:t xml:space="preserve">, </w:t>
            </w:r>
            <w:r w:rsidRPr="00BB6FB7">
              <w:rPr>
                <w:rFonts w:asciiTheme="majorHAnsi" w:eastAsia="Times New Roman" w:hAnsiTheme="majorHAnsi" w:cstheme="majorHAnsi"/>
                <w:color w:val="383B3F"/>
                <w:sz w:val="26"/>
                <w:szCs w:val="26"/>
                <w:rtl/>
              </w:rPr>
              <w:t>הם יכולים להתיישב עליו, להתפלש בו, ללכת בתוכו וגם להתרומם ממצב ישיבה למצב עמידה עליו, מבלי להסתכן בחבלה</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6"/>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תומך בהתפתחות מוטורית וביציבה </w:t>
            </w:r>
            <w:r w:rsidRPr="00BB6FB7">
              <w:rPr>
                <w:rFonts w:asciiTheme="majorHAnsi" w:eastAsia="Times New Roman" w:hAnsiTheme="majorHAnsi" w:cstheme="majorHAnsi"/>
                <w:color w:val="383B3F"/>
                <w:sz w:val="26"/>
                <w:szCs w:val="26"/>
                <w:rtl/>
              </w:rPr>
              <w:t>בכך שפעוטות יכולים לפתח עצמאות גדולה בשהייה עליו, לחוש ישיבה, צעידה או עמידה על מרקם החול המתאים עצמו אליהם אך גם יציב ותומך</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מרקם החול מאפשר התנסות במגע</w:t>
            </w:r>
            <w:r w:rsidRPr="00BB6FB7">
              <w:rPr>
                <w:rFonts w:asciiTheme="majorHAnsi" w:eastAsia="Times New Roman" w:hAnsiTheme="majorHAnsi" w:cstheme="majorHAnsi"/>
                <w:color w:val="383B3F"/>
                <w:sz w:val="26"/>
                <w:szCs w:val="26"/>
                <w:rtl/>
              </w:rPr>
              <w:t xml:space="preserve"> ופיתוח תחושות פיזיות </w:t>
            </w:r>
            <w:proofErr w:type="spellStart"/>
            <w:r w:rsidRPr="00BB6FB7">
              <w:rPr>
                <w:rFonts w:asciiTheme="majorHAnsi" w:eastAsia="Times New Roman" w:hAnsiTheme="majorHAnsi" w:cstheme="majorHAnsi"/>
                <w:color w:val="383B3F"/>
                <w:sz w:val="26"/>
                <w:szCs w:val="26"/>
                <w:rtl/>
              </w:rPr>
              <w:t>ומרקמיות</w:t>
            </w:r>
            <w:proofErr w:type="spellEnd"/>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החול אינו משאב מוגבל</w:t>
            </w:r>
            <w:r w:rsidRPr="00BB6FB7">
              <w:rPr>
                <w:rFonts w:asciiTheme="majorHAnsi" w:eastAsia="Times New Roman" w:hAnsiTheme="majorHAnsi" w:cstheme="majorHAnsi"/>
                <w:color w:val="383B3F"/>
                <w:sz w:val="26"/>
                <w:szCs w:val="26"/>
                <w:rtl/>
              </w:rPr>
              <w:t> ומעודד משחק במקביל או במשותף עם ילדים אחרים או מבוגרים מלווים</w:t>
            </w:r>
            <w:r w:rsidRPr="00BB6FB7">
              <w:rPr>
                <w:rFonts w:asciiTheme="majorHAnsi" w:eastAsia="Times New Roman" w:hAnsiTheme="majorHAnsi" w:cstheme="majorHAnsi"/>
                <w:color w:val="383B3F"/>
                <w:sz w:val="26"/>
                <w:szCs w:val="26"/>
              </w:rPr>
              <w:t>. </w:t>
            </w:r>
          </w:p>
          <w:p w:rsidR="00E41CFF" w:rsidRPr="00BB6FB7" w:rsidRDefault="00BB6FB7" w:rsidP="00BB6FB7">
            <w:pPr>
              <w:numPr>
                <w:ilvl w:val="0"/>
                <w:numId w:val="17"/>
              </w:numPr>
              <w:spacing w:before="100" w:beforeAutospacing="1" w:after="100" w:afterAutospacing="1"/>
              <w:textAlignment w:val="baseline"/>
              <w:rPr>
                <w:rFonts w:asciiTheme="majorHAnsi" w:eastAsia="Times New Roman" w:hAnsiTheme="majorHAnsi" w:cstheme="majorHAnsi"/>
                <w:color w:val="383B3F"/>
                <w:sz w:val="26"/>
                <w:szCs w:val="26"/>
                <w:rtl/>
              </w:rPr>
            </w:pPr>
            <w:r w:rsidRPr="00BB6FB7">
              <w:rPr>
                <w:rFonts w:asciiTheme="majorHAnsi" w:eastAsia="Times New Roman" w:hAnsiTheme="majorHAnsi" w:cstheme="majorHAnsi"/>
                <w:b/>
                <w:bCs/>
                <w:color w:val="383B3F"/>
                <w:sz w:val="26"/>
                <w:szCs w:val="26"/>
                <w:rtl/>
              </w:rPr>
              <w:t>חד גוניות הצבע והמרקם </w:t>
            </w:r>
            <w:r w:rsidRPr="00BB6FB7">
              <w:rPr>
                <w:rFonts w:asciiTheme="majorHAnsi" w:eastAsia="Times New Roman" w:hAnsiTheme="majorHAnsi" w:cstheme="majorHAnsi"/>
                <w:color w:val="383B3F"/>
                <w:sz w:val="26"/>
                <w:szCs w:val="26"/>
                <w:rtl/>
              </w:rPr>
              <w:t xml:space="preserve">מהווים למעשה קרקע </w:t>
            </w:r>
            <w:proofErr w:type="spellStart"/>
            <w:r w:rsidRPr="00BB6FB7">
              <w:rPr>
                <w:rFonts w:asciiTheme="majorHAnsi" w:eastAsia="Times New Roman" w:hAnsiTheme="majorHAnsi" w:cstheme="majorHAnsi"/>
                <w:color w:val="383B3F"/>
                <w:sz w:val="26"/>
                <w:szCs w:val="26"/>
                <w:rtl/>
              </w:rPr>
              <w:t>פוריה</w:t>
            </w:r>
            <w:proofErr w:type="spellEnd"/>
            <w:r w:rsidRPr="00BB6FB7">
              <w:rPr>
                <w:rFonts w:asciiTheme="majorHAnsi" w:eastAsia="Times New Roman" w:hAnsiTheme="majorHAnsi" w:cstheme="majorHAnsi"/>
                <w:color w:val="383B3F"/>
                <w:sz w:val="26"/>
                <w:szCs w:val="26"/>
                <w:rtl/>
              </w:rPr>
              <w:t xml:space="preserve"> למשחק </w:t>
            </w:r>
            <w:r w:rsidRPr="00BB6FB7">
              <w:rPr>
                <w:rFonts w:asciiTheme="majorHAnsi" w:eastAsia="Times New Roman" w:hAnsiTheme="majorHAnsi" w:cstheme="majorHAnsi"/>
                <w:color w:val="383B3F"/>
                <w:sz w:val="26"/>
                <w:szCs w:val="26"/>
                <w:rtl/>
              </w:rPr>
              <w:lastRenderedPageBreak/>
              <w:t>חופשי ופיתוח יצירתיות ודמיון, ולא מקבעת תפיסות ועמדות (החול יכול להפוך לעוגת שוקולד, מיטה לבובה או כוכב בחלל החיצון)</w:t>
            </w:r>
            <w:r w:rsidRPr="00BB6FB7">
              <w:rPr>
                <w:rFonts w:asciiTheme="majorHAnsi" w:eastAsia="Times New Roman" w:hAnsiTheme="majorHAnsi" w:cstheme="majorHAnsi"/>
                <w:color w:val="383B3F"/>
                <w:sz w:val="26"/>
                <w:szCs w:val="26"/>
              </w:rPr>
              <w:t>. </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BB6FB7" w:rsidRDefault="00BB6FB7" w:rsidP="00BB6FB7">
            <w:pPr>
              <w:rPr>
                <w:rFonts w:ascii="Calibri Light" w:hAnsi="Calibri Light" w:cs="Calibri Light"/>
                <w:sz w:val="26"/>
                <w:szCs w:val="26"/>
                <w:rtl/>
              </w:rPr>
            </w:pPr>
            <w:r w:rsidRPr="00BB6FB7">
              <w:rPr>
                <w:rFonts w:ascii="Calibri Light" w:hAnsi="Calibri Light" w:cs="Calibri Light"/>
                <w:sz w:val="26"/>
                <w:szCs w:val="26"/>
                <w:rtl/>
              </w:rPr>
              <w:t>מתוך ראיית החשיבות של המשחק במרחב הציבורי וההזדמנויות הייחודיות הטמונות במשחק בחול, היינו חדורי מוטיבציה לאפשר להם במה משמעותית יותר, לצד יצירת מענה לחששות התושבים הנוגעות ללכלוך וה</w:t>
            </w:r>
            <w:r>
              <w:rPr>
                <w:rFonts w:ascii="Calibri Light" w:hAnsi="Calibri Light" w:cs="Calibri Light" w:hint="cs"/>
                <w:sz w:val="26"/>
                <w:szCs w:val="26"/>
                <w:rtl/>
              </w:rPr>
              <w:t>י</w:t>
            </w:r>
            <w:r w:rsidRPr="00BB6FB7">
              <w:rPr>
                <w:rFonts w:ascii="Calibri Light" w:hAnsi="Calibri Light" w:cs="Calibri Light"/>
                <w:sz w:val="26"/>
                <w:szCs w:val="26"/>
                <w:rtl/>
              </w:rPr>
              <w:t xml:space="preserve">גיינה. נדרשנו לענות על השאלה- </w:t>
            </w:r>
            <w:r w:rsidRPr="00BB6FB7">
              <w:rPr>
                <w:rFonts w:ascii="Calibri Light" w:hAnsi="Calibri Light" w:cs="Calibri Light"/>
                <w:b/>
                <w:bCs/>
                <w:sz w:val="26"/>
                <w:szCs w:val="26"/>
                <w:rtl/>
              </w:rPr>
              <w:t xml:space="preserve">איך להביא את החול לבני ובנות הגיל הרך במרחב הציבורי, ולהצליח לשמור על איכותו </w:t>
            </w:r>
            <w:proofErr w:type="spellStart"/>
            <w:r w:rsidRPr="00BB6FB7">
              <w:rPr>
                <w:rFonts w:ascii="Calibri Light" w:hAnsi="Calibri Light" w:cs="Calibri Light"/>
                <w:b/>
                <w:bCs/>
                <w:sz w:val="26"/>
                <w:szCs w:val="26"/>
                <w:rtl/>
              </w:rPr>
              <w:t>ונקיונו</w:t>
            </w:r>
            <w:proofErr w:type="spellEnd"/>
            <w:r w:rsidRPr="00BB6FB7">
              <w:rPr>
                <w:rFonts w:ascii="Calibri Light" w:hAnsi="Calibri Light" w:cs="Calibri Light"/>
                <w:sz w:val="26"/>
                <w:szCs w:val="26"/>
                <w:rtl/>
              </w:rPr>
              <w:t xml:space="preserve">? בתהליך סיעור מוחות ודמיון משותף, </w:t>
            </w:r>
            <w:r w:rsidRPr="00BB6FB7">
              <w:rPr>
                <w:rFonts w:ascii="Calibri Light" w:hAnsi="Calibri Light" w:cs="Calibri Light"/>
                <w:b/>
                <w:bCs/>
                <w:sz w:val="26"/>
                <w:szCs w:val="26"/>
                <w:rtl/>
              </w:rPr>
              <w:t>נולד רעיון ארגז החול המתקפל</w:t>
            </w:r>
            <w:r w:rsidRPr="00BB6FB7">
              <w:rPr>
                <w:rFonts w:ascii="Calibri Light" w:hAnsi="Calibri Light" w:cs="Calibri Light"/>
                <w:sz w:val="26"/>
                <w:szCs w:val="26"/>
                <w:rtl/>
              </w:rPr>
              <w:t xml:space="preserve"> עשוי העץ. במצבו הפתוח - דפנותיו הופכות לספסל, ובסיום המשחק הוא ניתן לקיפול ונעילה.</w:t>
            </w:r>
          </w:p>
        </w:tc>
        <w:tc>
          <w:tcPr>
            <w:tcW w:w="5057" w:type="dxa"/>
          </w:tcPr>
          <w:p w:rsidR="00E41CFF" w:rsidRDefault="00E41CFF" w:rsidP="00E84131">
            <w:pPr>
              <w:rPr>
                <w:rtl/>
              </w:rPr>
            </w:pPr>
          </w:p>
        </w:tc>
      </w:tr>
      <w:tr w:rsidR="00E41CFF" w:rsidTr="00507681">
        <w:tc>
          <w:tcPr>
            <w:tcW w:w="1640" w:type="dxa"/>
            <w:vMerge/>
          </w:tcPr>
          <w:p w:rsidR="00E41CFF" w:rsidRDefault="00E41CFF" w:rsidP="00E84131">
            <w:pPr>
              <w:rPr>
                <w:rtl/>
              </w:rPr>
            </w:pPr>
          </w:p>
        </w:tc>
        <w:tc>
          <w:tcPr>
            <w:tcW w:w="3978" w:type="dxa"/>
          </w:tcPr>
          <w:p w:rsidR="00E41CFF" w:rsidRPr="00212727" w:rsidRDefault="00BB6FB7" w:rsidP="000D7DCB">
            <w:pPr>
              <w:rPr>
                <w:rFonts w:ascii="Calibri Light" w:hAnsi="Calibri Light" w:cs="Calibri Light"/>
                <w:sz w:val="26"/>
                <w:szCs w:val="26"/>
                <w:rtl/>
              </w:rPr>
            </w:pPr>
            <w:r w:rsidRPr="00BB6FB7">
              <w:rPr>
                <w:rFonts w:ascii="Calibri Light" w:hAnsi="Calibri Light" w:cs="Calibri Light"/>
                <w:sz w:val="26"/>
                <w:szCs w:val="26"/>
                <w:rtl/>
              </w:rPr>
              <w:t xml:space="preserve">התחלנו בפיילוט סמוך למחסן הגרוטאות של פולה, במסגרתו הצבנו בשדרות בן גוריון 2 ארגזי חול והתבוננו כיצד ציבור התושבים מגיב להם, ובחנו סוגיות שונות של תפעול ואחזקה. התוצאות היו טובות: נוצר שיח הורי חיובי, הייתה התייחסות חיובית בעמוד </w:t>
            </w:r>
            <w:proofErr w:type="spellStart"/>
            <w:r w:rsidRPr="00BB6FB7">
              <w:rPr>
                <w:rFonts w:ascii="Calibri Light" w:hAnsi="Calibri Light" w:cs="Calibri Light"/>
                <w:sz w:val="26"/>
                <w:szCs w:val="26"/>
                <w:rtl/>
              </w:rPr>
              <w:t>הפייסבוק</w:t>
            </w:r>
            <w:proofErr w:type="spellEnd"/>
            <w:r w:rsidRPr="00BB6FB7">
              <w:rPr>
                <w:rFonts w:ascii="Calibri Light" w:hAnsi="Calibri Light" w:cs="Calibri Light"/>
                <w:sz w:val="26"/>
                <w:szCs w:val="26"/>
                <w:rtl/>
              </w:rPr>
              <w:t xml:space="preserve"> של דיגיטף, התצפיות העלו שפעוטות מקדישים זמן רב למשחק בארגז החול ושהוא נוח לשימוש. ההתחברות למחסן הגרוטאות של פולה תמכה בהקשר המשחקי המתאים לבני ובנות הגיל הרך, לאחריות העירייה על המרחב ובטחונו.</w:t>
            </w:r>
          </w:p>
        </w:tc>
        <w:tc>
          <w:tcPr>
            <w:tcW w:w="5057" w:type="dxa"/>
          </w:tcPr>
          <w:p w:rsidR="00E41CFF" w:rsidRDefault="00E41CFF"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BB6FB7" w:rsidP="000D7DCB">
            <w:pPr>
              <w:rPr>
                <w:rFonts w:ascii="Calibri Light" w:hAnsi="Calibri Light" w:cs="Calibri Light"/>
                <w:sz w:val="26"/>
                <w:szCs w:val="26"/>
                <w:rtl/>
              </w:rPr>
            </w:pPr>
            <w:r w:rsidRPr="00BB6FB7">
              <w:rPr>
                <w:rFonts w:ascii="Calibri Light" w:hAnsi="Calibri Light" w:cs="Calibri Light"/>
                <w:b/>
                <w:bCs/>
                <w:sz w:val="26"/>
                <w:szCs w:val="26"/>
                <w:rtl/>
              </w:rPr>
              <w:t>מפיילוט לצמיחה (</w:t>
            </w:r>
            <w:r w:rsidRPr="00BB6FB7">
              <w:rPr>
                <w:rFonts w:ascii="Calibri Light" w:hAnsi="Calibri Light" w:cs="Calibri Light"/>
                <w:b/>
                <w:bCs/>
                <w:sz w:val="26"/>
                <w:szCs w:val="26"/>
              </w:rPr>
              <w:t>Scale</w:t>
            </w:r>
            <w:r w:rsidRPr="00BB6FB7">
              <w:rPr>
                <w:rFonts w:ascii="Calibri Light" w:hAnsi="Calibri Light" w:cs="Calibri Light"/>
                <w:b/>
                <w:bCs/>
                <w:sz w:val="26"/>
                <w:szCs w:val="26"/>
                <w:rtl/>
              </w:rPr>
              <w:t>)</w:t>
            </w:r>
            <w:r w:rsidRPr="00BB6FB7">
              <w:rPr>
                <w:rFonts w:ascii="Calibri Light" w:hAnsi="Calibri Light" w:cs="Calibri Light"/>
                <w:sz w:val="26"/>
                <w:szCs w:val="26"/>
                <w:rtl/>
              </w:rPr>
              <w:t xml:space="preserve"> - לאחר הצלחת הפיילוט החלטנו להתרחב לשכונות נוספות בעיר, ורכשנו ארגזי חול מתקפלים נוספים. את השקת הפרויקט ביצענו באירוע "משחקים בעיר": הצבנו את 20 ארגזי החול החדשים בכיכר רבין לאורך 3 ימי האירוע. כך התקיימה למעשה חשיפה הדרגתית ומתווכת לתושבי העיר של המשחק בארגזי החול העירוניים, במטרה להפיג חששות, לתת "תו איכות" למתקנים ולעודד אותם להתנסות במשחק משותף עם ילדיהם. בסיום האירוע פיזרנו את הארגזים ברחבי העיר, בסמיכות למרכזים הקהילתיים.</w:t>
            </w:r>
          </w:p>
        </w:tc>
        <w:tc>
          <w:tcPr>
            <w:tcW w:w="5057" w:type="dxa"/>
          </w:tcPr>
          <w:p w:rsidR="000D7DCB" w:rsidRDefault="000D7DCB" w:rsidP="00E84131">
            <w:pPr>
              <w:rPr>
                <w:rtl/>
              </w:rPr>
            </w:pPr>
          </w:p>
        </w:tc>
      </w:tr>
      <w:tr w:rsidR="000D7DCB" w:rsidTr="00507681">
        <w:tc>
          <w:tcPr>
            <w:tcW w:w="1640" w:type="dxa"/>
            <w:vMerge/>
          </w:tcPr>
          <w:p w:rsidR="000D7DCB" w:rsidRDefault="000D7DCB" w:rsidP="00E84131">
            <w:pPr>
              <w:rPr>
                <w:rtl/>
              </w:rPr>
            </w:pPr>
          </w:p>
        </w:tc>
        <w:tc>
          <w:tcPr>
            <w:tcW w:w="3978" w:type="dxa"/>
          </w:tcPr>
          <w:p w:rsidR="000D7DCB" w:rsidRPr="000D7DCB" w:rsidRDefault="00BB6FB7" w:rsidP="000D7DCB">
            <w:pPr>
              <w:rPr>
                <w:rFonts w:ascii="Calibri Light" w:hAnsi="Calibri Light" w:cs="Calibri Light"/>
                <w:sz w:val="26"/>
                <w:szCs w:val="26"/>
                <w:rtl/>
              </w:rPr>
            </w:pPr>
            <w:r w:rsidRPr="00BB6FB7">
              <w:rPr>
                <w:rFonts w:ascii="Calibri Light" w:hAnsi="Calibri Light" w:cs="Calibri Light"/>
                <w:b/>
                <w:bCs/>
                <w:sz w:val="26"/>
                <w:szCs w:val="26"/>
                <w:u w:val="single"/>
                <w:rtl/>
              </w:rPr>
              <w:t>יחידות עירוניות שותפות:</w:t>
            </w:r>
            <w:r w:rsidRPr="00BB6FB7">
              <w:rPr>
                <w:rFonts w:ascii="Calibri Light" w:hAnsi="Calibri Light" w:cs="Calibri Light"/>
                <w:sz w:val="26"/>
                <w:szCs w:val="26"/>
                <w:rtl/>
              </w:rPr>
              <w:t xml:space="preserve"> מינהל קהילה, תרבות וספורט; אגף שפ"ע</w:t>
            </w:r>
          </w:p>
        </w:tc>
        <w:tc>
          <w:tcPr>
            <w:tcW w:w="5057" w:type="dxa"/>
          </w:tcPr>
          <w:p w:rsidR="000D7DCB" w:rsidRDefault="000D7DCB"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אימפקט</w:t>
            </w:r>
          </w:p>
        </w:tc>
        <w:tc>
          <w:tcPr>
            <w:tcW w:w="3978" w:type="dxa"/>
          </w:tcPr>
          <w:p w:rsidR="00BB6FB7" w:rsidRPr="00BB6FB7" w:rsidRDefault="00BB6FB7" w:rsidP="00BB6FB7">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החול נכנס לפרוגרמה העירונית בתכנון גינות משחקים </w:t>
            </w:r>
            <w:r w:rsidRPr="00BB6FB7">
              <w:rPr>
                <w:rFonts w:asciiTheme="majorHAnsi" w:eastAsia="Times New Roman" w:hAnsiTheme="majorHAnsi" w:cstheme="majorHAnsi"/>
                <w:color w:val="383B3F"/>
                <w:sz w:val="26"/>
                <w:szCs w:val="26"/>
                <w:rtl/>
              </w:rPr>
              <w:t>והפך להיות יותר נפוץ במרחב הציבורי וחלק מתפיסת האחזקה והתפעול של הגינות</w:t>
            </w:r>
            <w:r w:rsidRPr="00BB6FB7">
              <w:rPr>
                <w:rFonts w:asciiTheme="majorHAnsi" w:eastAsia="Times New Roman" w:hAnsiTheme="majorHAnsi" w:cstheme="majorHAnsi"/>
                <w:color w:val="383B3F"/>
                <w:sz w:val="26"/>
                <w:szCs w:val="26"/>
              </w:rPr>
              <w:t>.</w:t>
            </w:r>
          </w:p>
          <w:p w:rsidR="004165CA" w:rsidRPr="00BB6FB7" w:rsidRDefault="00BB6FB7" w:rsidP="00BB6FB7">
            <w:pPr>
              <w:numPr>
                <w:ilvl w:val="0"/>
                <w:numId w:val="18"/>
              </w:numPr>
              <w:spacing w:before="100" w:beforeAutospacing="1" w:after="100" w:afterAutospacing="1"/>
              <w:textAlignment w:val="baseline"/>
              <w:rPr>
                <w:rFonts w:asciiTheme="majorHAnsi" w:eastAsia="Times New Roman" w:hAnsiTheme="majorHAnsi" w:cstheme="majorHAnsi"/>
                <w:color w:val="383B3F"/>
                <w:sz w:val="26"/>
                <w:szCs w:val="26"/>
                <w:rtl/>
              </w:rPr>
            </w:pPr>
            <w:r w:rsidRPr="00BB6FB7">
              <w:rPr>
                <w:rFonts w:asciiTheme="majorHAnsi" w:eastAsia="Times New Roman" w:hAnsiTheme="majorHAnsi" w:cstheme="majorHAnsi"/>
                <w:b/>
                <w:bCs/>
                <w:color w:val="383B3F"/>
                <w:sz w:val="26"/>
                <w:szCs w:val="26"/>
                <w:rtl/>
              </w:rPr>
              <w:t>הפגת חששות תושבות ותושבי העיר בנוגע למשחק בחול במרחב הציבורי</w:t>
            </w:r>
            <w:r w:rsidRPr="00BB6FB7">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4165CA" w:rsidTr="00507681">
        <w:tc>
          <w:tcPr>
            <w:tcW w:w="1640" w:type="dxa"/>
          </w:tcPr>
          <w:p w:rsidR="004165CA" w:rsidRDefault="00E41CFF" w:rsidP="00E84131">
            <w:pPr>
              <w:rPr>
                <w:rtl/>
              </w:rPr>
            </w:pPr>
            <w:r w:rsidRPr="00E41CFF">
              <w:rPr>
                <w:rFonts w:ascii="Calibri Light" w:hAnsi="Calibri Light" w:cs="Calibri Light" w:hint="cs"/>
                <w:b/>
                <w:bCs/>
                <w:sz w:val="26"/>
                <w:szCs w:val="26"/>
                <w:highlight w:val="cyan"/>
                <w:rtl/>
              </w:rPr>
              <w:t>מה למדנו בדרך</w:t>
            </w:r>
          </w:p>
        </w:tc>
        <w:tc>
          <w:tcPr>
            <w:tcW w:w="3978" w:type="dxa"/>
          </w:tcPr>
          <w:p w:rsidR="00BB6FB7" w:rsidRPr="00BB6FB7" w:rsidRDefault="00BB6FB7" w:rsidP="00BB6FB7">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ארגז חול נייד מהווה פתרון טקטי מצוין </w:t>
            </w:r>
            <w:r w:rsidRPr="00BB6FB7">
              <w:rPr>
                <w:rFonts w:asciiTheme="majorHAnsi" w:eastAsia="Times New Roman" w:hAnsiTheme="majorHAnsi" w:cstheme="majorHAnsi"/>
                <w:color w:val="383B3F"/>
                <w:sz w:val="26"/>
                <w:szCs w:val="26"/>
              </w:rPr>
              <w:t xml:space="preserve">- </w:t>
            </w:r>
            <w:r w:rsidRPr="00BB6FB7">
              <w:rPr>
                <w:rFonts w:asciiTheme="majorHAnsi" w:eastAsia="Times New Roman" w:hAnsiTheme="majorHAnsi" w:cstheme="majorHAnsi"/>
                <w:color w:val="383B3F"/>
                <w:sz w:val="26"/>
                <w:szCs w:val="26"/>
                <w:rtl/>
              </w:rPr>
              <w:t>מענה זול ואיכותי, הניתן להצבה במקומות שונים בעיר ולהחלפה פשוטה במידת הצורך</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תפעול ותחזוקת הארגזים והחול מהותיים </w:t>
            </w:r>
            <w:r w:rsidRPr="00BB6FB7">
              <w:rPr>
                <w:rFonts w:asciiTheme="majorHAnsi" w:eastAsia="Times New Roman" w:hAnsiTheme="majorHAnsi" w:cstheme="majorHAnsi"/>
                <w:color w:val="383B3F"/>
                <w:sz w:val="26"/>
                <w:szCs w:val="26"/>
                <w:rtl/>
              </w:rPr>
              <w:t xml:space="preserve">להצלחת הפרויקט. תחזוקת החול והארגז באחריות אגף שפ"ע, וכוללת הקפדה על איכות </w:t>
            </w:r>
            <w:proofErr w:type="spellStart"/>
            <w:r w:rsidRPr="00BB6FB7">
              <w:rPr>
                <w:rFonts w:asciiTheme="majorHAnsi" w:eastAsia="Times New Roman" w:hAnsiTheme="majorHAnsi" w:cstheme="majorHAnsi"/>
                <w:color w:val="383B3F"/>
                <w:sz w:val="26"/>
                <w:szCs w:val="26"/>
                <w:rtl/>
              </w:rPr>
              <w:t>ונקיון</w:t>
            </w:r>
            <w:proofErr w:type="spellEnd"/>
            <w:r w:rsidRPr="00BB6FB7">
              <w:rPr>
                <w:rFonts w:asciiTheme="majorHAnsi" w:eastAsia="Times New Roman" w:hAnsiTheme="majorHAnsi" w:cstheme="majorHAnsi"/>
                <w:color w:val="383B3F"/>
                <w:sz w:val="26"/>
                <w:szCs w:val="26"/>
                <w:rtl/>
              </w:rPr>
              <w:t xml:space="preserve"> החול, והחלפתו כשצריך</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קביעת מיקום ארגזי החול נקבע בסמיכות למרכזים קהילתיים </w:t>
            </w:r>
            <w:r w:rsidRPr="00BB6FB7">
              <w:rPr>
                <w:rFonts w:asciiTheme="majorHAnsi" w:eastAsia="Times New Roman" w:hAnsiTheme="majorHAnsi" w:cstheme="majorHAnsi"/>
                <w:color w:val="383B3F"/>
                <w:sz w:val="26"/>
                <w:szCs w:val="26"/>
                <w:rtl/>
              </w:rPr>
              <w:t>תמכה בתפיסה כי ארגזי החול באחריות עירונית ובטוחים לשימוש פעוטות. בנוסף, מונה אחראי מטעם המרכז הקהילתי האמון על פתיחת ארגז החול וסגירתו בסוף היום</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 xml:space="preserve">שיתוף פעולה חוצה מינהל </w:t>
            </w:r>
            <w:proofErr w:type="spellStart"/>
            <w:r w:rsidRPr="00BB6FB7">
              <w:rPr>
                <w:rFonts w:asciiTheme="majorHAnsi" w:eastAsia="Times New Roman" w:hAnsiTheme="majorHAnsi" w:cstheme="majorHAnsi"/>
                <w:b/>
                <w:bCs/>
                <w:color w:val="383B3F"/>
                <w:sz w:val="26"/>
                <w:szCs w:val="26"/>
                <w:rtl/>
              </w:rPr>
              <w:t>איפשר</w:t>
            </w:r>
            <w:proofErr w:type="spellEnd"/>
            <w:r w:rsidRPr="00BB6FB7">
              <w:rPr>
                <w:rFonts w:asciiTheme="majorHAnsi" w:eastAsia="Times New Roman" w:hAnsiTheme="majorHAnsi" w:cstheme="majorHAnsi"/>
                <w:b/>
                <w:bCs/>
                <w:color w:val="383B3F"/>
                <w:sz w:val="26"/>
                <w:szCs w:val="26"/>
                <w:rtl/>
              </w:rPr>
              <w:t xml:space="preserve"> הטמעה של אלמנט משחקי חדש</w:t>
            </w:r>
            <w:r w:rsidRPr="00BB6FB7">
              <w:rPr>
                <w:rFonts w:asciiTheme="majorHAnsi" w:eastAsia="Times New Roman" w:hAnsiTheme="majorHAnsi" w:cstheme="majorHAnsi"/>
                <w:color w:val="383B3F"/>
                <w:sz w:val="26"/>
                <w:szCs w:val="26"/>
                <w:rtl/>
              </w:rPr>
              <w:t> בצורה בטיחותית וידידותית לשימוש</w:t>
            </w:r>
            <w:r w:rsidRPr="00BB6FB7">
              <w:rPr>
                <w:rFonts w:asciiTheme="majorHAnsi" w:eastAsia="Times New Roman" w:hAnsiTheme="majorHAnsi" w:cstheme="majorHAnsi"/>
                <w:color w:val="383B3F"/>
                <w:sz w:val="26"/>
                <w:szCs w:val="26"/>
              </w:rPr>
              <w:t>.</w:t>
            </w:r>
          </w:p>
          <w:p w:rsidR="00BB6FB7" w:rsidRPr="00BB6FB7" w:rsidRDefault="00BB6FB7" w:rsidP="00BB6FB7">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Pr>
            </w:pPr>
            <w:r w:rsidRPr="00BB6FB7">
              <w:rPr>
                <w:rFonts w:asciiTheme="majorHAnsi" w:eastAsia="Times New Roman" w:hAnsiTheme="majorHAnsi" w:cstheme="majorHAnsi"/>
                <w:b/>
                <w:bCs/>
                <w:color w:val="383B3F"/>
                <w:sz w:val="26"/>
                <w:szCs w:val="26"/>
                <w:rtl/>
              </w:rPr>
              <w:t>ביצוע פיילוט ממוקד ולמידה ממנו תמך בצמיחה ובהתרחבות</w:t>
            </w:r>
            <w:r w:rsidRPr="00BB6FB7">
              <w:rPr>
                <w:rFonts w:asciiTheme="majorHAnsi" w:eastAsia="Times New Roman" w:hAnsiTheme="majorHAnsi" w:cstheme="majorHAnsi"/>
                <w:color w:val="383B3F"/>
                <w:sz w:val="26"/>
                <w:szCs w:val="26"/>
                <w:rtl/>
              </w:rPr>
              <w:t> מוצלחת של הרעיון</w:t>
            </w:r>
            <w:r w:rsidRPr="00BB6FB7">
              <w:rPr>
                <w:rFonts w:asciiTheme="majorHAnsi" w:eastAsia="Times New Roman" w:hAnsiTheme="majorHAnsi" w:cstheme="majorHAnsi"/>
                <w:color w:val="383B3F"/>
                <w:sz w:val="26"/>
                <w:szCs w:val="26"/>
              </w:rPr>
              <w:t>.</w:t>
            </w:r>
          </w:p>
          <w:p w:rsidR="004165CA" w:rsidRPr="00BB6FB7" w:rsidRDefault="00BB6FB7" w:rsidP="00BB6FB7">
            <w:pPr>
              <w:numPr>
                <w:ilvl w:val="0"/>
                <w:numId w:val="19"/>
              </w:numPr>
              <w:spacing w:before="100" w:beforeAutospacing="1" w:after="100" w:afterAutospacing="1"/>
              <w:textAlignment w:val="baseline"/>
              <w:rPr>
                <w:rFonts w:asciiTheme="majorHAnsi" w:eastAsia="Times New Roman" w:hAnsiTheme="majorHAnsi" w:cstheme="majorHAnsi"/>
                <w:color w:val="383B3F"/>
                <w:sz w:val="26"/>
                <w:szCs w:val="26"/>
                <w:rtl/>
              </w:rPr>
            </w:pPr>
            <w:r w:rsidRPr="00BB6FB7">
              <w:rPr>
                <w:rFonts w:asciiTheme="majorHAnsi" w:eastAsia="Times New Roman" w:hAnsiTheme="majorHAnsi" w:cstheme="majorHAnsi"/>
                <w:b/>
                <w:bCs/>
                <w:color w:val="383B3F"/>
                <w:sz w:val="26"/>
                <w:szCs w:val="26"/>
                <w:rtl/>
              </w:rPr>
              <w:t>חשיפה הדרגתית ומתווכת תמכה בהפגת חששות התושבים</w:t>
            </w:r>
            <w:r w:rsidRPr="00BB6FB7">
              <w:rPr>
                <w:rFonts w:asciiTheme="majorHAnsi" w:eastAsia="Times New Roman" w:hAnsiTheme="majorHAnsi" w:cstheme="majorHAnsi"/>
                <w:color w:val="383B3F"/>
                <w:sz w:val="26"/>
                <w:szCs w:val="26"/>
                <w:rtl/>
              </w:rPr>
              <w:t> ותמכה גם היא בשימוש בארגזי החול בפריסה העירונית הרחבה</w:t>
            </w:r>
            <w:r w:rsidRPr="00BB6FB7">
              <w:rPr>
                <w:rFonts w:asciiTheme="majorHAnsi" w:eastAsia="Times New Roman" w:hAnsiTheme="majorHAnsi" w:cstheme="majorHAnsi"/>
                <w:color w:val="383B3F"/>
                <w:sz w:val="26"/>
                <w:szCs w:val="26"/>
              </w:rPr>
              <w:t>.</w:t>
            </w:r>
          </w:p>
        </w:tc>
        <w:tc>
          <w:tcPr>
            <w:tcW w:w="5057" w:type="dxa"/>
          </w:tcPr>
          <w:p w:rsidR="004165CA" w:rsidRDefault="004165CA" w:rsidP="00E84131">
            <w:pPr>
              <w:rPr>
                <w:rtl/>
              </w:rPr>
            </w:pPr>
          </w:p>
        </w:tc>
      </w:tr>
      <w:tr w:rsidR="00CA407B" w:rsidTr="00507681">
        <w:tc>
          <w:tcPr>
            <w:tcW w:w="1640" w:type="dxa"/>
          </w:tcPr>
          <w:p w:rsidR="00CA407B" w:rsidRPr="00E41CFF" w:rsidRDefault="00CA407B" w:rsidP="00CA407B">
            <w:pPr>
              <w:rPr>
                <w:rFonts w:ascii="Calibri Light" w:hAnsi="Calibri Light" w:cs="Calibri Light"/>
                <w:b/>
                <w:bCs/>
                <w:sz w:val="26"/>
                <w:szCs w:val="26"/>
                <w:highlight w:val="cyan"/>
                <w:rtl/>
              </w:rPr>
            </w:pPr>
            <w:r w:rsidRPr="00E41CFF">
              <w:rPr>
                <w:rFonts w:ascii="Calibri Light" w:hAnsi="Calibri Light" w:cs="Calibri Light" w:hint="cs"/>
                <w:b/>
                <w:bCs/>
                <w:sz w:val="26"/>
                <w:szCs w:val="26"/>
                <w:highlight w:val="cyan"/>
                <w:rtl/>
              </w:rPr>
              <w:t>תגיות</w:t>
            </w:r>
          </w:p>
        </w:tc>
        <w:tc>
          <w:tcPr>
            <w:tcW w:w="3978" w:type="dxa"/>
          </w:tcPr>
          <w:p w:rsidR="00CA407B"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קשר הורה-ילד</w:t>
            </w:r>
          </w:p>
          <w:p w:rsidR="00CA407B" w:rsidRDefault="00CD6DB7" w:rsidP="00CD6DB7">
            <w:pPr>
              <w:rPr>
                <w:rFonts w:ascii="Calibri Light" w:hAnsi="Calibri Light" w:cs="Calibri Light" w:hint="cs"/>
                <w:sz w:val="26"/>
                <w:szCs w:val="26"/>
                <w:rtl/>
              </w:rPr>
            </w:pPr>
            <w:r>
              <w:rPr>
                <w:rFonts w:ascii="Calibri Light" w:hAnsi="Calibri Light" w:cs="Calibri Light" w:hint="cs"/>
                <w:sz w:val="26"/>
                <w:szCs w:val="26"/>
                <w:rtl/>
              </w:rPr>
              <w:t>מרחב ציבורי</w:t>
            </w:r>
          </w:p>
          <w:p w:rsidR="00CD6DB7" w:rsidRDefault="00CD6DB7" w:rsidP="00CD6DB7">
            <w:pPr>
              <w:rPr>
                <w:rFonts w:ascii="Calibri Light" w:hAnsi="Calibri Light" w:cs="Calibri Light" w:hint="cs"/>
                <w:sz w:val="26"/>
                <w:szCs w:val="26"/>
                <w:rtl/>
              </w:rPr>
            </w:pPr>
            <w:r>
              <w:rPr>
                <w:rFonts w:ascii="Calibri Light" w:hAnsi="Calibri Light" w:cs="Calibri Light" w:hint="cs"/>
                <w:sz w:val="26"/>
                <w:szCs w:val="26"/>
                <w:rtl/>
              </w:rPr>
              <w:t>משחקיות</w:t>
            </w:r>
          </w:p>
          <w:p w:rsidR="00CD6DB7" w:rsidRDefault="00CD6DB7" w:rsidP="00CD6DB7">
            <w:pPr>
              <w:rPr>
                <w:rFonts w:ascii="Calibri Light" w:hAnsi="Calibri Light" w:cs="Calibri Light"/>
                <w:sz w:val="26"/>
                <w:szCs w:val="26"/>
                <w:rtl/>
              </w:rPr>
            </w:pPr>
            <w:r>
              <w:rPr>
                <w:rFonts w:ascii="Calibri Light" w:hAnsi="Calibri Light" w:cs="Calibri Light" w:hint="cs"/>
                <w:sz w:val="26"/>
                <w:szCs w:val="26"/>
                <w:rtl/>
              </w:rPr>
              <w:t>שינוי טקטי</w:t>
            </w:r>
          </w:p>
          <w:p w:rsidR="00FF4867" w:rsidRDefault="00FF4867" w:rsidP="00CD6DB7">
            <w:pPr>
              <w:rPr>
                <w:rFonts w:ascii="Calibri Light" w:hAnsi="Calibri Light" w:cs="Calibri Light" w:hint="cs"/>
                <w:sz w:val="26"/>
                <w:szCs w:val="26"/>
                <w:rtl/>
              </w:rPr>
            </w:pPr>
            <w:r>
              <w:rPr>
                <w:rFonts w:ascii="Calibri Light" w:hAnsi="Calibri Light" w:cs="Calibri Light" w:hint="cs"/>
                <w:sz w:val="26"/>
                <w:szCs w:val="26"/>
                <w:rtl/>
              </w:rPr>
              <w:t>מרכז קהילתי</w:t>
            </w:r>
          </w:p>
          <w:p w:rsidR="00FF4867" w:rsidRPr="00B56768" w:rsidRDefault="00FF4867" w:rsidP="00CD6DB7">
            <w:pPr>
              <w:rPr>
                <w:rFonts w:ascii="Calibri Light" w:hAnsi="Calibri Light" w:cs="Calibri Light"/>
                <w:sz w:val="26"/>
                <w:szCs w:val="26"/>
                <w:rtl/>
              </w:rPr>
            </w:pPr>
            <w:r>
              <w:rPr>
                <w:rFonts w:ascii="Calibri Light" w:hAnsi="Calibri Light" w:cs="Calibri Light" w:hint="cs"/>
                <w:sz w:val="26"/>
                <w:szCs w:val="26"/>
                <w:rtl/>
              </w:rPr>
              <w:t>משחק חופשי</w:t>
            </w:r>
          </w:p>
        </w:tc>
        <w:tc>
          <w:tcPr>
            <w:tcW w:w="5057" w:type="dxa"/>
          </w:tcPr>
          <w:p w:rsidR="00CA407B" w:rsidRDefault="00CA407B" w:rsidP="00CA407B">
            <w:pPr>
              <w:rPr>
                <w:rtl/>
              </w:rPr>
            </w:pPr>
          </w:p>
        </w:tc>
      </w:tr>
      <w:tr w:rsidR="00CA407B" w:rsidTr="00507681">
        <w:tc>
          <w:tcPr>
            <w:tcW w:w="1640" w:type="dxa"/>
          </w:tcPr>
          <w:p w:rsidR="00CA407B" w:rsidRDefault="00CA407B" w:rsidP="00CA407B">
            <w:pPr>
              <w:rPr>
                <w:rFonts w:ascii="Calibri Light" w:hAnsi="Calibri Light" w:cs="Calibri Light"/>
                <w:b/>
                <w:bCs/>
                <w:sz w:val="26"/>
                <w:szCs w:val="26"/>
                <w:highlight w:val="cyan"/>
                <w:rtl/>
              </w:rPr>
            </w:pPr>
            <w:r>
              <w:rPr>
                <w:rFonts w:ascii="Calibri Light" w:hAnsi="Calibri Light" w:cs="Calibri Light" w:hint="cs"/>
                <w:b/>
                <w:bCs/>
                <w:sz w:val="26"/>
                <w:szCs w:val="26"/>
                <w:highlight w:val="cyan"/>
                <w:rtl/>
              </w:rPr>
              <w:lastRenderedPageBreak/>
              <w:t>קטגוריות (תל אביב)</w:t>
            </w:r>
            <w:r w:rsidRPr="006C05D1">
              <w:rPr>
                <w:rFonts w:ascii="Calibri Light" w:hAnsi="Calibri Light" w:cs="Calibri Light" w:hint="cs"/>
                <w:b/>
                <w:bCs/>
                <w:sz w:val="26"/>
                <w:szCs w:val="26"/>
                <w:highlight w:val="cyan"/>
                <w:rtl/>
              </w:rPr>
              <w:t xml:space="preserve">: </w:t>
            </w:r>
          </w:p>
          <w:p w:rsidR="00CA407B" w:rsidRDefault="00CA407B" w:rsidP="00CA407B">
            <w:pPr>
              <w:rPr>
                <w:rtl/>
              </w:rPr>
            </w:pPr>
          </w:p>
        </w:tc>
        <w:tc>
          <w:tcPr>
            <w:tcW w:w="3978" w:type="dxa"/>
          </w:tcPr>
          <w:p w:rsidR="00CA407B" w:rsidRPr="006C05D1" w:rsidRDefault="00CA407B" w:rsidP="00CA407B">
            <w:pPr>
              <w:rPr>
                <w:rFonts w:ascii="Calibri Light" w:hAnsi="Calibri Light" w:cs="Calibri Light"/>
                <w:sz w:val="26"/>
                <w:szCs w:val="26"/>
                <w:rtl/>
              </w:rPr>
            </w:pPr>
            <w:r w:rsidRPr="006C05D1">
              <w:rPr>
                <w:rFonts w:ascii="Calibri Light" w:hAnsi="Calibri Light" w:cs="Calibri Light" w:hint="cs"/>
                <w:sz w:val="26"/>
                <w:szCs w:val="26"/>
                <w:rtl/>
              </w:rPr>
              <w:t>תוכן ושירותים קהילתיים</w:t>
            </w:r>
          </w:p>
          <w:p w:rsidR="00CA407B" w:rsidRPr="00B56768" w:rsidRDefault="00CA407B" w:rsidP="00CA407B">
            <w:pPr>
              <w:rPr>
                <w:rFonts w:ascii="Calibri Light" w:hAnsi="Calibri Light" w:cs="Calibri Light"/>
                <w:sz w:val="26"/>
                <w:szCs w:val="26"/>
                <w:rtl/>
              </w:rPr>
            </w:pPr>
          </w:p>
        </w:tc>
        <w:tc>
          <w:tcPr>
            <w:tcW w:w="5057" w:type="dxa"/>
          </w:tcPr>
          <w:p w:rsidR="00CA407B" w:rsidRDefault="00CA407B" w:rsidP="00CA407B">
            <w:pPr>
              <w:rPr>
                <w:rtl/>
              </w:rPr>
            </w:pPr>
          </w:p>
        </w:tc>
      </w:tr>
    </w:tbl>
    <w:p w:rsidR="002B71A4" w:rsidRDefault="002B71A4"/>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3747"/>
    <w:multiLevelType w:val="multilevel"/>
    <w:tmpl w:val="BF42F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D53DD"/>
    <w:multiLevelType w:val="multilevel"/>
    <w:tmpl w:val="092AD0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D16F77"/>
    <w:multiLevelType w:val="hybridMultilevel"/>
    <w:tmpl w:val="059229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891BF5"/>
    <w:multiLevelType w:val="multilevel"/>
    <w:tmpl w:val="7BFA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592CF0"/>
    <w:multiLevelType w:val="multilevel"/>
    <w:tmpl w:val="7F60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165D41"/>
    <w:multiLevelType w:val="multilevel"/>
    <w:tmpl w:val="A4F2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464F39"/>
    <w:multiLevelType w:val="multilevel"/>
    <w:tmpl w:val="0C845F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F0C5A"/>
    <w:multiLevelType w:val="multilevel"/>
    <w:tmpl w:val="19AAD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0A4718"/>
    <w:multiLevelType w:val="multilevel"/>
    <w:tmpl w:val="35C05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166DA5"/>
    <w:multiLevelType w:val="multilevel"/>
    <w:tmpl w:val="5E787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B75332"/>
    <w:multiLevelType w:val="multilevel"/>
    <w:tmpl w:val="E6444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6D25E58"/>
    <w:multiLevelType w:val="hybridMultilevel"/>
    <w:tmpl w:val="413AD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453670"/>
    <w:multiLevelType w:val="multilevel"/>
    <w:tmpl w:val="687E3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18"/>
  </w:num>
  <w:num w:numId="4">
    <w:abstractNumId w:val="2"/>
  </w:num>
  <w:num w:numId="5">
    <w:abstractNumId w:val="12"/>
  </w:num>
  <w:num w:numId="6">
    <w:abstractNumId w:val="11"/>
  </w:num>
  <w:num w:numId="7">
    <w:abstractNumId w:val="15"/>
  </w:num>
  <w:num w:numId="8">
    <w:abstractNumId w:val="8"/>
  </w:num>
  <w:num w:numId="9">
    <w:abstractNumId w:val="17"/>
  </w:num>
  <w:num w:numId="10">
    <w:abstractNumId w:val="4"/>
  </w:num>
  <w:num w:numId="11">
    <w:abstractNumId w:val="16"/>
  </w:num>
  <w:num w:numId="12">
    <w:abstractNumId w:val="3"/>
  </w:num>
  <w:num w:numId="13">
    <w:abstractNumId w:val="0"/>
  </w:num>
  <w:num w:numId="14">
    <w:abstractNumId w:val="14"/>
  </w:num>
  <w:num w:numId="15">
    <w:abstractNumId w:val="6"/>
  </w:num>
  <w:num w:numId="16">
    <w:abstractNumId w:val="10"/>
  </w:num>
  <w:num w:numId="17">
    <w:abstractNumId w:val="5"/>
  </w:num>
  <w:num w:numId="18">
    <w:abstractNumId w:val="9"/>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0D7DCB"/>
    <w:rsid w:val="00212727"/>
    <w:rsid w:val="002B71A4"/>
    <w:rsid w:val="004165CA"/>
    <w:rsid w:val="00507681"/>
    <w:rsid w:val="008053A8"/>
    <w:rsid w:val="008D3BC3"/>
    <w:rsid w:val="00BB6FB7"/>
    <w:rsid w:val="00BF10F1"/>
    <w:rsid w:val="00CA407B"/>
    <w:rsid w:val="00CD58AE"/>
    <w:rsid w:val="00CD6DB7"/>
    <w:rsid w:val="00CF007E"/>
    <w:rsid w:val="00E41CFF"/>
    <w:rsid w:val="00E84131"/>
    <w:rsid w:val="00E8598C"/>
    <w:rsid w:val="00FF486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75035"/>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569843">
      <w:bodyDiv w:val="1"/>
      <w:marLeft w:val="0"/>
      <w:marRight w:val="0"/>
      <w:marTop w:val="0"/>
      <w:marBottom w:val="0"/>
      <w:divBdr>
        <w:top w:val="none" w:sz="0" w:space="0" w:color="auto"/>
        <w:left w:val="none" w:sz="0" w:space="0" w:color="auto"/>
        <w:bottom w:val="none" w:sz="0" w:space="0" w:color="auto"/>
        <w:right w:val="none" w:sz="0" w:space="0" w:color="auto"/>
      </w:divBdr>
    </w:div>
    <w:div w:id="1086070472">
      <w:bodyDiv w:val="1"/>
      <w:marLeft w:val="0"/>
      <w:marRight w:val="0"/>
      <w:marTop w:val="0"/>
      <w:marBottom w:val="0"/>
      <w:divBdr>
        <w:top w:val="none" w:sz="0" w:space="0" w:color="auto"/>
        <w:left w:val="none" w:sz="0" w:space="0" w:color="auto"/>
        <w:bottom w:val="none" w:sz="0" w:space="0" w:color="auto"/>
        <w:right w:val="none" w:sz="0" w:space="0" w:color="auto"/>
      </w:divBdr>
    </w:div>
    <w:div w:id="1116560484">
      <w:bodyDiv w:val="1"/>
      <w:marLeft w:val="0"/>
      <w:marRight w:val="0"/>
      <w:marTop w:val="0"/>
      <w:marBottom w:val="0"/>
      <w:divBdr>
        <w:top w:val="none" w:sz="0" w:space="0" w:color="auto"/>
        <w:left w:val="none" w:sz="0" w:space="0" w:color="auto"/>
        <w:bottom w:val="none" w:sz="0" w:space="0" w:color="auto"/>
        <w:right w:val="none" w:sz="0" w:space="0" w:color="auto"/>
      </w:divBdr>
    </w:div>
    <w:div w:id="1243220824">
      <w:bodyDiv w:val="1"/>
      <w:marLeft w:val="0"/>
      <w:marRight w:val="0"/>
      <w:marTop w:val="0"/>
      <w:marBottom w:val="0"/>
      <w:divBdr>
        <w:top w:val="none" w:sz="0" w:space="0" w:color="auto"/>
        <w:left w:val="none" w:sz="0" w:space="0" w:color="auto"/>
        <w:bottom w:val="none" w:sz="0" w:space="0" w:color="auto"/>
        <w:right w:val="none" w:sz="0" w:space="0" w:color="auto"/>
      </w:divBdr>
    </w:div>
    <w:div w:id="1340237998">
      <w:bodyDiv w:val="1"/>
      <w:marLeft w:val="0"/>
      <w:marRight w:val="0"/>
      <w:marTop w:val="0"/>
      <w:marBottom w:val="0"/>
      <w:divBdr>
        <w:top w:val="none" w:sz="0" w:space="0" w:color="auto"/>
        <w:left w:val="none" w:sz="0" w:space="0" w:color="auto"/>
        <w:bottom w:val="none" w:sz="0" w:space="0" w:color="auto"/>
        <w:right w:val="none" w:sz="0" w:space="0" w:color="auto"/>
      </w:divBdr>
    </w:div>
    <w:div w:id="1807813263">
      <w:bodyDiv w:val="1"/>
      <w:marLeft w:val="0"/>
      <w:marRight w:val="0"/>
      <w:marTop w:val="0"/>
      <w:marBottom w:val="0"/>
      <w:divBdr>
        <w:top w:val="none" w:sz="0" w:space="0" w:color="auto"/>
        <w:left w:val="none" w:sz="0" w:space="0" w:color="auto"/>
        <w:bottom w:val="none" w:sz="0" w:space="0" w:color="auto"/>
        <w:right w:val="none" w:sz="0" w:space="0" w:color="auto"/>
      </w:divBdr>
    </w:div>
    <w:div w:id="18252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4</Pages>
  <Words>627</Words>
  <Characters>3138</Characters>
  <Application>Microsoft Office Word</Application>
  <DocSecurity>0</DocSecurity>
  <Lines>26</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3</cp:revision>
  <dcterms:created xsi:type="dcterms:W3CDTF">2024-10-07T10:09:00Z</dcterms:created>
  <dcterms:modified xsi:type="dcterms:W3CDTF">2024-10-07T10:26:00Z</dcterms:modified>
</cp:coreProperties>
</file>