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883A96" w:rsidP="00E84131">
            <w:pPr>
              <w:rPr>
                <w:rFonts w:asciiTheme="majorHAnsi" w:hAnsiTheme="majorHAnsi" w:cstheme="majorHAnsi"/>
                <w:b/>
                <w:bCs/>
                <w:sz w:val="26"/>
                <w:szCs w:val="26"/>
                <w:rtl/>
              </w:rPr>
            </w:pPr>
            <w:r>
              <w:rPr>
                <w:rFonts w:asciiTheme="majorHAnsi" w:hAnsiTheme="majorHAnsi" w:cstheme="majorHAnsi" w:hint="cs"/>
                <w:b/>
                <w:bCs/>
                <w:sz w:val="26"/>
                <w:szCs w:val="26"/>
                <w:rtl/>
              </w:rPr>
              <w:t>גן השניים</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8053A8" w:rsidRDefault="004E451B" w:rsidP="00E84131">
            <w:pPr>
              <w:rPr>
                <w:rFonts w:asciiTheme="majorHAnsi" w:hAnsiTheme="majorHAnsi" w:cstheme="majorHAnsi"/>
                <w:b/>
                <w:bCs/>
                <w:sz w:val="26"/>
                <w:szCs w:val="26"/>
                <w:rtl/>
              </w:rPr>
            </w:pPr>
            <w:r w:rsidRPr="004E451B">
              <w:rPr>
                <w:rFonts w:asciiTheme="majorHAnsi" w:hAnsiTheme="majorHAnsi" w:cs="Calibri Light"/>
                <w:b/>
                <w:bCs/>
                <w:sz w:val="26"/>
                <w:szCs w:val="26"/>
                <w:rtl/>
              </w:rPr>
              <w:t>מערך תצפיות ותהליך שיתוף ציבור משמעותי הפכו התערבות קלה- לשיפוץ משמעותי בגינה מרכזית ביפו. בתהליך שנעשה עם התושבים נחשפו שכבות רבות של היסטוריה, רגש וחיבור ערכי של קהילת השכונה לגן ולמרחב.</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4E451B" w:rsidP="00E84131">
            <w:pPr>
              <w:rPr>
                <w:rFonts w:ascii="Calibri Light" w:hAnsi="Calibri Light" w:cs="Calibri Light"/>
                <w:sz w:val="26"/>
                <w:szCs w:val="26"/>
                <w:rtl/>
              </w:rPr>
            </w:pPr>
            <w:r w:rsidRPr="004E451B">
              <w:rPr>
                <w:rFonts w:ascii="Calibri Light" w:hAnsi="Calibri Light" w:cs="Calibri Light"/>
                <w:sz w:val="26"/>
                <w:szCs w:val="26"/>
                <w:rtl/>
              </w:rPr>
              <w:t xml:space="preserve">הפרויקט החל כיוזמה של המישלמה ליפו להחליף את מתקני המשחק בגינה מרכזית בלב שכונת </w:t>
            </w:r>
            <w:proofErr w:type="spellStart"/>
            <w:r w:rsidRPr="004E451B">
              <w:rPr>
                <w:rFonts w:ascii="Calibri Light" w:hAnsi="Calibri Light" w:cs="Calibri Light"/>
                <w:sz w:val="26"/>
                <w:szCs w:val="26"/>
                <w:rtl/>
              </w:rPr>
              <w:t>עג'מי</w:t>
            </w:r>
            <w:proofErr w:type="spellEnd"/>
            <w:r w:rsidRPr="004E451B">
              <w:rPr>
                <w:rFonts w:ascii="Calibri Light" w:hAnsi="Calibri Light" w:cs="Calibri Light"/>
                <w:sz w:val="26"/>
                <w:szCs w:val="26"/>
                <w:rtl/>
              </w:rPr>
              <w:t xml:space="preserve">. בתחילה, </w:t>
            </w:r>
            <w:proofErr w:type="spellStart"/>
            <w:r w:rsidRPr="004E451B">
              <w:rPr>
                <w:rFonts w:ascii="Calibri Light" w:hAnsi="Calibri Light" w:cs="Calibri Light"/>
                <w:sz w:val="26"/>
                <w:szCs w:val="26"/>
                <w:rtl/>
              </w:rPr>
              <w:t>ההתכנון</w:t>
            </w:r>
            <w:proofErr w:type="spellEnd"/>
            <w:r w:rsidRPr="004E451B">
              <w:rPr>
                <w:rFonts w:ascii="Calibri Light" w:hAnsi="Calibri Light" w:cs="Calibri Light"/>
                <w:sz w:val="26"/>
                <w:szCs w:val="26"/>
                <w:rtl/>
              </w:rPr>
              <w:t xml:space="preserve"> היה רק להחליף את המתקנים אך במסגרת התצפיות שביצענו על הגינה וסביבתה, גילינו כמה היא שוקקת חיים: תנועה רבה של הולכי רגל ומגוון אוכלוסיות וגילים המשתמשים בגינה. בנוסף, השיחות שערכנו עם באי המקום המחישו כמה המרחב משמעותי להם, ובעל ערך היסטורי וחברתי. </w:t>
            </w:r>
            <w:r w:rsidRPr="004E451B">
              <w:rPr>
                <w:rFonts w:ascii="Calibri Light" w:hAnsi="Calibri Light" w:cs="Calibri Light"/>
                <w:b/>
                <w:bCs/>
                <w:sz w:val="26"/>
                <w:szCs w:val="26"/>
                <w:rtl/>
              </w:rPr>
              <w:t>הבנו שהצורך הקהילתי רחב יותר ממה שתאפשר החלפת מתקני משחק בלבד ושיש צורך לערב גורמים נוספים.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4E451B" w:rsidP="004E451B">
            <w:pPr>
              <w:rPr>
                <w:rFonts w:ascii="Calibri Light" w:hAnsi="Calibri Light" w:cs="Calibri Light"/>
                <w:sz w:val="26"/>
                <w:szCs w:val="26"/>
                <w:rtl/>
              </w:rPr>
            </w:pPr>
            <w:r>
              <w:rPr>
                <w:rFonts w:ascii="Calibri Light" w:hAnsi="Calibri Light" w:cs="Calibri Light" w:hint="cs"/>
                <w:sz w:val="26"/>
                <w:szCs w:val="26"/>
                <w:rtl/>
              </w:rPr>
              <w:t>י</w:t>
            </w:r>
            <w:r w:rsidRPr="004E451B">
              <w:rPr>
                <w:rFonts w:ascii="Calibri Light" w:hAnsi="Calibri Light" w:cs="Calibri Light"/>
                <w:sz w:val="26"/>
                <w:szCs w:val="26"/>
                <w:rtl/>
              </w:rPr>
              <w:t xml:space="preserve">צאנו </w:t>
            </w:r>
            <w:r w:rsidRPr="004E451B">
              <w:rPr>
                <w:rFonts w:ascii="Calibri Light" w:hAnsi="Calibri Light" w:cs="Calibri Light"/>
                <w:b/>
                <w:bCs/>
                <w:sz w:val="26"/>
                <w:szCs w:val="26"/>
                <w:rtl/>
              </w:rPr>
              <w:t>בתהליך שיתוף ציבור</w:t>
            </w:r>
            <w:r w:rsidRPr="004E451B">
              <w:rPr>
                <w:rFonts w:ascii="Calibri Light" w:hAnsi="Calibri Light" w:cs="Calibri Light"/>
                <w:sz w:val="26"/>
                <w:szCs w:val="26"/>
                <w:rtl/>
              </w:rPr>
              <w:t xml:space="preserve"> במטרה לאתר חסמים, הזדמנויות ולרכז תובנות שיסייעו לנו להבין ולתכנן את ההתערבות המתאימה. ערכנו בגינה אירוע ציבורי חווייתי וחגיגי, שכלל תחנות פעילות שאספו מעל 550 התייחסויות בנוגע לשימושים אפשריים, מתקנים ותחושות התושבים ביחס לגן. בנוסף ערכנו קבוצות מיקוד של תושבי השכונה ונפגשנו עם מובילי דעה קהילתיים מקומיים.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4E451B" w:rsidP="004E451B">
            <w:pPr>
              <w:rPr>
                <w:rFonts w:ascii="Calibri Light" w:hAnsi="Calibri Light" w:cs="Calibri Light"/>
                <w:sz w:val="26"/>
                <w:szCs w:val="26"/>
                <w:rtl/>
              </w:rPr>
            </w:pPr>
            <w:r w:rsidRPr="004E451B">
              <w:rPr>
                <w:rFonts w:ascii="Calibri Light" w:hAnsi="Calibri Light" w:cs="Calibri Light"/>
                <w:b/>
                <w:bCs/>
                <w:sz w:val="26"/>
                <w:szCs w:val="26"/>
                <w:rtl/>
              </w:rPr>
              <w:t>תוצאות התהליך העלו שיש רצון עז לשמר את הגן כמרחב המאפשר התקהלות ומפגשים חברתיים</w:t>
            </w:r>
            <w:r w:rsidRPr="004E451B">
              <w:rPr>
                <w:rFonts w:ascii="Calibri Light" w:hAnsi="Calibri Light" w:cs="Calibri Light"/>
                <w:sz w:val="26"/>
                <w:szCs w:val="26"/>
                <w:rtl/>
              </w:rPr>
              <w:t xml:space="preserve">. החיבור והקשר הרגשי למרחב נובע מההיסטוריה ארוכת השנים שיש לגינה, ומתוך האינטראקציות הקהילתיות המתקיימות בו, וכן לאור היותו מקום מפגש היסטורי של דייגי יפו. בנוסף, רבים שיתפו </w:t>
            </w:r>
            <w:r w:rsidRPr="004E451B">
              <w:rPr>
                <w:rFonts w:ascii="Calibri Light" w:hAnsi="Calibri Light" w:cs="Calibri Light"/>
                <w:b/>
                <w:bCs/>
                <w:sz w:val="26"/>
                <w:szCs w:val="26"/>
                <w:rtl/>
              </w:rPr>
              <w:t>שאין תחושת ביטחון בגינה</w:t>
            </w:r>
            <w:r w:rsidRPr="004E451B">
              <w:rPr>
                <w:rFonts w:ascii="Calibri Light" w:hAnsi="Calibri Light" w:cs="Calibri Light"/>
                <w:sz w:val="26"/>
                <w:szCs w:val="26"/>
                <w:rtl/>
              </w:rPr>
              <w:t>, עקב בטיחות ואיכות ירודה של המתקנים, תנועה לא מווסתת, חוסר במקומות ישיבה, תחזוקה ונ</w:t>
            </w:r>
            <w:r>
              <w:rPr>
                <w:rFonts w:ascii="Calibri Light" w:hAnsi="Calibri Light" w:cs="Calibri Light" w:hint="cs"/>
                <w:sz w:val="26"/>
                <w:szCs w:val="26"/>
                <w:rtl/>
              </w:rPr>
              <w:t>י</w:t>
            </w:r>
            <w:r w:rsidRPr="004E451B">
              <w:rPr>
                <w:rFonts w:ascii="Calibri Light" w:hAnsi="Calibri Light" w:cs="Calibri Light"/>
                <w:sz w:val="26"/>
                <w:szCs w:val="26"/>
                <w:rtl/>
              </w:rPr>
              <w:t>קיון לקויים וגינון חסר.</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4E451B" w:rsidP="004E451B">
            <w:pPr>
              <w:rPr>
                <w:rFonts w:ascii="Calibri Light" w:hAnsi="Calibri Light" w:cs="Calibri Light"/>
                <w:sz w:val="26"/>
                <w:szCs w:val="26"/>
                <w:rtl/>
              </w:rPr>
            </w:pPr>
            <w:r w:rsidRPr="004E451B">
              <w:rPr>
                <w:rFonts w:ascii="Calibri Light" w:hAnsi="Calibri Light" w:cs="Calibri Light"/>
                <w:b/>
                <w:bCs/>
                <w:sz w:val="26"/>
                <w:szCs w:val="26"/>
                <w:rtl/>
              </w:rPr>
              <w:t xml:space="preserve">התהליך הבהיר כמה המקום משמעותי לתושבים, ונתן גיבוי להגדלת התקציב </w:t>
            </w:r>
            <w:r w:rsidRPr="004E451B">
              <w:rPr>
                <w:rFonts w:ascii="Calibri Light" w:hAnsi="Calibri Light" w:cs="Calibri Light"/>
                <w:b/>
                <w:bCs/>
                <w:sz w:val="26"/>
                <w:szCs w:val="26"/>
                <w:rtl/>
              </w:rPr>
              <w:lastRenderedPageBreak/>
              <w:t>העירוני לשיפור פני הגינה.</w:t>
            </w:r>
            <w:r w:rsidRPr="004E451B">
              <w:rPr>
                <w:rFonts w:ascii="Calibri Light" w:hAnsi="Calibri Light" w:cs="Calibri Light"/>
                <w:sz w:val="26"/>
                <w:szCs w:val="26"/>
                <w:rtl/>
              </w:rPr>
              <w:t xml:space="preserve"> מתוך ההבנה שלא נוכל "להניח" מתקנים ולהתעלם מהשכבות העמוקות יותר במרחב, יצאנו יחד עם שפע לתכנון שינוי קונסטרוקטיבי. התייחסויות התושבים עובדו למסקנות תפעוליות שהוטמעו בפרוגרמה, יחד עם עקרונות אורבן95 הנוגעים לתכנון מרחב ציבורי המעודד משחק, ומתאים לצרכי הגיל הרך והמלווים שלהם. במהלך שיפוץ הגינה שארך כשנה, </w:t>
            </w:r>
            <w:r w:rsidRPr="004E451B">
              <w:rPr>
                <w:rFonts w:ascii="Calibri Light" w:hAnsi="Calibri Light" w:cs="Calibri Light"/>
                <w:b/>
                <w:bCs/>
                <w:sz w:val="26"/>
                <w:szCs w:val="26"/>
                <w:rtl/>
              </w:rPr>
              <w:t>נשמר קשר רציף עם הקהילה</w:t>
            </w:r>
            <w:r w:rsidRPr="004E451B">
              <w:rPr>
                <w:rFonts w:ascii="Calibri Light" w:hAnsi="Calibri Light" w:cs="Calibri Light"/>
                <w:sz w:val="26"/>
                <w:szCs w:val="26"/>
                <w:rtl/>
              </w:rPr>
              <w:t xml:space="preserve"> באמצעות פרסום תוצאות שיתוף הציבור, פרסום הפרוגרמה שנבחרה והסבר מפורט של התהליך על גבי הגדר שתחמה את אזור השיפוץ.</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4E451B" w:rsidRDefault="004E451B" w:rsidP="004E451B">
            <w:pPr>
              <w:rPr>
                <w:rFonts w:ascii="Calibri Light" w:hAnsi="Calibri Light" w:cs="Calibri Light"/>
                <w:sz w:val="26"/>
                <w:szCs w:val="26"/>
                <w:rtl/>
              </w:rPr>
            </w:pPr>
            <w:r w:rsidRPr="004E451B">
              <w:rPr>
                <w:rFonts w:ascii="Calibri Light" w:hAnsi="Calibri Light" w:cs="Calibri Light"/>
                <w:b/>
                <w:bCs/>
                <w:sz w:val="26"/>
                <w:szCs w:val="26"/>
                <w:u w:val="single"/>
                <w:rtl/>
              </w:rPr>
              <w:t>יחידות עירוניות שותפות:</w:t>
            </w:r>
            <w:r w:rsidRPr="004E451B">
              <w:rPr>
                <w:rFonts w:ascii="Calibri Light" w:hAnsi="Calibri Light" w:cs="Calibri Light"/>
                <w:sz w:val="26"/>
                <w:szCs w:val="26"/>
                <w:rtl/>
              </w:rPr>
              <w:t xml:space="preserve">  מינהל קהילה, תרבות וספורט, המישלמה ליפו, אגף שפ"ע</w:t>
            </w:r>
          </w:p>
        </w:tc>
        <w:tc>
          <w:tcPr>
            <w:tcW w:w="5057" w:type="dxa"/>
          </w:tcPr>
          <w:p w:rsidR="000D7DCB" w:rsidRDefault="000D7DCB"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4E451B" w:rsidRPr="004E451B" w:rsidRDefault="004E451B" w:rsidP="004E451B">
            <w:pPr>
              <w:numPr>
                <w:ilvl w:val="0"/>
                <w:numId w:val="16"/>
              </w:numPr>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rtl/>
              </w:rPr>
              <w:t>שימוש בגן-</w:t>
            </w:r>
            <w:r w:rsidRPr="004E451B">
              <w:rPr>
                <w:rFonts w:asciiTheme="majorHAnsi" w:eastAsia="Times New Roman" w:hAnsiTheme="majorHAnsi" w:cstheme="majorHAnsi"/>
                <w:color w:val="383B3F"/>
                <w:sz w:val="26"/>
                <w:szCs w:val="26"/>
                <w:rtl/>
              </w:rPr>
              <w:t>הגן מלא בכל יום, מאוד אוהבים את הגינה, שמחים על השינוי. עלה בכל הפרמטרים</w:t>
            </w:r>
            <w:r w:rsidRPr="004E451B">
              <w:rPr>
                <w:rFonts w:asciiTheme="majorHAnsi" w:eastAsia="Times New Roman" w:hAnsiTheme="majorHAnsi" w:cstheme="majorHAnsi"/>
                <w:color w:val="383B3F"/>
                <w:sz w:val="26"/>
                <w:szCs w:val="26"/>
              </w:rPr>
              <w:t>.</w:t>
            </w:r>
          </w:p>
          <w:p w:rsidR="004E451B" w:rsidRPr="004E451B" w:rsidRDefault="004E451B" w:rsidP="004E451B">
            <w:pPr>
              <w:numPr>
                <w:ilvl w:val="0"/>
                <w:numId w:val="16"/>
              </w:numPr>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rtl/>
              </w:rPr>
              <w:t>מעורבות גבוהה של התושבים בתהליך שיתוף הציבור</w:t>
            </w:r>
            <w:r w:rsidRPr="004E451B">
              <w:rPr>
                <w:rFonts w:asciiTheme="majorHAnsi" w:eastAsia="Times New Roman" w:hAnsiTheme="majorHAnsi" w:cstheme="majorHAnsi"/>
                <w:b/>
                <w:bCs/>
                <w:color w:val="383B3F"/>
                <w:sz w:val="26"/>
                <w:szCs w:val="26"/>
              </w:rPr>
              <w:t>, </w:t>
            </w:r>
            <w:r w:rsidRPr="004E451B">
              <w:rPr>
                <w:rFonts w:asciiTheme="majorHAnsi" w:eastAsia="Times New Roman" w:hAnsiTheme="majorHAnsi" w:cstheme="majorHAnsi"/>
                <w:color w:val="383B3F"/>
                <w:sz w:val="26"/>
                <w:szCs w:val="26"/>
                <w:rtl/>
              </w:rPr>
              <w:t>למרות שהאירוע שנערך בעת מגפת הקורונה, וברקע אירועי "שומר החומות" ואלימות ביפו - השתתפו מאות אנשים במגוון גילים</w:t>
            </w:r>
            <w:r w:rsidRPr="004E451B">
              <w:rPr>
                <w:rFonts w:asciiTheme="majorHAnsi" w:eastAsia="Times New Roman" w:hAnsiTheme="majorHAnsi" w:cstheme="majorHAnsi"/>
                <w:color w:val="383B3F"/>
                <w:sz w:val="26"/>
                <w:szCs w:val="26"/>
              </w:rPr>
              <w:t>.</w:t>
            </w:r>
          </w:p>
          <w:p w:rsidR="004E451B" w:rsidRPr="004E451B" w:rsidRDefault="004E451B" w:rsidP="004E451B">
            <w:pPr>
              <w:numPr>
                <w:ilvl w:val="0"/>
                <w:numId w:val="16"/>
              </w:numPr>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rtl/>
              </w:rPr>
              <w:t>דיוק המענים לצרכי התושבים </w:t>
            </w:r>
            <w:r w:rsidRPr="004E451B">
              <w:rPr>
                <w:rFonts w:asciiTheme="majorHAnsi" w:eastAsia="Times New Roman" w:hAnsiTheme="majorHAnsi" w:cstheme="majorHAnsi"/>
                <w:color w:val="383B3F"/>
                <w:sz w:val="26"/>
                <w:szCs w:val="26"/>
                <w:rtl/>
              </w:rPr>
              <w:t>התאפשר מתוך תהליך שיתוף הציבור, לדוגמא הקמת כיתת חוץ המשמשת את גני הילדים ובתי הספר הסמוכים</w:t>
            </w:r>
            <w:r w:rsidRPr="004E451B">
              <w:rPr>
                <w:rFonts w:asciiTheme="majorHAnsi" w:eastAsia="Times New Roman" w:hAnsiTheme="majorHAnsi" w:cstheme="majorHAnsi"/>
                <w:color w:val="383B3F"/>
                <w:sz w:val="26"/>
                <w:szCs w:val="26"/>
              </w:rPr>
              <w:t>.</w:t>
            </w:r>
          </w:p>
          <w:p w:rsidR="004165CA" w:rsidRPr="004E451B" w:rsidRDefault="004E451B" w:rsidP="004E451B">
            <w:pPr>
              <w:numPr>
                <w:ilvl w:val="0"/>
                <w:numId w:val="16"/>
              </w:numPr>
              <w:spacing w:before="100" w:beforeAutospacing="1" w:after="100" w:afterAutospacing="1"/>
              <w:textAlignment w:val="baseline"/>
              <w:rPr>
                <w:rFonts w:asciiTheme="majorHAnsi" w:eastAsia="Times New Roman" w:hAnsiTheme="majorHAnsi" w:cstheme="majorHAnsi"/>
                <w:color w:val="383B3F"/>
                <w:sz w:val="26"/>
                <w:szCs w:val="26"/>
                <w:rtl/>
              </w:rPr>
            </w:pPr>
            <w:r w:rsidRPr="004E451B">
              <w:rPr>
                <w:rFonts w:asciiTheme="majorHAnsi" w:eastAsia="Times New Roman" w:hAnsiTheme="majorHAnsi" w:cstheme="majorHAnsi"/>
                <w:b/>
                <w:bCs/>
                <w:color w:val="383B3F"/>
                <w:sz w:val="26"/>
                <w:szCs w:val="26"/>
                <w:rtl/>
              </w:rPr>
              <w:t>קיום מפגשים ופעילויות קהילתיות משמעותיות</w:t>
            </w:r>
            <w:r w:rsidRPr="004E451B">
              <w:rPr>
                <w:rFonts w:asciiTheme="majorHAnsi" w:eastAsia="Times New Roman" w:hAnsiTheme="majorHAnsi" w:cstheme="majorHAnsi"/>
                <w:color w:val="383B3F"/>
                <w:sz w:val="26"/>
                <w:szCs w:val="26"/>
                <w:rtl/>
              </w:rPr>
              <w:t> במרחב הודות לשינוי פני הגינה</w:t>
            </w:r>
            <w:r w:rsidRPr="004E451B">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4E451B" w:rsidRPr="004E451B" w:rsidRDefault="004E451B" w:rsidP="004E451B">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rtl/>
              </w:rPr>
              <w:t>התצפית עשתה את המהפך</w:t>
            </w:r>
            <w:r w:rsidRPr="004E451B">
              <w:rPr>
                <w:rFonts w:asciiTheme="majorHAnsi" w:eastAsia="Times New Roman" w:hAnsiTheme="majorHAnsi" w:cstheme="majorHAnsi"/>
                <w:color w:val="383B3F"/>
                <w:sz w:val="26"/>
                <w:szCs w:val="26"/>
                <w:rtl/>
              </w:rPr>
              <w:t> </w:t>
            </w:r>
            <w:r w:rsidRPr="004E451B">
              <w:rPr>
                <w:rFonts w:asciiTheme="majorHAnsi" w:eastAsia="Times New Roman" w:hAnsiTheme="majorHAnsi" w:cstheme="majorHAnsi"/>
                <w:color w:val="383B3F"/>
                <w:sz w:val="26"/>
                <w:szCs w:val="26"/>
              </w:rPr>
              <w:t xml:space="preserve">- </w:t>
            </w:r>
            <w:r w:rsidRPr="004E451B">
              <w:rPr>
                <w:rFonts w:asciiTheme="majorHAnsi" w:eastAsia="Times New Roman" w:hAnsiTheme="majorHAnsi" w:cstheme="majorHAnsi"/>
                <w:color w:val="383B3F"/>
                <w:sz w:val="26"/>
                <w:szCs w:val="26"/>
                <w:rtl/>
              </w:rPr>
              <w:t>הנתונים הוכיחו שהמרחב משמש אוכלוסייה רבה, והיו בעלי כוח לשנות עמדות ולהביא תקציבים לאור הצורך</w:t>
            </w:r>
            <w:r w:rsidRPr="004E451B">
              <w:rPr>
                <w:rFonts w:asciiTheme="majorHAnsi" w:eastAsia="Times New Roman" w:hAnsiTheme="majorHAnsi" w:cstheme="majorHAnsi"/>
                <w:color w:val="383B3F"/>
                <w:sz w:val="26"/>
                <w:szCs w:val="26"/>
              </w:rPr>
              <w:t>.</w:t>
            </w:r>
          </w:p>
          <w:p w:rsidR="004E451B" w:rsidRPr="004E451B" w:rsidRDefault="004E451B" w:rsidP="004E451B">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Pr>
            </w:pPr>
            <w:r w:rsidRPr="004E451B">
              <w:rPr>
                <w:rFonts w:asciiTheme="majorHAnsi" w:eastAsia="Times New Roman" w:hAnsiTheme="majorHAnsi" w:cstheme="majorHAnsi"/>
                <w:b/>
                <w:bCs/>
                <w:color w:val="383B3F"/>
                <w:sz w:val="26"/>
                <w:szCs w:val="26"/>
                <w:rtl/>
              </w:rPr>
              <w:t>שיתוף תושבים לאורך התהליך כולו מחזק תחושת שייכות, אחריות ציבורית ומפחית השחתה</w:t>
            </w:r>
            <w:r w:rsidRPr="004E451B">
              <w:rPr>
                <w:rFonts w:asciiTheme="majorHAnsi" w:eastAsia="Times New Roman" w:hAnsiTheme="majorHAnsi" w:cstheme="majorHAnsi"/>
                <w:b/>
                <w:bCs/>
                <w:color w:val="383B3F"/>
                <w:sz w:val="26"/>
                <w:szCs w:val="26"/>
              </w:rPr>
              <w:t>. </w:t>
            </w:r>
            <w:r w:rsidRPr="004E451B">
              <w:rPr>
                <w:rFonts w:asciiTheme="majorHAnsi" w:eastAsia="Times New Roman" w:hAnsiTheme="majorHAnsi" w:cstheme="majorHAnsi"/>
                <w:color w:val="383B3F"/>
                <w:sz w:val="26"/>
                <w:szCs w:val="26"/>
                <w:rtl/>
              </w:rPr>
              <w:t xml:space="preserve">בחירת מענה </w:t>
            </w:r>
            <w:proofErr w:type="spellStart"/>
            <w:r w:rsidRPr="004E451B">
              <w:rPr>
                <w:rFonts w:asciiTheme="majorHAnsi" w:eastAsia="Times New Roman" w:hAnsiTheme="majorHAnsi" w:cstheme="majorHAnsi"/>
                <w:color w:val="383B3F"/>
                <w:sz w:val="26"/>
                <w:szCs w:val="26"/>
                <w:rtl/>
              </w:rPr>
              <w:t>מדוייק</w:t>
            </w:r>
            <w:proofErr w:type="spellEnd"/>
            <w:r w:rsidRPr="004E451B">
              <w:rPr>
                <w:rFonts w:asciiTheme="majorHAnsi" w:eastAsia="Times New Roman" w:hAnsiTheme="majorHAnsi" w:cstheme="majorHAnsi"/>
                <w:color w:val="383B3F"/>
                <w:sz w:val="26"/>
                <w:szCs w:val="26"/>
                <w:rtl/>
              </w:rPr>
              <w:t xml:space="preserve"> לקהילה מחבר ומגייס את התושבים</w:t>
            </w:r>
            <w:r w:rsidRPr="004E451B">
              <w:rPr>
                <w:rFonts w:asciiTheme="majorHAnsi" w:eastAsia="Times New Roman" w:hAnsiTheme="majorHAnsi" w:cstheme="majorHAnsi"/>
                <w:color w:val="383B3F"/>
                <w:sz w:val="26"/>
                <w:szCs w:val="26"/>
              </w:rPr>
              <w:t>.</w:t>
            </w:r>
          </w:p>
          <w:p w:rsidR="004165CA" w:rsidRPr="004E451B" w:rsidRDefault="004165CA" w:rsidP="004E451B">
            <w:pPr>
              <w:spacing w:before="100" w:beforeAutospacing="1" w:after="100" w:afterAutospacing="1"/>
              <w:textAlignment w:val="baseline"/>
              <w:rPr>
                <w:rFonts w:asciiTheme="majorHAnsi" w:eastAsia="Times New Roman" w:hAnsiTheme="majorHAnsi" w:cstheme="majorHAnsi"/>
                <w:color w:val="383B3F"/>
                <w:sz w:val="26"/>
                <w:szCs w:val="26"/>
                <w:rtl/>
              </w:rPr>
            </w:pP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D6DB7" w:rsidRDefault="004E451B" w:rsidP="00CD6DB7">
            <w:pPr>
              <w:rPr>
                <w:rFonts w:ascii="Calibri Light" w:hAnsi="Calibri Light" w:cs="Calibri Light" w:hint="cs"/>
                <w:sz w:val="26"/>
                <w:szCs w:val="26"/>
                <w:rtl/>
              </w:rPr>
            </w:pPr>
            <w:r>
              <w:rPr>
                <w:rFonts w:ascii="Calibri Light" w:hAnsi="Calibri Light" w:cs="Calibri Light" w:hint="cs"/>
                <w:sz w:val="26"/>
                <w:szCs w:val="26"/>
                <w:rtl/>
              </w:rPr>
              <w:t>חברה ערבית</w:t>
            </w:r>
          </w:p>
          <w:p w:rsidR="004E451B" w:rsidRDefault="004E451B" w:rsidP="00CD6DB7">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4E451B" w:rsidRDefault="004E451B" w:rsidP="00CD6DB7">
            <w:pPr>
              <w:rPr>
                <w:rFonts w:ascii="Calibri Light" w:hAnsi="Calibri Light" w:cs="Calibri Light" w:hint="cs"/>
                <w:sz w:val="26"/>
                <w:szCs w:val="26"/>
                <w:rtl/>
              </w:rPr>
            </w:pPr>
            <w:r>
              <w:rPr>
                <w:rFonts w:ascii="Calibri Light" w:hAnsi="Calibri Light" w:cs="Calibri Light" w:hint="cs"/>
                <w:sz w:val="26"/>
                <w:szCs w:val="26"/>
                <w:rtl/>
              </w:rPr>
              <w:t>משחקיות</w:t>
            </w:r>
          </w:p>
          <w:p w:rsidR="004E451B" w:rsidRDefault="004E451B" w:rsidP="00CD6DB7">
            <w:pPr>
              <w:rPr>
                <w:rFonts w:ascii="Calibri Light" w:hAnsi="Calibri Light" w:cs="Calibri Light" w:hint="cs"/>
                <w:sz w:val="26"/>
                <w:szCs w:val="26"/>
                <w:rtl/>
              </w:rPr>
            </w:pPr>
            <w:r>
              <w:rPr>
                <w:rFonts w:ascii="Calibri Light" w:hAnsi="Calibri Light" w:cs="Calibri Light" w:hint="cs"/>
                <w:sz w:val="26"/>
                <w:szCs w:val="26"/>
                <w:rtl/>
              </w:rPr>
              <w:t>קשר הורה ילד</w:t>
            </w:r>
          </w:p>
          <w:p w:rsidR="004E451B" w:rsidRDefault="004E451B" w:rsidP="00CD6DB7">
            <w:pPr>
              <w:rPr>
                <w:rFonts w:ascii="Calibri Light" w:hAnsi="Calibri Light" w:cs="Calibri Light" w:hint="cs"/>
                <w:sz w:val="26"/>
                <w:szCs w:val="26"/>
                <w:rtl/>
              </w:rPr>
            </w:pPr>
            <w:r>
              <w:rPr>
                <w:rFonts w:ascii="Calibri Light" w:hAnsi="Calibri Light" w:cs="Calibri Light" w:hint="cs"/>
                <w:sz w:val="26"/>
                <w:szCs w:val="26"/>
                <w:rtl/>
              </w:rPr>
              <w:t>שיתוף ציבור</w:t>
            </w:r>
          </w:p>
          <w:p w:rsidR="004E451B" w:rsidRDefault="004E451B" w:rsidP="00CD6DB7">
            <w:pPr>
              <w:rPr>
                <w:rFonts w:ascii="Calibri Light" w:hAnsi="Calibri Light" w:cs="Calibri Light" w:hint="cs"/>
                <w:sz w:val="26"/>
                <w:szCs w:val="26"/>
                <w:rtl/>
              </w:rPr>
            </w:pPr>
            <w:r>
              <w:rPr>
                <w:rFonts w:ascii="Calibri Light" w:hAnsi="Calibri Light" w:cs="Calibri Light" w:hint="cs"/>
                <w:sz w:val="26"/>
                <w:szCs w:val="26"/>
                <w:rtl/>
              </w:rPr>
              <w:t>תכנון</w:t>
            </w:r>
          </w:p>
          <w:p w:rsidR="004E451B" w:rsidRPr="00B56768" w:rsidRDefault="004E451B" w:rsidP="00CD6DB7">
            <w:pPr>
              <w:rPr>
                <w:rFonts w:ascii="Calibri Light" w:hAnsi="Calibri Light" w:cs="Calibri Light"/>
                <w:sz w:val="26"/>
                <w:szCs w:val="26"/>
                <w:rtl/>
              </w:rPr>
            </w:pPr>
            <w:r>
              <w:rPr>
                <w:rFonts w:ascii="Calibri Light" w:hAnsi="Calibri Light" w:cs="Calibri Light" w:hint="cs"/>
                <w:sz w:val="26"/>
                <w:szCs w:val="26"/>
                <w:rtl/>
              </w:rPr>
              <w:t>תשתית עירונית</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B56768" w:rsidRDefault="004E451B" w:rsidP="00CA407B">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CA407B" w:rsidRDefault="00CA407B" w:rsidP="00CA407B">
            <w:pPr>
              <w:rPr>
                <w:rtl/>
              </w:rPr>
            </w:pPr>
          </w:p>
        </w:tc>
      </w:tr>
      <w:tr w:rsidR="00DE7985" w:rsidTr="00507681">
        <w:tc>
          <w:tcPr>
            <w:tcW w:w="1640" w:type="dxa"/>
            <w:vMerge w:val="restart"/>
          </w:tcPr>
          <w:p w:rsidR="00DE7985" w:rsidRPr="006C05D1" w:rsidRDefault="00DE7985" w:rsidP="00CA407B">
            <w:pPr>
              <w:rPr>
                <w:rFonts w:ascii="Calibri Light" w:hAnsi="Calibri Light" w:cs="Calibri Light" w:hint="cs"/>
                <w:b/>
                <w:bCs/>
                <w:sz w:val="26"/>
                <w:szCs w:val="26"/>
                <w:highlight w:val="cyan"/>
                <w:rtl/>
              </w:rPr>
            </w:pPr>
            <w:r w:rsidRPr="006C05D1">
              <w:rPr>
                <w:rFonts w:ascii="Calibri Light" w:hAnsi="Calibri Light" w:cs="Calibri Light" w:hint="cs"/>
                <w:b/>
                <w:bCs/>
                <w:sz w:val="26"/>
                <w:szCs w:val="26"/>
                <w:highlight w:val="cyan"/>
                <w:rtl/>
              </w:rPr>
              <w:t>תיאור (תמונות)</w:t>
            </w:r>
          </w:p>
        </w:tc>
        <w:tc>
          <w:tcPr>
            <w:tcW w:w="3978" w:type="dxa"/>
          </w:tcPr>
          <w:p w:rsidR="00DE7985" w:rsidRDefault="00DE7985" w:rsidP="00CA407B">
            <w:pPr>
              <w:rPr>
                <w:rFonts w:ascii="Calibri Light" w:hAnsi="Calibri Light" w:cs="Calibri Light" w:hint="cs"/>
                <w:sz w:val="26"/>
                <w:szCs w:val="26"/>
                <w:rtl/>
              </w:rPr>
            </w:pPr>
            <w:r>
              <w:rPr>
                <w:rFonts w:ascii="Calibri Light" w:hAnsi="Calibri Light" w:cs="Calibri Light" w:hint="cs"/>
                <w:sz w:val="26"/>
                <w:szCs w:val="26"/>
                <w:rtl/>
              </w:rPr>
              <w:t>גן השניים לפני השיפוץ (צילום: שני לויה)</w:t>
            </w:r>
          </w:p>
        </w:tc>
        <w:tc>
          <w:tcPr>
            <w:tcW w:w="5057" w:type="dxa"/>
          </w:tcPr>
          <w:p w:rsidR="00DE7985" w:rsidRDefault="00DE7985" w:rsidP="00CA407B">
            <w:pPr>
              <w:rPr>
                <w:rtl/>
              </w:rPr>
            </w:pPr>
          </w:p>
        </w:tc>
      </w:tr>
      <w:tr w:rsidR="00DE7985" w:rsidTr="00507681">
        <w:tc>
          <w:tcPr>
            <w:tcW w:w="1640" w:type="dxa"/>
            <w:vMerge/>
          </w:tcPr>
          <w:p w:rsidR="00DE7985" w:rsidRDefault="00DE7985" w:rsidP="00CA407B">
            <w:pPr>
              <w:rPr>
                <w:rFonts w:ascii="Calibri Light" w:hAnsi="Calibri Light" w:cs="Calibri Light" w:hint="cs"/>
                <w:b/>
                <w:bCs/>
                <w:sz w:val="26"/>
                <w:szCs w:val="26"/>
                <w:highlight w:val="cyan"/>
                <w:rtl/>
              </w:rPr>
            </w:pPr>
          </w:p>
        </w:tc>
        <w:tc>
          <w:tcPr>
            <w:tcW w:w="3978" w:type="dxa"/>
          </w:tcPr>
          <w:p w:rsidR="00DE7985" w:rsidRDefault="00DE7985" w:rsidP="00DE7985">
            <w:pPr>
              <w:rPr>
                <w:rFonts w:ascii="Calibri Light" w:hAnsi="Calibri Light" w:cs="Calibri Light" w:hint="cs"/>
                <w:sz w:val="26"/>
                <w:szCs w:val="26"/>
                <w:rtl/>
              </w:rPr>
            </w:pPr>
            <w:r>
              <w:rPr>
                <w:rFonts w:ascii="Calibri Light" w:hAnsi="Calibri Light" w:cs="Calibri Light" w:hint="cs"/>
                <w:sz w:val="26"/>
                <w:szCs w:val="26"/>
                <w:rtl/>
              </w:rPr>
              <w:t xml:space="preserve">גן השניים </w:t>
            </w:r>
            <w:r>
              <w:rPr>
                <w:rFonts w:ascii="Calibri Light" w:hAnsi="Calibri Light" w:cs="Calibri Light" w:hint="cs"/>
                <w:sz w:val="26"/>
                <w:szCs w:val="26"/>
                <w:rtl/>
              </w:rPr>
              <w:t>אחרי</w:t>
            </w:r>
            <w:r>
              <w:rPr>
                <w:rFonts w:ascii="Calibri Light" w:hAnsi="Calibri Light" w:cs="Calibri Light" w:hint="cs"/>
                <w:sz w:val="26"/>
                <w:szCs w:val="26"/>
                <w:rtl/>
              </w:rPr>
              <w:t xml:space="preserve"> השיפוץ</w:t>
            </w:r>
            <w:r>
              <w:rPr>
                <w:rFonts w:ascii="Calibri Light" w:hAnsi="Calibri Light" w:cs="Calibri Light" w:hint="cs"/>
                <w:sz w:val="26"/>
                <w:szCs w:val="26"/>
                <w:rtl/>
              </w:rPr>
              <w:t xml:space="preserve"> (צילום: אילן </w:t>
            </w:r>
            <w:proofErr w:type="spellStart"/>
            <w:r>
              <w:rPr>
                <w:rFonts w:ascii="Calibri Light" w:hAnsi="Calibri Light" w:cs="Calibri Light" w:hint="cs"/>
                <w:sz w:val="26"/>
                <w:szCs w:val="26"/>
                <w:rtl/>
              </w:rPr>
              <w:t>ספירא</w:t>
            </w:r>
            <w:proofErr w:type="spellEnd"/>
            <w:r>
              <w:rPr>
                <w:rFonts w:ascii="Calibri Light" w:hAnsi="Calibri Light" w:cs="Calibri Light" w:hint="cs"/>
                <w:sz w:val="26"/>
                <w:szCs w:val="26"/>
                <w:rtl/>
              </w:rPr>
              <w:t>)</w:t>
            </w:r>
          </w:p>
        </w:tc>
        <w:tc>
          <w:tcPr>
            <w:tcW w:w="5057" w:type="dxa"/>
          </w:tcPr>
          <w:p w:rsidR="00DE7985" w:rsidRDefault="00DE7985" w:rsidP="00CA407B">
            <w:pPr>
              <w:rPr>
                <w:rtl/>
              </w:rPr>
            </w:pPr>
          </w:p>
        </w:tc>
      </w:tr>
      <w:tr w:rsidR="00DE7985" w:rsidTr="00507681">
        <w:tc>
          <w:tcPr>
            <w:tcW w:w="1640" w:type="dxa"/>
            <w:vMerge/>
          </w:tcPr>
          <w:p w:rsidR="00DE7985" w:rsidRDefault="00DE7985" w:rsidP="00CA407B">
            <w:pPr>
              <w:rPr>
                <w:rFonts w:ascii="Calibri Light" w:hAnsi="Calibri Light" w:cs="Calibri Light" w:hint="cs"/>
                <w:b/>
                <w:bCs/>
                <w:sz w:val="26"/>
                <w:szCs w:val="26"/>
                <w:highlight w:val="cyan"/>
                <w:rtl/>
              </w:rPr>
            </w:pPr>
          </w:p>
        </w:tc>
        <w:tc>
          <w:tcPr>
            <w:tcW w:w="3978" w:type="dxa"/>
          </w:tcPr>
          <w:p w:rsidR="00DE7985" w:rsidRDefault="00DE7985" w:rsidP="00CA407B">
            <w:pPr>
              <w:rPr>
                <w:rFonts w:ascii="Calibri Light" w:hAnsi="Calibri Light" w:cs="Calibri Light" w:hint="cs"/>
                <w:sz w:val="26"/>
                <w:szCs w:val="26"/>
                <w:rtl/>
              </w:rPr>
            </w:pPr>
            <w:r>
              <w:rPr>
                <w:rFonts w:ascii="Calibri Light" w:hAnsi="Calibri Light" w:cs="Calibri Light" w:hint="cs"/>
                <w:sz w:val="26"/>
                <w:szCs w:val="26"/>
                <w:rtl/>
              </w:rPr>
              <w:t>אירוע שיתוף ציבור</w:t>
            </w:r>
            <w:bookmarkStart w:id="0" w:name="_GoBack"/>
            <w:bookmarkEnd w:id="0"/>
          </w:p>
        </w:tc>
        <w:tc>
          <w:tcPr>
            <w:tcW w:w="5057" w:type="dxa"/>
          </w:tcPr>
          <w:p w:rsidR="00DE7985" w:rsidRDefault="00DE7985"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C0F17"/>
    <w:multiLevelType w:val="hybridMultilevel"/>
    <w:tmpl w:val="1DB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15"/>
  </w:num>
  <w:num w:numId="4">
    <w:abstractNumId w:val="2"/>
  </w:num>
  <w:num w:numId="5">
    <w:abstractNumId w:val="9"/>
  </w:num>
  <w:num w:numId="6">
    <w:abstractNumId w:val="8"/>
  </w:num>
  <w:num w:numId="7">
    <w:abstractNumId w:val="11"/>
  </w:num>
  <w:num w:numId="8">
    <w:abstractNumId w:val="7"/>
  </w:num>
  <w:num w:numId="9">
    <w:abstractNumId w:val="14"/>
  </w:num>
  <w:num w:numId="10">
    <w:abstractNumId w:val="4"/>
  </w:num>
  <w:num w:numId="11">
    <w:abstractNumId w:val="13"/>
  </w:num>
  <w:num w:numId="12">
    <w:abstractNumId w:val="3"/>
  </w:num>
  <w:num w:numId="13">
    <w:abstractNumId w:val="0"/>
  </w:num>
  <w:num w:numId="14">
    <w:abstractNumId w:val="10"/>
  </w:num>
  <w:num w:numId="15">
    <w:abstractNumId w:val="12"/>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4E451B"/>
    <w:rsid w:val="00507681"/>
    <w:rsid w:val="008053A8"/>
    <w:rsid w:val="00883A96"/>
    <w:rsid w:val="008D3BC3"/>
    <w:rsid w:val="00BF10F1"/>
    <w:rsid w:val="00CA407B"/>
    <w:rsid w:val="00CD6DB7"/>
    <w:rsid w:val="00CF007E"/>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8A3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557623632">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1196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497</Words>
  <Characters>2488</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4</cp:revision>
  <dcterms:created xsi:type="dcterms:W3CDTF">2024-10-07T11:06:00Z</dcterms:created>
  <dcterms:modified xsi:type="dcterms:W3CDTF">2024-10-07T11:16:00Z</dcterms:modified>
</cp:coreProperties>
</file>