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731"/>
        <w:gridCol w:w="3262"/>
        <w:gridCol w:w="4028"/>
        <w:gridCol w:w="1435"/>
      </w:tblGrid>
      <w:tr w:rsidR="00B45F56" w14:paraId="4299D40A" w14:textId="77777777" w:rsidTr="00B45F56">
        <w:trPr>
          <w:trHeight w:val="557"/>
        </w:trPr>
        <w:tc>
          <w:tcPr>
            <w:tcW w:w="828" w:type="pct"/>
          </w:tcPr>
          <w:p w14:paraId="06DF3B16" w14:textId="77777777" w:rsidR="00B45F56" w:rsidRPr="00E41CFF" w:rsidRDefault="00B45F56" w:rsidP="00B45F56">
            <w:pPr>
              <w:jc w:val="center"/>
              <w:rPr>
                <w:rFonts w:hint="cs"/>
                <w:highlight w:val="yellow"/>
                <w:lang w:val="en"/>
              </w:rPr>
            </w:pPr>
          </w:p>
        </w:tc>
        <w:tc>
          <w:tcPr>
            <w:tcW w:w="1560" w:type="pct"/>
          </w:tcPr>
          <w:p w14:paraId="3CEA5CEF" w14:textId="608E79BD" w:rsidR="00B45F56" w:rsidRPr="00E41CFF" w:rsidRDefault="00B45F56" w:rsidP="00B45F56">
            <w:pPr>
              <w:jc w:val="center"/>
              <w:rPr>
                <w:rFonts w:hint="cs"/>
                <w:highlight w:val="yellow"/>
                <w:lang w:val="en"/>
              </w:rPr>
            </w:pPr>
            <w:r w:rsidRPr="00E41CFF">
              <w:rPr>
                <w:rFonts w:hint="cs"/>
                <w:highlight w:val="yellow"/>
                <w:rtl/>
              </w:rPr>
              <w:t>טקסט לתרגום</w:t>
            </w:r>
          </w:p>
        </w:tc>
        <w:tc>
          <w:tcPr>
            <w:tcW w:w="1926" w:type="pct"/>
          </w:tcPr>
          <w:p w14:paraId="4299D408" w14:textId="344CF1A6" w:rsidR="00B45F56" w:rsidRDefault="00B45F56" w:rsidP="00B45F56">
            <w:pPr>
              <w:bidi w:val="0"/>
              <w:jc w:val="center"/>
              <w:rPr>
                <w:rtl/>
              </w:rPr>
            </w:pPr>
            <w:r w:rsidRPr="00E41CFF">
              <w:rPr>
                <w:rFonts w:hint="cs"/>
                <w:highlight w:val="yellow"/>
                <w:lang w:val="en"/>
              </w:rPr>
              <w:t>text to translate</w:t>
            </w:r>
          </w:p>
        </w:tc>
        <w:tc>
          <w:tcPr>
            <w:tcW w:w="686" w:type="pct"/>
          </w:tcPr>
          <w:p w14:paraId="124C7F60" w14:textId="77777777" w:rsidR="00B45F56" w:rsidRPr="006D41D8" w:rsidRDefault="00B45F56" w:rsidP="00B45F56">
            <w:pPr>
              <w:bidi w:val="0"/>
              <w:jc w:val="center"/>
              <w:rPr>
                <w:rFonts w:hint="cs"/>
                <w:highlight w:val="yellow"/>
                <w:lang w:val="en"/>
              </w:rPr>
            </w:pPr>
          </w:p>
        </w:tc>
      </w:tr>
      <w:tr w:rsidR="00B45F56" w14:paraId="4299D40F" w14:textId="77777777" w:rsidTr="00B45F56">
        <w:tc>
          <w:tcPr>
            <w:tcW w:w="828" w:type="pct"/>
          </w:tcPr>
          <w:p w14:paraId="54E134C1" w14:textId="77777777" w:rsidR="00B45F56" w:rsidRPr="00E41CFF" w:rsidRDefault="00B45F56" w:rsidP="00B45F56">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6A25EA52" w14:textId="77777777" w:rsidR="00B45F56" w:rsidRDefault="00B45F56" w:rsidP="00B45F56">
            <w:pPr>
              <w:rPr>
                <w:rFonts w:asciiTheme="majorHAnsi" w:hAnsiTheme="majorHAnsi" w:cstheme="majorHAnsi" w:hint="cs"/>
                <w:b/>
                <w:bCs/>
                <w:sz w:val="26"/>
                <w:szCs w:val="26"/>
                <w:lang w:val="en"/>
              </w:rPr>
            </w:pPr>
          </w:p>
        </w:tc>
        <w:tc>
          <w:tcPr>
            <w:tcW w:w="1560" w:type="pct"/>
          </w:tcPr>
          <w:p w14:paraId="4B9B31FE" w14:textId="5EB1BBEF" w:rsidR="00B45F56" w:rsidRDefault="00B45F56" w:rsidP="00B45F56">
            <w:pPr>
              <w:rPr>
                <w:rFonts w:asciiTheme="majorHAnsi" w:hAnsiTheme="majorHAnsi" w:cstheme="majorHAnsi" w:hint="cs"/>
                <w:b/>
                <w:bCs/>
                <w:sz w:val="26"/>
                <w:szCs w:val="26"/>
                <w:lang w:val="en"/>
              </w:rPr>
            </w:pPr>
            <w:r>
              <w:rPr>
                <w:rFonts w:asciiTheme="majorHAnsi" w:hAnsiTheme="majorHAnsi" w:cstheme="majorHAnsi" w:hint="cs"/>
                <w:b/>
                <w:bCs/>
                <w:sz w:val="26"/>
                <w:szCs w:val="26"/>
                <w:rtl/>
              </w:rPr>
              <w:t>כנסים עירוניים</w:t>
            </w:r>
          </w:p>
        </w:tc>
        <w:tc>
          <w:tcPr>
            <w:tcW w:w="1926" w:type="pct"/>
          </w:tcPr>
          <w:p w14:paraId="4299D40D" w14:textId="5635D47F" w:rsidR="00B45F56" w:rsidRPr="00BC5729" w:rsidRDefault="00B45F56" w:rsidP="00B45F56">
            <w:pPr>
              <w:bidi w:val="0"/>
              <w:rPr>
                <w:rFonts w:asciiTheme="majorHAnsi" w:hAnsiTheme="majorHAnsi" w:cstheme="majorHAnsi"/>
                <w:b/>
                <w:bCs/>
                <w:sz w:val="26"/>
                <w:szCs w:val="26"/>
                <w:rtl/>
              </w:rPr>
            </w:pPr>
            <w:r>
              <w:rPr>
                <w:rFonts w:asciiTheme="majorHAnsi" w:hAnsiTheme="majorHAnsi" w:cstheme="majorHAnsi" w:hint="cs"/>
                <w:b/>
                <w:bCs/>
                <w:sz w:val="26"/>
                <w:szCs w:val="26"/>
                <w:lang w:val="en"/>
              </w:rPr>
              <w:t>Municipal conferences</w:t>
            </w:r>
          </w:p>
        </w:tc>
        <w:tc>
          <w:tcPr>
            <w:tcW w:w="686" w:type="pct"/>
          </w:tcPr>
          <w:p w14:paraId="41683F27" w14:textId="77777777" w:rsidR="00B45F56" w:rsidRPr="00E41CFF" w:rsidRDefault="00B45F56" w:rsidP="00B45F56">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508BEA6A" w14:textId="77777777" w:rsidR="00B45F56" w:rsidRDefault="00B45F56" w:rsidP="00B45F56">
            <w:pPr>
              <w:bidi w:val="0"/>
              <w:rPr>
                <w:rtl/>
              </w:rPr>
            </w:pPr>
          </w:p>
        </w:tc>
      </w:tr>
      <w:tr w:rsidR="00B45F56" w14:paraId="4299D413" w14:textId="77777777" w:rsidTr="00B45F56">
        <w:tc>
          <w:tcPr>
            <w:tcW w:w="828" w:type="pct"/>
          </w:tcPr>
          <w:p w14:paraId="286C9E06" w14:textId="6383A846" w:rsidR="00B45F56" w:rsidRPr="003E46B8" w:rsidRDefault="00B45F56" w:rsidP="00B45F56">
            <w:pPr>
              <w:rPr>
                <w:rFonts w:asciiTheme="majorHAnsi" w:hAnsiTheme="majorHAnsi" w:cs="Calibri Light"/>
                <w:b/>
                <w:bCs/>
                <w:sz w:val="27"/>
                <w:szCs w:val="27"/>
                <w:lang w:val="en"/>
              </w:rPr>
            </w:pPr>
            <w:r w:rsidRPr="00E41CFF">
              <w:rPr>
                <w:rFonts w:asciiTheme="majorHAnsi" w:hAnsiTheme="majorHAnsi" w:cs="Calibri Light" w:hint="cs"/>
                <w:b/>
                <w:bCs/>
                <w:sz w:val="27"/>
                <w:szCs w:val="27"/>
                <w:highlight w:val="cyan"/>
                <w:rtl/>
              </w:rPr>
              <w:t>תת כותרת</w:t>
            </w:r>
          </w:p>
        </w:tc>
        <w:tc>
          <w:tcPr>
            <w:tcW w:w="1560" w:type="pct"/>
          </w:tcPr>
          <w:p w14:paraId="69F7269E" w14:textId="4CDB6736" w:rsidR="00B45F56" w:rsidRPr="003E46B8" w:rsidRDefault="00B45F56" w:rsidP="00B45F56">
            <w:pPr>
              <w:rPr>
                <w:rFonts w:asciiTheme="majorHAnsi" w:hAnsiTheme="majorHAnsi" w:cs="Calibri Light"/>
                <w:b/>
                <w:bCs/>
                <w:sz w:val="27"/>
                <w:szCs w:val="27"/>
                <w:lang w:val="en"/>
              </w:rPr>
            </w:pPr>
            <w:r w:rsidRPr="003E46B8">
              <w:rPr>
                <w:rFonts w:asciiTheme="majorHAnsi" w:hAnsiTheme="majorHAnsi" w:cs="Calibri Light"/>
                <w:b/>
                <w:bCs/>
                <w:sz w:val="27"/>
                <w:szCs w:val="27"/>
                <w:rtl/>
              </w:rPr>
              <w:t xml:space="preserve">כנסים עירוניים מקצועיים בהובלת </w:t>
            </w:r>
            <w:proofErr w:type="spellStart"/>
            <w:r w:rsidRPr="003E46B8">
              <w:rPr>
                <w:rFonts w:asciiTheme="majorHAnsi" w:hAnsiTheme="majorHAnsi" w:cs="Calibri Light"/>
                <w:b/>
                <w:bCs/>
                <w:sz w:val="27"/>
                <w:szCs w:val="27"/>
                <w:rtl/>
              </w:rPr>
              <w:t>אורבן95</w:t>
            </w:r>
            <w:proofErr w:type="spellEnd"/>
            <w:r w:rsidRPr="003E46B8">
              <w:rPr>
                <w:rFonts w:asciiTheme="majorHAnsi" w:hAnsiTheme="majorHAnsi" w:cs="Calibri Light"/>
                <w:b/>
                <w:bCs/>
                <w:sz w:val="27"/>
                <w:szCs w:val="27"/>
                <w:rtl/>
              </w:rPr>
              <w:t>, שמטרתם לבסס ידע משותף, לפתח כלים ומיומנויות ולעודד שיתופי פעולה חוצי מחלקות עירוניות. באמצעות אירועי השיא הללו אנו שואפות להביא לקדמת הבמה את נושא הגיל הרך והחיבור משמעותי שלו לתכנון וניהול עירוני, לעורר השראה, להעצים את הגופים העירוניים לפעולה ולהניע יוזמות חדשניות בתל אביב-יפו.</w:t>
            </w:r>
          </w:p>
        </w:tc>
        <w:tc>
          <w:tcPr>
            <w:tcW w:w="1926" w:type="pct"/>
          </w:tcPr>
          <w:p w14:paraId="4299D411" w14:textId="357D7134" w:rsidR="00B45F56" w:rsidRPr="003E46B8" w:rsidRDefault="00B45F56" w:rsidP="00B45F56">
            <w:pPr>
              <w:bidi w:val="0"/>
              <w:rPr>
                <w:rFonts w:asciiTheme="majorHAnsi" w:hAnsiTheme="majorHAnsi" w:cstheme="majorHAnsi"/>
                <w:b/>
                <w:bCs/>
                <w:sz w:val="27"/>
                <w:szCs w:val="27"/>
                <w:rtl/>
              </w:rPr>
            </w:pPr>
            <w:r w:rsidRPr="003E46B8">
              <w:rPr>
                <w:rFonts w:asciiTheme="majorHAnsi" w:hAnsiTheme="majorHAnsi" w:cs="Calibri Light"/>
                <w:b/>
                <w:bCs/>
                <w:sz w:val="27"/>
                <w:szCs w:val="27"/>
                <w:lang w:val="en"/>
              </w:rPr>
              <w:t>Professional urban conferences led by Urban95, whose aim is to establish common knowledge, develop tools and skills and encourage collaborations across municipal departments. Through these peak events, we aim to bring to the fore the issue of early childhood and its significant connection to urban planning and management, to inspire, empower the municipal bodies to act and drive innovative initiatives in Tel Aviv-Yafo.</w:t>
            </w:r>
          </w:p>
        </w:tc>
        <w:tc>
          <w:tcPr>
            <w:tcW w:w="686" w:type="pct"/>
          </w:tcPr>
          <w:p w14:paraId="3B220EC4" w14:textId="574BA14B" w:rsidR="00B45F56" w:rsidRDefault="00B45F56" w:rsidP="00B45F56">
            <w:pPr>
              <w:bidi w:val="0"/>
            </w:pPr>
            <w:r w:rsidRPr="00E41CFF">
              <w:rPr>
                <w:rFonts w:asciiTheme="majorHAnsi" w:hAnsiTheme="majorHAnsi" w:cs="Calibri Light" w:hint="cs"/>
                <w:b/>
                <w:bCs/>
                <w:sz w:val="27"/>
                <w:szCs w:val="27"/>
                <w:highlight w:val="cyan"/>
                <w:lang w:val="en"/>
              </w:rPr>
              <w:t>subtitle</w:t>
            </w:r>
          </w:p>
        </w:tc>
      </w:tr>
      <w:tr w:rsidR="00B45F56" w14:paraId="4299D417" w14:textId="77777777" w:rsidTr="00B45F56">
        <w:tc>
          <w:tcPr>
            <w:tcW w:w="828" w:type="pct"/>
          </w:tcPr>
          <w:p w14:paraId="038D16BC" w14:textId="18135E08" w:rsidR="00B45F56" w:rsidRPr="003E46B8" w:rsidRDefault="00B45F56" w:rsidP="00B45F56">
            <w:pPr>
              <w:rPr>
                <w:rFonts w:asciiTheme="majorHAnsi" w:hAnsiTheme="majorHAnsi" w:cs="Calibri Light"/>
                <w:sz w:val="26"/>
                <w:szCs w:val="26"/>
                <w:lang w:val="en"/>
              </w:rPr>
            </w:pPr>
            <w:r w:rsidRPr="00E41CFF">
              <w:rPr>
                <w:rFonts w:asciiTheme="majorHAnsi" w:hAnsiTheme="majorHAnsi" w:cs="Calibri Light" w:hint="cs"/>
                <w:b/>
                <w:bCs/>
                <w:sz w:val="27"/>
                <w:szCs w:val="27"/>
                <w:highlight w:val="cyan"/>
                <w:rtl/>
              </w:rPr>
              <w:t>תיאור הפרויקט</w:t>
            </w:r>
          </w:p>
        </w:tc>
        <w:tc>
          <w:tcPr>
            <w:tcW w:w="1560" w:type="pct"/>
          </w:tcPr>
          <w:p w14:paraId="56ADEAE2" w14:textId="3A0B2376" w:rsidR="00B45F56" w:rsidRPr="003E46B8" w:rsidRDefault="00B45F56" w:rsidP="00B45F56">
            <w:pPr>
              <w:rPr>
                <w:rFonts w:asciiTheme="majorHAnsi" w:hAnsiTheme="majorHAnsi" w:cs="Calibri Light"/>
                <w:sz w:val="26"/>
                <w:szCs w:val="26"/>
                <w:lang w:val="en"/>
              </w:rPr>
            </w:pPr>
            <w:r w:rsidRPr="003E46B8">
              <w:rPr>
                <w:rFonts w:asciiTheme="majorHAnsi" w:hAnsiTheme="majorHAnsi" w:cs="Calibri Light"/>
                <w:sz w:val="26"/>
                <w:szCs w:val="26"/>
                <w:rtl/>
              </w:rPr>
              <w:t xml:space="preserve">יצירת מרחב המיטיב עם תינוקות, פעוטות והמלווים שלהם אתגר עירוני משמעותי. ההתמודדות עם אתגר זה מתאפשרת בזכות שיתוף פעולה עמוק ואיכותי של גורמים עירוניים מגוונים, ואינה מסתמכת על צוות או מחלקה יחידים. בסיס ידע איכותי, היכרות הדדית ועבודה משותפת מהווים מפתח לשיפור השירותים העירוניים בתחום הגיל הרך. לכן, </w:t>
            </w:r>
            <w:proofErr w:type="spellStart"/>
            <w:r w:rsidRPr="003E46B8">
              <w:rPr>
                <w:rFonts w:asciiTheme="majorHAnsi" w:hAnsiTheme="majorHAnsi" w:cs="Calibri Light"/>
                <w:sz w:val="26"/>
                <w:szCs w:val="26"/>
                <w:rtl/>
              </w:rPr>
              <w:t>באורבן95</w:t>
            </w:r>
            <w:proofErr w:type="spellEnd"/>
            <w:r w:rsidRPr="003E46B8">
              <w:rPr>
                <w:rFonts w:asciiTheme="majorHAnsi" w:hAnsiTheme="majorHAnsi" w:cs="Calibri Light"/>
                <w:sz w:val="26"/>
                <w:szCs w:val="26"/>
                <w:rtl/>
              </w:rPr>
              <w:t xml:space="preserve"> אנו מקדישות משאבים רבים לביסוס גוף ידע מקצועי, מקיף ומתפתח, האמון על הנגשת הידע בתחום הגיל הרך למגוון רחב של שותפים עירוניים, יצירת סביבה תומכת לחשיבה יצירתית ויזמות, ובכך לעודד פיתוח מענים מגוונים לרווחת הפעוטות תושבי העיר ובני משפחותיהם. על מנת לתמוך בתהליכים הללו, קיימנו כנסים עירוניים עשירים, הפונים למגוון גורמים וצוותים מקצועיים העובדים בעיריית תל אביב-יפו.</w:t>
            </w:r>
          </w:p>
        </w:tc>
        <w:tc>
          <w:tcPr>
            <w:tcW w:w="1926" w:type="pct"/>
          </w:tcPr>
          <w:p w14:paraId="4299D415" w14:textId="2A366352" w:rsidR="00B45F56" w:rsidRPr="00B2576A" w:rsidRDefault="00B45F56" w:rsidP="00B45F56">
            <w:pPr>
              <w:bidi w:val="0"/>
              <w:rPr>
                <w:rFonts w:asciiTheme="majorHAnsi" w:hAnsiTheme="majorHAnsi" w:cstheme="majorHAnsi"/>
                <w:sz w:val="26"/>
                <w:szCs w:val="26"/>
                <w:rtl/>
              </w:rPr>
            </w:pPr>
            <w:r w:rsidRPr="003E46B8">
              <w:rPr>
                <w:rFonts w:asciiTheme="majorHAnsi" w:hAnsiTheme="majorHAnsi" w:cs="Calibri Light"/>
                <w:sz w:val="26"/>
                <w:szCs w:val="26"/>
                <w:lang w:val="en"/>
              </w:rPr>
              <w:t xml:space="preserve">Creating a space that benefits babies, toddlers and their companions is a significant urban challenge. Dealing with this challenge is made possible thanks to a deep and high-quality cooperation of various municipal parties, and does not rely on a single team or department. A quality knowledge base, mutual acquaintance and joint work are key to improving municipal services in the field of early childhood. Therefore, at Urban95 we are devoting many resources to establishing a professional, comprehensive and developing body of knowledge, which is committed to making knowledge in the field of early childhood accessible to a wide variety of urban partners, creating a supportive environment for creative thinking and entrepreneurship, thus encouraging the development of diverse solutions for the well-being of the city's toddlers and their families. In order to support these processes, we held rich municipal conferences, which address a </w:t>
            </w:r>
            <w:r w:rsidRPr="003E46B8">
              <w:rPr>
                <w:rFonts w:asciiTheme="majorHAnsi" w:hAnsiTheme="majorHAnsi" w:cs="Calibri Light"/>
                <w:sz w:val="26"/>
                <w:szCs w:val="26"/>
                <w:lang w:val="en"/>
              </w:rPr>
              <w:lastRenderedPageBreak/>
              <w:t>variety of parties and professional teams working in the municipality of Tel Aviv-Yafo.</w:t>
            </w:r>
          </w:p>
        </w:tc>
        <w:tc>
          <w:tcPr>
            <w:tcW w:w="686" w:type="pct"/>
          </w:tcPr>
          <w:p w14:paraId="408D6079" w14:textId="0B77AA31" w:rsidR="00B45F56" w:rsidRDefault="00B45F56" w:rsidP="00B45F56">
            <w:pPr>
              <w:bidi w:val="0"/>
              <w:rPr>
                <w:rtl/>
              </w:rPr>
            </w:pPr>
            <w:r w:rsidRPr="00E41CFF">
              <w:rPr>
                <w:rFonts w:asciiTheme="majorHAnsi" w:hAnsiTheme="majorHAnsi" w:cs="Calibri Light" w:hint="cs"/>
                <w:b/>
                <w:bCs/>
                <w:sz w:val="27"/>
                <w:szCs w:val="27"/>
                <w:highlight w:val="cyan"/>
                <w:lang w:val="en"/>
              </w:rPr>
              <w:lastRenderedPageBreak/>
              <w:t>Project description</w:t>
            </w:r>
          </w:p>
        </w:tc>
      </w:tr>
      <w:tr w:rsidR="00B45F56" w14:paraId="4299D41B" w14:textId="77777777" w:rsidTr="00B45F56">
        <w:tc>
          <w:tcPr>
            <w:tcW w:w="828" w:type="pct"/>
          </w:tcPr>
          <w:p w14:paraId="0C344100" w14:textId="77777777" w:rsidR="00B45F56" w:rsidRPr="003E46B8" w:rsidRDefault="00B45F56" w:rsidP="00B45F56">
            <w:pPr>
              <w:rPr>
                <w:rFonts w:asciiTheme="majorHAnsi" w:hAnsiTheme="majorHAnsi" w:cs="Calibri Light"/>
                <w:b/>
                <w:bCs/>
                <w:sz w:val="26"/>
                <w:szCs w:val="26"/>
                <w:lang w:val="en"/>
              </w:rPr>
            </w:pPr>
          </w:p>
        </w:tc>
        <w:tc>
          <w:tcPr>
            <w:tcW w:w="1560" w:type="pct"/>
          </w:tcPr>
          <w:p w14:paraId="4BAE49CF" w14:textId="585C3571" w:rsidR="00B45F56" w:rsidRPr="003E46B8" w:rsidRDefault="00B45F56" w:rsidP="00B45F56">
            <w:pPr>
              <w:rPr>
                <w:rFonts w:asciiTheme="majorHAnsi" w:hAnsiTheme="majorHAnsi" w:cs="Calibri Light"/>
                <w:b/>
                <w:bCs/>
                <w:sz w:val="26"/>
                <w:szCs w:val="26"/>
                <w:lang w:val="en"/>
              </w:rPr>
            </w:pPr>
            <w:r w:rsidRPr="003E46B8">
              <w:rPr>
                <w:rFonts w:asciiTheme="majorHAnsi" w:hAnsiTheme="majorHAnsi" w:cs="Calibri Light"/>
                <w:b/>
                <w:bCs/>
                <w:sz w:val="26"/>
                <w:szCs w:val="26"/>
                <w:rtl/>
              </w:rPr>
              <w:t>הכנסים העירוניים</w:t>
            </w:r>
            <w:r w:rsidRPr="003E46B8">
              <w:rPr>
                <w:rFonts w:asciiTheme="majorHAnsi" w:hAnsiTheme="majorHAnsi" w:cs="Calibri Light"/>
                <w:sz w:val="26"/>
                <w:szCs w:val="26"/>
                <w:rtl/>
              </w:rPr>
              <w:t xml:space="preserve"> מהווים פלטפורמה ייחודית להקניית ידע מקצועי ומעשי בתחום הגיל הרך והפיתוח העירוני, השראה ופיתוח שיתופי פעולה פוריים, איגום משאבים ומתן תוכן איכותי ברמה גבוהה. באמצעות סדרת הרצאות, פאנלים וסדנאות, אנו מציעים לעובדי העירייה הזדמנות </w:t>
            </w:r>
            <w:proofErr w:type="spellStart"/>
            <w:r w:rsidRPr="003E46B8">
              <w:rPr>
                <w:rFonts w:asciiTheme="majorHAnsi" w:hAnsiTheme="majorHAnsi" w:cs="Calibri Light"/>
                <w:sz w:val="26"/>
                <w:szCs w:val="26"/>
                <w:rtl/>
              </w:rPr>
              <w:t>חוייתית</w:t>
            </w:r>
            <w:proofErr w:type="spellEnd"/>
            <w:r w:rsidRPr="003E46B8">
              <w:rPr>
                <w:rFonts w:asciiTheme="majorHAnsi" w:hAnsiTheme="majorHAnsi" w:cs="Calibri Light"/>
                <w:sz w:val="26"/>
                <w:szCs w:val="26"/>
                <w:rtl/>
              </w:rPr>
              <w:t xml:space="preserve"> להכיר מקרוב את עולם הפעוטות, ללמוד ממומחים בינלאומיים ולהתחבר לעמיתים ממחלקות אחרות. מעבר להעשרת הידע המקצועי, במהלך הכנסים אנו פועלות לחיזוק תחושת השייכות והאחריות המשותפת לקידום יוזמות חדשניות לטובת רווחת הילדים והמשפחות בעיר.</w:t>
            </w:r>
          </w:p>
        </w:tc>
        <w:tc>
          <w:tcPr>
            <w:tcW w:w="1926" w:type="pct"/>
          </w:tcPr>
          <w:p w14:paraId="4299D419" w14:textId="303213F4" w:rsidR="00B45F56" w:rsidRPr="00B2576A" w:rsidRDefault="00B45F56" w:rsidP="00B45F56">
            <w:pPr>
              <w:bidi w:val="0"/>
              <w:rPr>
                <w:rFonts w:asciiTheme="majorHAnsi" w:hAnsiTheme="majorHAnsi" w:cstheme="majorHAnsi"/>
                <w:sz w:val="26"/>
                <w:szCs w:val="26"/>
                <w:rtl/>
              </w:rPr>
            </w:pPr>
            <w:r w:rsidRPr="003E46B8">
              <w:rPr>
                <w:rFonts w:asciiTheme="majorHAnsi" w:hAnsiTheme="majorHAnsi" w:cs="Calibri Light"/>
                <w:b/>
                <w:bCs/>
                <w:sz w:val="26"/>
                <w:szCs w:val="26"/>
                <w:lang w:val="en"/>
              </w:rPr>
              <w:t>The urban conferences</w:t>
            </w:r>
            <w:r w:rsidRPr="003E46B8">
              <w:rPr>
                <w:rFonts w:asciiTheme="majorHAnsi" w:hAnsiTheme="majorHAnsi" w:cs="Calibri Light"/>
                <w:sz w:val="26"/>
                <w:szCs w:val="26"/>
                <w:lang w:val="en"/>
              </w:rPr>
              <w:t xml:space="preserve"> are a unique platform for imparting professional and practical knowledge in the field of early childhood and urban development, inspiring and developing fruitful collaborations, pooling resources and providing high-quality content. Through a series of lectures, panels and workshops, we offer municipality employees an experiential opportunity to get to know the world of toddlers, learn from international experts and connect with colleagues from other departments. Beyond the enrichment of professional knowledge, during the conferences we work to strengthen the sense of belonging and shared responsibility to promote innovative initiatives for the benefit of the children and families in the city.</w:t>
            </w:r>
          </w:p>
        </w:tc>
        <w:tc>
          <w:tcPr>
            <w:tcW w:w="686" w:type="pct"/>
          </w:tcPr>
          <w:p w14:paraId="5AE62F8B" w14:textId="77777777" w:rsidR="00B45F56" w:rsidRDefault="00B45F56" w:rsidP="00B45F56">
            <w:pPr>
              <w:bidi w:val="0"/>
              <w:rPr>
                <w:rtl/>
              </w:rPr>
            </w:pPr>
          </w:p>
        </w:tc>
      </w:tr>
      <w:tr w:rsidR="00B45F56" w14:paraId="4299D41F" w14:textId="77777777" w:rsidTr="00B45F56">
        <w:tc>
          <w:tcPr>
            <w:tcW w:w="828" w:type="pct"/>
          </w:tcPr>
          <w:p w14:paraId="7A5A3875" w14:textId="77777777" w:rsidR="00B45F56" w:rsidRPr="003E46B8" w:rsidRDefault="00B45F56" w:rsidP="00B45F56">
            <w:pPr>
              <w:rPr>
                <w:rFonts w:ascii="Calibri Light" w:hAnsi="Calibri Light" w:cs="Calibri Light"/>
                <w:sz w:val="26"/>
                <w:szCs w:val="26"/>
                <w:lang w:val="en"/>
              </w:rPr>
            </w:pPr>
          </w:p>
        </w:tc>
        <w:tc>
          <w:tcPr>
            <w:tcW w:w="1560" w:type="pct"/>
          </w:tcPr>
          <w:p w14:paraId="7234CB46" w14:textId="647B0624" w:rsidR="00B45F56" w:rsidRPr="003E46B8" w:rsidRDefault="00B45F56" w:rsidP="00B45F56">
            <w:pPr>
              <w:rPr>
                <w:rFonts w:ascii="Calibri Light" w:hAnsi="Calibri Light" w:cs="Calibri Light"/>
                <w:sz w:val="26"/>
                <w:szCs w:val="26"/>
                <w:lang w:val="en"/>
              </w:rPr>
            </w:pPr>
            <w:r w:rsidRPr="003E46B8">
              <w:rPr>
                <w:rFonts w:ascii="Calibri Light" w:hAnsi="Calibri Light" w:cs="Calibri Light"/>
                <w:sz w:val="26"/>
                <w:szCs w:val="26"/>
                <w:rtl/>
              </w:rPr>
              <w:t>לכל כנס נבחר נושא מרכזי, סביבו נבנה התוכן, נבחרים הדוברים, מעוצבות הסדנאות ונרקמים שיתופי פעולה עם גורמים מקצועיים מכל העולם. בין הכנסים שערכנו עד כה:</w:t>
            </w:r>
          </w:p>
        </w:tc>
        <w:tc>
          <w:tcPr>
            <w:tcW w:w="1926" w:type="pct"/>
          </w:tcPr>
          <w:p w14:paraId="4299D41D" w14:textId="667A3BEF" w:rsidR="00B45F56" w:rsidRPr="000D7DCB" w:rsidRDefault="00B45F56" w:rsidP="00B45F56">
            <w:pPr>
              <w:bidi w:val="0"/>
              <w:rPr>
                <w:rFonts w:ascii="Calibri Light" w:hAnsi="Calibri Light" w:cs="Calibri Light"/>
                <w:sz w:val="26"/>
                <w:szCs w:val="26"/>
                <w:rtl/>
              </w:rPr>
            </w:pPr>
            <w:r w:rsidRPr="003E46B8">
              <w:rPr>
                <w:rFonts w:ascii="Calibri Light" w:hAnsi="Calibri Light" w:cs="Calibri Light"/>
                <w:sz w:val="26"/>
                <w:szCs w:val="26"/>
                <w:lang w:val="en"/>
              </w:rPr>
              <w:t>A central theme is chosen for each conference, around which the content is built, the speakers are chosen, the workshops are designed and collaborations are forged with professional parties from all over the world. Among the conferences we have held so far:</w:t>
            </w:r>
          </w:p>
        </w:tc>
        <w:tc>
          <w:tcPr>
            <w:tcW w:w="686" w:type="pct"/>
          </w:tcPr>
          <w:p w14:paraId="31769B9C" w14:textId="77777777" w:rsidR="00B45F56" w:rsidRDefault="00B45F56" w:rsidP="00B45F56">
            <w:pPr>
              <w:bidi w:val="0"/>
              <w:rPr>
                <w:rtl/>
              </w:rPr>
            </w:pPr>
          </w:p>
        </w:tc>
      </w:tr>
      <w:tr w:rsidR="00B45F56" w14:paraId="4299D427" w14:textId="77777777" w:rsidTr="00B45F56">
        <w:tc>
          <w:tcPr>
            <w:tcW w:w="828" w:type="pct"/>
          </w:tcPr>
          <w:p w14:paraId="16ED93E7" w14:textId="77777777" w:rsidR="00B45F56" w:rsidRPr="00B45F56" w:rsidRDefault="00B45F56" w:rsidP="00B45F56">
            <w:pPr>
              <w:rPr>
                <w:rFonts w:ascii="Calibri Light" w:hAnsi="Calibri Light" w:cs="Calibri Light"/>
                <w:sz w:val="26"/>
                <w:szCs w:val="26"/>
                <w:lang w:val="en"/>
              </w:rPr>
            </w:pPr>
          </w:p>
        </w:tc>
        <w:tc>
          <w:tcPr>
            <w:tcW w:w="1560" w:type="pct"/>
          </w:tcPr>
          <w:p w14:paraId="5EA787F7" w14:textId="77777777" w:rsidR="00B45F56" w:rsidRPr="003E46B8" w:rsidRDefault="00B45F56" w:rsidP="00B45F56">
            <w:pPr>
              <w:pStyle w:val="ListParagraph"/>
              <w:numPr>
                <w:ilvl w:val="0"/>
                <w:numId w:val="13"/>
              </w:numPr>
              <w:rPr>
                <w:rFonts w:ascii="Calibri Light" w:hAnsi="Calibri Light" w:cs="Calibri Light"/>
                <w:sz w:val="26"/>
                <w:szCs w:val="26"/>
                <w:rtl/>
              </w:rPr>
            </w:pPr>
            <w:r w:rsidRPr="003E46B8">
              <w:rPr>
                <w:rFonts w:ascii="Calibri Light" w:hAnsi="Calibri Light" w:cs="Calibri Light"/>
                <w:sz w:val="26"/>
                <w:szCs w:val="26"/>
                <w:rtl/>
              </w:rPr>
              <w:t xml:space="preserve">משחק חופשי(דובר מרכזי- </w:t>
            </w:r>
            <w:r w:rsidRPr="003E46B8">
              <w:rPr>
                <w:rFonts w:ascii="Calibri Light" w:hAnsi="Calibri Light" w:cs="Calibri Light"/>
                <w:sz w:val="26"/>
                <w:szCs w:val="26"/>
              </w:rPr>
              <w:t>Darell Hammond</w:t>
            </w:r>
            <w:r w:rsidRPr="003E46B8">
              <w:rPr>
                <w:rFonts w:ascii="Calibri Light" w:hAnsi="Calibri Light" w:cs="Calibri Light"/>
                <w:sz w:val="26"/>
                <w:szCs w:val="26"/>
                <w:rtl/>
              </w:rPr>
              <w:t xml:space="preserve">): הרצאה בנושא אסטרטגיה לתכנון עיר מפרספקטיבה של 95 ס"מ(דובר מרכזי-), הצגת </w:t>
            </w:r>
            <w:proofErr w:type="spellStart"/>
            <w:r w:rsidRPr="003E46B8">
              <w:rPr>
                <w:rFonts w:ascii="Calibri Light" w:hAnsi="Calibri Light" w:cs="Calibri Light"/>
                <w:sz w:val="26"/>
                <w:szCs w:val="26"/>
                <w:rtl/>
              </w:rPr>
              <w:t>התכנית</w:t>
            </w:r>
            <w:proofErr w:type="spellEnd"/>
            <w:r w:rsidRPr="003E46B8">
              <w:rPr>
                <w:rFonts w:ascii="Calibri Light" w:hAnsi="Calibri Light" w:cs="Calibri Light"/>
                <w:sz w:val="26"/>
                <w:szCs w:val="26"/>
                <w:rtl/>
              </w:rPr>
              <w:t xml:space="preserve"> האסטרטגית העירונית לתחום הגיל הרך, סדנת רעיונאות בנושא חשיבה מוכוונת הגיל הרך.</w:t>
            </w:r>
          </w:p>
          <w:p w14:paraId="5C17F65B" w14:textId="77777777" w:rsidR="00B45F56" w:rsidRPr="003E46B8" w:rsidRDefault="00B45F56" w:rsidP="00B45F56">
            <w:pPr>
              <w:pStyle w:val="ListParagraph"/>
              <w:numPr>
                <w:ilvl w:val="0"/>
                <w:numId w:val="13"/>
              </w:numPr>
              <w:rPr>
                <w:rFonts w:ascii="Calibri Light" w:hAnsi="Calibri Light" w:cs="Calibri Light"/>
                <w:sz w:val="26"/>
                <w:szCs w:val="26"/>
                <w:rtl/>
              </w:rPr>
            </w:pPr>
            <w:r w:rsidRPr="003E46B8">
              <w:rPr>
                <w:rFonts w:ascii="Calibri Light" w:hAnsi="Calibri Light" w:cs="Calibri Light"/>
                <w:sz w:val="26"/>
                <w:szCs w:val="26"/>
                <w:rtl/>
              </w:rPr>
              <w:t xml:space="preserve">הרחוב כמרחב מותאם לילדים, בשיתוף </w:t>
            </w:r>
            <w:proofErr w:type="spellStart"/>
            <w:r w:rsidRPr="003E46B8">
              <w:rPr>
                <w:rFonts w:ascii="Calibri Light" w:hAnsi="Calibri Light" w:cs="Calibri Light"/>
                <w:sz w:val="26"/>
                <w:szCs w:val="26"/>
              </w:rPr>
              <w:t>NACTO</w:t>
            </w:r>
            <w:proofErr w:type="spellEnd"/>
            <w:r w:rsidRPr="003E46B8">
              <w:rPr>
                <w:rFonts w:ascii="Calibri Light" w:hAnsi="Calibri Light" w:cs="Calibri Light"/>
                <w:sz w:val="26"/>
                <w:szCs w:val="26"/>
                <w:rtl/>
              </w:rPr>
              <w:t xml:space="preserve">: חשיבה על המרחב </w:t>
            </w:r>
            <w:r w:rsidRPr="003E46B8">
              <w:rPr>
                <w:rFonts w:ascii="Calibri Light" w:hAnsi="Calibri Light" w:cs="Calibri Light"/>
                <w:sz w:val="26"/>
                <w:szCs w:val="26"/>
                <w:rtl/>
              </w:rPr>
              <w:lastRenderedPageBreak/>
              <w:t xml:space="preserve">העירוני לקטנים ולגדולים, איך יוצרים רחובות טובים לכולם, חוויית </w:t>
            </w:r>
            <w:r w:rsidRPr="003E46B8">
              <w:rPr>
                <w:rFonts w:ascii="Calibri Light" w:hAnsi="Calibri Light" w:cs="Calibri Light"/>
                <w:sz w:val="26"/>
                <w:szCs w:val="26"/>
              </w:rPr>
              <w:t>VR</w:t>
            </w:r>
            <w:r w:rsidRPr="003E46B8">
              <w:rPr>
                <w:rFonts w:ascii="Calibri Light" w:hAnsi="Calibri Light" w:cs="Calibri Light"/>
                <w:sz w:val="26"/>
                <w:szCs w:val="26"/>
                <w:rtl/>
              </w:rPr>
              <w:t xml:space="preserve"> של העיר מגובה 95 ס"מ.</w:t>
            </w:r>
          </w:p>
          <w:p w14:paraId="1E52E2EB" w14:textId="77777777" w:rsidR="00B45F56" w:rsidRPr="003E46B8" w:rsidRDefault="00B45F56" w:rsidP="00B45F56">
            <w:pPr>
              <w:pStyle w:val="ListParagraph"/>
              <w:numPr>
                <w:ilvl w:val="0"/>
                <w:numId w:val="13"/>
              </w:numPr>
              <w:rPr>
                <w:rFonts w:ascii="Calibri Light" w:hAnsi="Calibri Light" w:cs="Calibri Light"/>
                <w:sz w:val="26"/>
                <w:szCs w:val="26"/>
                <w:rtl/>
              </w:rPr>
            </w:pPr>
            <w:r w:rsidRPr="003E46B8">
              <w:rPr>
                <w:rFonts w:ascii="Calibri Light" w:hAnsi="Calibri Light" w:cs="Calibri Light"/>
                <w:sz w:val="26"/>
                <w:szCs w:val="26"/>
                <w:rtl/>
              </w:rPr>
              <w:t>התפתחות המוח בגיל הרך (דובר מרכזי - פרופ' איתי ברגר): הרצאה בנושא התפתחות ילד (מפגשי לימוד וסדנאות בנושא התפתחות המוח בגילאי לידה עד שלוש.</w:t>
            </w:r>
          </w:p>
          <w:p w14:paraId="6CD80D63" w14:textId="77777777" w:rsidR="00B45F56" w:rsidRPr="003E46B8" w:rsidRDefault="00B45F56" w:rsidP="00B45F56">
            <w:pPr>
              <w:pStyle w:val="ListParagraph"/>
              <w:numPr>
                <w:ilvl w:val="0"/>
                <w:numId w:val="13"/>
              </w:numPr>
              <w:rPr>
                <w:rFonts w:ascii="Calibri Light" w:hAnsi="Calibri Light" w:cs="Calibri Light"/>
                <w:sz w:val="26"/>
                <w:szCs w:val="26"/>
                <w:rtl/>
              </w:rPr>
            </w:pPr>
            <w:r w:rsidRPr="003E46B8">
              <w:rPr>
                <w:rFonts w:ascii="Calibri Light" w:hAnsi="Calibri Light" w:cs="Calibri Light"/>
                <w:sz w:val="26"/>
                <w:szCs w:val="26"/>
                <w:rtl/>
              </w:rPr>
              <w:t xml:space="preserve">התפתחות השפה בגיל הרך, (דוברת מרכזית - </w:t>
            </w:r>
            <w:r w:rsidRPr="003E46B8">
              <w:rPr>
                <w:rFonts w:ascii="Calibri Light" w:hAnsi="Calibri Light" w:cs="Calibri Light"/>
                <w:sz w:val="26"/>
                <w:szCs w:val="26"/>
              </w:rPr>
              <w:t xml:space="preserve">Patricia K. Kuhl, </w:t>
            </w:r>
            <w:proofErr w:type="spellStart"/>
            <w:r w:rsidRPr="003E46B8">
              <w:rPr>
                <w:rFonts w:ascii="Calibri Light" w:hAnsi="Calibri Light" w:cs="Calibri Light"/>
                <w:sz w:val="26"/>
                <w:szCs w:val="26"/>
              </w:rPr>
              <w:t>Ph.D</w:t>
            </w:r>
            <w:proofErr w:type="spellEnd"/>
            <w:r w:rsidRPr="003E46B8">
              <w:rPr>
                <w:rFonts w:ascii="Calibri Light" w:hAnsi="Calibri Light" w:cs="Calibri Light"/>
                <w:sz w:val="26"/>
                <w:szCs w:val="26"/>
                <w:rtl/>
              </w:rPr>
              <w:t>): כיצד ילדים לומדים לדבר ואיך הסביבה יכולה להשפיע? הרצאה בנושא שפה, אוריינות ומוח של תינוקות, פאנל עירוני, הזדמנויות ואתגרים בתחום.</w:t>
            </w:r>
          </w:p>
          <w:p w14:paraId="334FBACB" w14:textId="37867BC3" w:rsidR="00B45F56" w:rsidRPr="003E46B8" w:rsidRDefault="00B45F56" w:rsidP="00B45F56">
            <w:pPr>
              <w:pStyle w:val="ListParagraph"/>
              <w:numPr>
                <w:ilvl w:val="0"/>
                <w:numId w:val="13"/>
              </w:numPr>
              <w:rPr>
                <w:rFonts w:ascii="Calibri Light" w:hAnsi="Calibri Light" w:cs="Calibri Light"/>
                <w:sz w:val="26"/>
                <w:szCs w:val="26"/>
                <w:lang w:val="en"/>
              </w:rPr>
            </w:pPr>
            <w:r w:rsidRPr="003E46B8">
              <w:rPr>
                <w:rFonts w:ascii="Calibri Light" w:hAnsi="Calibri Light" w:cs="Calibri Light"/>
                <w:sz w:val="26"/>
                <w:szCs w:val="26"/>
                <w:rtl/>
              </w:rPr>
              <w:t>עיר בריאה לילדים, (דובר מרכזי-</w:t>
            </w:r>
            <w:r w:rsidRPr="003E46B8">
              <w:rPr>
                <w:rFonts w:ascii="Calibri Light" w:hAnsi="Calibri Light" w:cs="Calibri Light"/>
                <w:sz w:val="26"/>
                <w:szCs w:val="26"/>
              </w:rPr>
              <w:t>Carlos Dora, MD</w:t>
            </w:r>
            <w:r w:rsidRPr="003E46B8">
              <w:rPr>
                <w:rFonts w:ascii="Calibri Light" w:hAnsi="Calibri Light" w:cs="Calibri Light"/>
                <w:sz w:val="26"/>
                <w:szCs w:val="26"/>
                <w:rtl/>
              </w:rPr>
              <w:t>): הרצאה בנושא הקשר בין סביבה עירונית לבריאות ילדים בגיל הרך והצגת מקרי בוחן מישראל והעולם הנוגעים לילדות בריאה בעיר.</w:t>
            </w:r>
          </w:p>
        </w:tc>
        <w:tc>
          <w:tcPr>
            <w:tcW w:w="1926" w:type="pct"/>
          </w:tcPr>
          <w:p w14:paraId="4299D421" w14:textId="50F9B6FB" w:rsidR="00B45F56" w:rsidRPr="003E46B8" w:rsidRDefault="00B45F56" w:rsidP="00B45F56">
            <w:pPr>
              <w:pStyle w:val="ListParagraph"/>
              <w:numPr>
                <w:ilvl w:val="0"/>
                <w:numId w:val="13"/>
              </w:numPr>
              <w:bidi w:val="0"/>
              <w:rPr>
                <w:rFonts w:ascii="Calibri Light" w:hAnsi="Calibri Light" w:cs="Calibri Light"/>
                <w:sz w:val="26"/>
                <w:szCs w:val="26"/>
                <w:rtl/>
              </w:rPr>
            </w:pPr>
            <w:r w:rsidRPr="003E46B8">
              <w:rPr>
                <w:rFonts w:ascii="Calibri Light" w:hAnsi="Calibri Light" w:cs="Calibri Light"/>
                <w:sz w:val="26"/>
                <w:szCs w:val="26"/>
                <w:lang w:val="en"/>
              </w:rPr>
              <w:lastRenderedPageBreak/>
              <w:t>Free play (keynote speaker - Darell Hammond): lecture on strategy for city planning from a 95 cm perspective (keynote speaker -), presentation of the urban strategic plan for the early childhood sector, brainstorming workshop on early childhood oriented thinking.</w:t>
            </w:r>
          </w:p>
          <w:p w14:paraId="4299D422" w14:textId="77777777" w:rsidR="00B45F56" w:rsidRPr="003E46B8" w:rsidRDefault="00B45F56" w:rsidP="00B45F56">
            <w:pPr>
              <w:pStyle w:val="ListParagraph"/>
              <w:numPr>
                <w:ilvl w:val="0"/>
                <w:numId w:val="13"/>
              </w:numPr>
              <w:bidi w:val="0"/>
              <w:rPr>
                <w:rFonts w:ascii="Calibri Light" w:hAnsi="Calibri Light" w:cs="Calibri Light"/>
                <w:sz w:val="26"/>
                <w:szCs w:val="26"/>
                <w:rtl/>
              </w:rPr>
            </w:pPr>
            <w:r w:rsidRPr="003E46B8">
              <w:rPr>
                <w:rFonts w:ascii="Calibri Light" w:hAnsi="Calibri Light" w:cs="Calibri Light"/>
                <w:sz w:val="26"/>
                <w:szCs w:val="26"/>
                <w:lang w:val="en"/>
              </w:rPr>
              <w:t xml:space="preserve">The street as a space adapted for children, in collaboration with NACTO: </w:t>
            </w:r>
            <w:r w:rsidRPr="003E46B8">
              <w:rPr>
                <w:rFonts w:ascii="Calibri Light" w:hAnsi="Calibri Light" w:cs="Calibri Light"/>
                <w:sz w:val="26"/>
                <w:szCs w:val="26"/>
                <w:lang w:val="en"/>
              </w:rPr>
              <w:lastRenderedPageBreak/>
              <w:t>thinking about the urban space for young and old, how to create good streets for everyone, a VR experience of the city from a height of 95 cm.</w:t>
            </w:r>
          </w:p>
          <w:p w14:paraId="4299D423" w14:textId="77777777" w:rsidR="00B45F56" w:rsidRPr="003E46B8" w:rsidRDefault="00B45F56" w:rsidP="00B45F56">
            <w:pPr>
              <w:pStyle w:val="ListParagraph"/>
              <w:numPr>
                <w:ilvl w:val="0"/>
                <w:numId w:val="13"/>
              </w:numPr>
              <w:bidi w:val="0"/>
              <w:rPr>
                <w:rFonts w:ascii="Calibri Light" w:hAnsi="Calibri Light" w:cs="Calibri Light"/>
                <w:sz w:val="26"/>
                <w:szCs w:val="26"/>
                <w:rtl/>
              </w:rPr>
            </w:pPr>
            <w:r w:rsidRPr="003E46B8">
              <w:rPr>
                <w:rFonts w:ascii="Calibri Light" w:hAnsi="Calibri Light" w:cs="Calibri Light"/>
                <w:sz w:val="26"/>
                <w:szCs w:val="26"/>
                <w:lang w:val="en"/>
              </w:rPr>
              <w:t>Early brain development (keynote speaker - Prof. Itai Berger): lecture on child development (study sessions and workshops on brain development from birth to three.</w:t>
            </w:r>
          </w:p>
          <w:p w14:paraId="4299D424" w14:textId="77777777" w:rsidR="00B45F56" w:rsidRPr="003E46B8" w:rsidRDefault="00B45F56" w:rsidP="00B45F56">
            <w:pPr>
              <w:pStyle w:val="ListParagraph"/>
              <w:numPr>
                <w:ilvl w:val="0"/>
                <w:numId w:val="13"/>
              </w:numPr>
              <w:bidi w:val="0"/>
              <w:rPr>
                <w:rFonts w:ascii="Calibri Light" w:hAnsi="Calibri Light" w:cs="Calibri Light"/>
                <w:sz w:val="26"/>
                <w:szCs w:val="26"/>
                <w:rtl/>
              </w:rPr>
            </w:pPr>
            <w:r w:rsidRPr="003E46B8">
              <w:rPr>
                <w:rFonts w:ascii="Calibri Light" w:hAnsi="Calibri Light" w:cs="Calibri Light"/>
                <w:sz w:val="26"/>
                <w:szCs w:val="26"/>
                <w:lang w:val="en"/>
              </w:rPr>
              <w:t>The development of language in early childhood, (keynote speaker - Patricia K. Kuhl, Ph.D): How do children learn to speak and how can the environment influence? A lecture on language, literacy and the brain of babies, an urban panel, opportunities and challenges in the field.</w:t>
            </w:r>
          </w:p>
          <w:p w14:paraId="4299D425" w14:textId="77777777" w:rsidR="00B45F56" w:rsidRPr="003E46B8" w:rsidRDefault="00B45F56" w:rsidP="00B45F56">
            <w:pPr>
              <w:pStyle w:val="ListParagraph"/>
              <w:numPr>
                <w:ilvl w:val="0"/>
                <w:numId w:val="13"/>
              </w:numPr>
              <w:bidi w:val="0"/>
              <w:rPr>
                <w:rFonts w:ascii="Calibri Light" w:hAnsi="Calibri Light" w:cs="Calibri Light"/>
                <w:sz w:val="26"/>
                <w:szCs w:val="26"/>
                <w:rtl/>
              </w:rPr>
            </w:pPr>
            <w:r w:rsidRPr="003E46B8">
              <w:rPr>
                <w:rFonts w:ascii="Calibri Light" w:hAnsi="Calibri Light" w:cs="Calibri Light"/>
                <w:sz w:val="26"/>
                <w:szCs w:val="26"/>
                <w:lang w:val="en"/>
              </w:rPr>
              <w:t>A healthy city for children, (keynote speaker-Carlos Dora, MD): a lecture on the relationship between the urban environment and the health of preschool children and the presentation of case studies from Israel and the world concerning healthy childhood in the city.</w:t>
            </w:r>
          </w:p>
        </w:tc>
        <w:tc>
          <w:tcPr>
            <w:tcW w:w="686" w:type="pct"/>
          </w:tcPr>
          <w:p w14:paraId="1FBCA5ED" w14:textId="77777777" w:rsidR="00B45F56" w:rsidRDefault="00B45F56" w:rsidP="00B45F56">
            <w:pPr>
              <w:bidi w:val="0"/>
              <w:rPr>
                <w:rtl/>
              </w:rPr>
            </w:pPr>
          </w:p>
        </w:tc>
      </w:tr>
      <w:tr w:rsidR="00B45F56" w14:paraId="4299D42E" w14:textId="77777777" w:rsidTr="00B45F56">
        <w:tc>
          <w:tcPr>
            <w:tcW w:w="828" w:type="pct"/>
          </w:tcPr>
          <w:p w14:paraId="22D567F7" w14:textId="3D46B7CA" w:rsidR="00B45F56" w:rsidRPr="003E46B8" w:rsidRDefault="00B45F56" w:rsidP="00B45F56">
            <w:pPr>
              <w:spacing w:before="100" w:beforeAutospacing="1" w:after="100" w:afterAutospacing="1"/>
              <w:jc w:val="both"/>
              <w:textAlignment w:val="baseline"/>
              <w:rPr>
                <w:rFonts w:asciiTheme="majorHAnsi" w:eastAsia="Times New Roman" w:hAnsiTheme="majorHAnsi" w:cstheme="majorHAnsi"/>
                <w:b/>
                <w:bCs/>
                <w:color w:val="383B3F"/>
                <w:sz w:val="26"/>
                <w:szCs w:val="26"/>
                <w:lang w:val="en"/>
              </w:rPr>
            </w:pPr>
            <w:r w:rsidRPr="00E41CFF">
              <w:rPr>
                <w:rFonts w:ascii="Calibri Light" w:hAnsi="Calibri Light" w:cs="Calibri Light" w:hint="cs"/>
                <w:b/>
                <w:bCs/>
                <w:sz w:val="26"/>
                <w:szCs w:val="26"/>
                <w:highlight w:val="cyan"/>
                <w:rtl/>
              </w:rPr>
              <w:t>אימפקט</w:t>
            </w:r>
          </w:p>
        </w:tc>
        <w:tc>
          <w:tcPr>
            <w:tcW w:w="1560" w:type="pct"/>
          </w:tcPr>
          <w:p w14:paraId="5D0592F4" w14:textId="77777777" w:rsidR="00B45F56" w:rsidRPr="003E46B8" w:rsidRDefault="00B45F56" w:rsidP="00B45F56">
            <w:pPr>
              <w:numPr>
                <w:ilvl w:val="0"/>
                <w:numId w:val="11"/>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b/>
                <w:bCs/>
                <w:color w:val="383B3F"/>
                <w:sz w:val="26"/>
                <w:szCs w:val="26"/>
                <w:rtl/>
              </w:rPr>
              <w:t>רכישת כלים פרקטיים וידע מקצועי של עובדי העירייה</w:t>
            </w:r>
            <w:r w:rsidRPr="003E46B8">
              <w:rPr>
                <w:rFonts w:asciiTheme="majorHAnsi" w:eastAsia="Times New Roman" w:hAnsiTheme="majorHAnsi" w:cstheme="majorHAnsi"/>
                <w:color w:val="383B3F"/>
                <w:sz w:val="26"/>
                <w:szCs w:val="26"/>
                <w:rtl/>
              </w:rPr>
              <w:t> הנוגעים להשפעת המרחב העירוני על היבטים שונים של הגיל הרך (בהתאם לנושא הכנס)</w:t>
            </w:r>
            <w:r w:rsidRPr="003E46B8">
              <w:rPr>
                <w:rFonts w:asciiTheme="majorHAnsi" w:eastAsia="Times New Roman" w:hAnsiTheme="majorHAnsi" w:cstheme="majorHAnsi"/>
                <w:color w:val="383B3F"/>
                <w:sz w:val="26"/>
                <w:szCs w:val="26"/>
              </w:rPr>
              <w:t>.</w:t>
            </w:r>
          </w:p>
          <w:p w14:paraId="39E37AED" w14:textId="77777777" w:rsidR="00B45F56" w:rsidRPr="003E46B8" w:rsidRDefault="00B45F56" w:rsidP="00B45F56">
            <w:pPr>
              <w:numPr>
                <w:ilvl w:val="0"/>
                <w:numId w:val="11"/>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b/>
                <w:bCs/>
                <w:color w:val="383B3F"/>
                <w:sz w:val="26"/>
                <w:szCs w:val="26"/>
                <w:rtl/>
              </w:rPr>
              <w:t>שיפור כמות ואיכות שיתופי הפעולה </w:t>
            </w:r>
            <w:r w:rsidRPr="003E46B8">
              <w:rPr>
                <w:rFonts w:asciiTheme="majorHAnsi" w:eastAsia="Times New Roman" w:hAnsiTheme="majorHAnsi" w:cstheme="majorHAnsi"/>
                <w:color w:val="383B3F"/>
                <w:sz w:val="26"/>
                <w:szCs w:val="26"/>
                <w:rtl/>
              </w:rPr>
              <w:t>בין גורמים עירוניים</w:t>
            </w:r>
            <w:r w:rsidRPr="003E46B8">
              <w:rPr>
                <w:rFonts w:asciiTheme="majorHAnsi" w:eastAsia="Times New Roman" w:hAnsiTheme="majorHAnsi" w:cstheme="majorHAnsi"/>
                <w:color w:val="383B3F"/>
                <w:sz w:val="26"/>
                <w:szCs w:val="26"/>
              </w:rPr>
              <w:t>.</w:t>
            </w:r>
          </w:p>
          <w:p w14:paraId="66EF993B" w14:textId="77777777" w:rsidR="00B45F56" w:rsidRPr="003E46B8" w:rsidRDefault="00B45F56" w:rsidP="00B45F56">
            <w:pPr>
              <w:numPr>
                <w:ilvl w:val="0"/>
                <w:numId w:val="11"/>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color w:val="383B3F"/>
                <w:sz w:val="26"/>
                <w:szCs w:val="26"/>
                <w:rtl/>
              </w:rPr>
              <w:t>הכנס השנתי התמצב בעירייה כ</w:t>
            </w:r>
            <w:r w:rsidRPr="003E46B8">
              <w:rPr>
                <w:rFonts w:asciiTheme="majorHAnsi" w:eastAsia="Times New Roman" w:hAnsiTheme="majorHAnsi" w:cstheme="majorHAnsi"/>
                <w:b/>
                <w:bCs/>
                <w:color w:val="383B3F"/>
                <w:sz w:val="26"/>
                <w:szCs w:val="26"/>
                <w:rtl/>
              </w:rPr>
              <w:t>מעמד מקצועי ואיכותי</w:t>
            </w:r>
            <w:r w:rsidRPr="003E46B8">
              <w:rPr>
                <w:rFonts w:asciiTheme="majorHAnsi" w:eastAsia="Times New Roman" w:hAnsiTheme="majorHAnsi" w:cstheme="majorHAnsi"/>
                <w:color w:val="383B3F"/>
                <w:sz w:val="26"/>
                <w:szCs w:val="26"/>
              </w:rPr>
              <w:t xml:space="preserve">, </w:t>
            </w:r>
            <w:r w:rsidRPr="003E46B8">
              <w:rPr>
                <w:rFonts w:asciiTheme="majorHAnsi" w:eastAsia="Times New Roman" w:hAnsiTheme="majorHAnsi" w:cstheme="majorHAnsi"/>
                <w:color w:val="383B3F"/>
                <w:sz w:val="26"/>
                <w:szCs w:val="26"/>
                <w:rtl/>
              </w:rPr>
              <w:t xml:space="preserve">במסגרתו מגיעים דוברים בינלאומיים עם </w:t>
            </w:r>
            <w:r w:rsidRPr="003E46B8">
              <w:rPr>
                <w:rFonts w:asciiTheme="majorHAnsi" w:eastAsia="Times New Roman" w:hAnsiTheme="majorHAnsi" w:cstheme="majorHAnsi"/>
                <w:color w:val="383B3F"/>
                <w:sz w:val="26"/>
                <w:szCs w:val="26"/>
                <w:rtl/>
              </w:rPr>
              <w:lastRenderedPageBreak/>
              <w:t>ידע עולמי משמעותי ורלוונטי למגוון תפקידים ותחומים</w:t>
            </w:r>
            <w:r w:rsidRPr="003E46B8">
              <w:rPr>
                <w:rFonts w:asciiTheme="majorHAnsi" w:eastAsia="Times New Roman" w:hAnsiTheme="majorHAnsi" w:cstheme="majorHAnsi"/>
                <w:color w:val="383B3F"/>
                <w:sz w:val="26"/>
                <w:szCs w:val="26"/>
              </w:rPr>
              <w:t>.</w:t>
            </w:r>
          </w:p>
          <w:p w14:paraId="70023383" w14:textId="10D6630C" w:rsidR="00B45F56" w:rsidRPr="003E46B8" w:rsidRDefault="00B45F56" w:rsidP="00B45F56">
            <w:pPr>
              <w:numPr>
                <w:ilvl w:val="0"/>
                <w:numId w:val="11"/>
              </w:numPr>
              <w:spacing w:before="100" w:beforeAutospacing="1" w:after="100" w:afterAutospacing="1"/>
              <w:jc w:val="both"/>
              <w:textAlignment w:val="baseline"/>
              <w:rPr>
                <w:rFonts w:asciiTheme="majorHAnsi" w:eastAsia="Times New Roman" w:hAnsiTheme="majorHAnsi" w:cstheme="majorHAnsi"/>
                <w:b/>
                <w:bCs/>
                <w:color w:val="383B3F"/>
                <w:sz w:val="26"/>
                <w:szCs w:val="26"/>
                <w:lang w:val="en"/>
              </w:rPr>
            </w:pPr>
            <w:r w:rsidRPr="003E46B8">
              <w:rPr>
                <w:rFonts w:asciiTheme="majorHAnsi" w:eastAsia="Times New Roman" w:hAnsiTheme="majorHAnsi" w:cstheme="majorHAnsi"/>
                <w:color w:val="383B3F"/>
                <w:sz w:val="26"/>
                <w:szCs w:val="26"/>
                <w:rtl/>
              </w:rPr>
              <w:t>תחושות של </w:t>
            </w:r>
            <w:r w:rsidRPr="003E46B8">
              <w:rPr>
                <w:rFonts w:asciiTheme="majorHAnsi" w:eastAsia="Times New Roman" w:hAnsiTheme="majorHAnsi" w:cstheme="majorHAnsi"/>
                <w:b/>
                <w:bCs/>
                <w:color w:val="383B3F"/>
                <w:sz w:val="26"/>
                <w:szCs w:val="26"/>
                <w:rtl/>
              </w:rPr>
              <w:t>השראה, יציאה מהשגרה ומוטיבציה ליישום</w:t>
            </w:r>
            <w:r w:rsidRPr="003E46B8">
              <w:rPr>
                <w:rFonts w:asciiTheme="majorHAnsi" w:eastAsia="Times New Roman" w:hAnsiTheme="majorHAnsi" w:cstheme="majorHAnsi"/>
                <w:color w:val="383B3F"/>
                <w:sz w:val="26"/>
                <w:szCs w:val="26"/>
                <w:rtl/>
              </w:rPr>
              <w:t> רעיונות בתחומים בהם עוסקים הכנסים</w:t>
            </w:r>
            <w:r w:rsidRPr="003E46B8">
              <w:rPr>
                <w:rFonts w:asciiTheme="majorHAnsi" w:eastAsia="Times New Roman" w:hAnsiTheme="majorHAnsi" w:cstheme="majorHAnsi"/>
                <w:color w:val="383B3F"/>
                <w:sz w:val="26"/>
                <w:szCs w:val="26"/>
              </w:rPr>
              <w:t>.</w:t>
            </w:r>
          </w:p>
        </w:tc>
        <w:tc>
          <w:tcPr>
            <w:tcW w:w="1926" w:type="pct"/>
          </w:tcPr>
          <w:p w14:paraId="4299D429" w14:textId="3F93C410" w:rsidR="00B45F56" w:rsidRPr="003E46B8" w:rsidRDefault="00B45F56" w:rsidP="00B45F56">
            <w:pPr>
              <w:numPr>
                <w:ilvl w:val="0"/>
                <w:numId w:val="11"/>
              </w:numPr>
              <w:bidi w:val="0"/>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b/>
                <w:bCs/>
                <w:color w:val="383B3F"/>
                <w:sz w:val="26"/>
                <w:szCs w:val="26"/>
                <w:lang w:val="en"/>
              </w:rPr>
              <w:lastRenderedPageBreak/>
              <w:t>Acquisition of practical tools and professional knowledge of the municipal employees</w:t>
            </w:r>
            <w:r w:rsidRPr="003E46B8">
              <w:rPr>
                <w:rFonts w:asciiTheme="majorHAnsi" w:eastAsia="Times New Roman" w:hAnsiTheme="majorHAnsi" w:cstheme="majorHAnsi"/>
                <w:color w:val="383B3F"/>
                <w:sz w:val="26"/>
                <w:szCs w:val="26"/>
                <w:lang w:val="en"/>
              </w:rPr>
              <w:t xml:space="preserve"> concerning the influence of the urban space on various aspects of early childhood (according to the theme of the conference).</w:t>
            </w:r>
          </w:p>
          <w:p w14:paraId="4299D42A" w14:textId="77777777" w:rsidR="00B45F56" w:rsidRPr="003E46B8" w:rsidRDefault="00B45F56" w:rsidP="00B45F56">
            <w:pPr>
              <w:numPr>
                <w:ilvl w:val="0"/>
                <w:numId w:val="11"/>
              </w:numPr>
              <w:bidi w:val="0"/>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b/>
                <w:bCs/>
                <w:color w:val="383B3F"/>
                <w:sz w:val="26"/>
                <w:szCs w:val="26"/>
                <w:lang w:val="en"/>
              </w:rPr>
              <w:t xml:space="preserve">Improving the quantity and quality of cooperation </w:t>
            </w:r>
            <w:r w:rsidRPr="003E46B8">
              <w:rPr>
                <w:rFonts w:asciiTheme="majorHAnsi" w:eastAsia="Times New Roman" w:hAnsiTheme="majorHAnsi" w:cstheme="majorHAnsi"/>
                <w:color w:val="383B3F"/>
                <w:sz w:val="26"/>
                <w:szCs w:val="26"/>
                <w:lang w:val="en"/>
              </w:rPr>
              <w:t>between municipal entities.</w:t>
            </w:r>
          </w:p>
          <w:p w14:paraId="4299D42B" w14:textId="77777777" w:rsidR="00B45F56" w:rsidRPr="003E46B8" w:rsidRDefault="00B45F56" w:rsidP="00B45F56">
            <w:pPr>
              <w:numPr>
                <w:ilvl w:val="0"/>
                <w:numId w:val="11"/>
              </w:numPr>
              <w:bidi w:val="0"/>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color w:val="383B3F"/>
                <w:sz w:val="26"/>
                <w:szCs w:val="26"/>
                <w:lang w:val="en"/>
              </w:rPr>
              <w:t xml:space="preserve">The annual conference has positioned itself in the municipality as </w:t>
            </w:r>
            <w:r w:rsidRPr="003E46B8">
              <w:rPr>
                <w:rFonts w:asciiTheme="majorHAnsi" w:eastAsia="Times New Roman" w:hAnsiTheme="majorHAnsi" w:cstheme="majorHAnsi"/>
                <w:b/>
                <w:bCs/>
                <w:color w:val="383B3F"/>
                <w:sz w:val="26"/>
                <w:szCs w:val="26"/>
                <w:lang w:val="en"/>
              </w:rPr>
              <w:t xml:space="preserve">a professional </w:t>
            </w:r>
            <w:r w:rsidRPr="003E46B8">
              <w:rPr>
                <w:rFonts w:asciiTheme="majorHAnsi" w:eastAsia="Times New Roman" w:hAnsiTheme="majorHAnsi" w:cstheme="majorHAnsi"/>
                <w:b/>
                <w:bCs/>
                <w:color w:val="383B3F"/>
                <w:sz w:val="26"/>
                <w:szCs w:val="26"/>
                <w:lang w:val="en"/>
              </w:rPr>
              <w:lastRenderedPageBreak/>
              <w:t>and high-quality event</w:t>
            </w:r>
            <w:r w:rsidRPr="003E46B8">
              <w:rPr>
                <w:rFonts w:asciiTheme="majorHAnsi" w:eastAsia="Times New Roman" w:hAnsiTheme="majorHAnsi" w:cstheme="majorHAnsi"/>
                <w:color w:val="383B3F"/>
                <w:sz w:val="26"/>
                <w:szCs w:val="26"/>
                <w:lang w:val="en"/>
              </w:rPr>
              <w:t xml:space="preserve"> , as part of which international speakers arrive with significant global knowledge relevant to a variety of roles and fields.</w:t>
            </w:r>
          </w:p>
          <w:p w14:paraId="4299D42C" w14:textId="77777777" w:rsidR="00B45F56" w:rsidRPr="003E46B8" w:rsidRDefault="00B45F56" w:rsidP="00B45F56">
            <w:pPr>
              <w:numPr>
                <w:ilvl w:val="0"/>
                <w:numId w:val="11"/>
              </w:numPr>
              <w:bidi w:val="0"/>
              <w:spacing w:before="100" w:beforeAutospacing="1" w:after="100" w:afterAutospacing="1"/>
              <w:jc w:val="both"/>
              <w:textAlignment w:val="baseline"/>
              <w:rPr>
                <w:rFonts w:asciiTheme="majorHAnsi" w:eastAsia="Times New Roman" w:hAnsiTheme="majorHAnsi" w:cstheme="majorHAnsi"/>
                <w:color w:val="383B3F"/>
                <w:sz w:val="26"/>
                <w:szCs w:val="26"/>
                <w:rtl/>
              </w:rPr>
            </w:pPr>
            <w:r w:rsidRPr="003E46B8">
              <w:rPr>
                <w:rFonts w:asciiTheme="majorHAnsi" w:eastAsia="Times New Roman" w:hAnsiTheme="majorHAnsi" w:cstheme="majorHAnsi"/>
                <w:color w:val="383B3F"/>
                <w:sz w:val="26"/>
                <w:szCs w:val="26"/>
                <w:lang w:val="en"/>
              </w:rPr>
              <w:t xml:space="preserve">Feelings of </w:t>
            </w:r>
            <w:r w:rsidRPr="003E46B8">
              <w:rPr>
                <w:rFonts w:asciiTheme="majorHAnsi" w:eastAsia="Times New Roman" w:hAnsiTheme="majorHAnsi" w:cstheme="majorHAnsi"/>
                <w:b/>
                <w:bCs/>
                <w:color w:val="383B3F"/>
                <w:sz w:val="26"/>
                <w:szCs w:val="26"/>
                <w:lang w:val="en"/>
              </w:rPr>
              <w:t>inspiration, departure from the routine and motivation to implement</w:t>
            </w:r>
            <w:r w:rsidRPr="003E46B8">
              <w:rPr>
                <w:rFonts w:asciiTheme="majorHAnsi" w:eastAsia="Times New Roman" w:hAnsiTheme="majorHAnsi" w:cstheme="majorHAnsi"/>
                <w:color w:val="383B3F"/>
                <w:sz w:val="26"/>
                <w:szCs w:val="26"/>
                <w:lang w:val="en"/>
              </w:rPr>
              <w:t xml:space="preserve"> ideas in the areas covered by the conferences.</w:t>
            </w:r>
          </w:p>
        </w:tc>
        <w:tc>
          <w:tcPr>
            <w:tcW w:w="686" w:type="pct"/>
          </w:tcPr>
          <w:p w14:paraId="0358E374" w14:textId="08C8DB84" w:rsidR="00B45F56" w:rsidRDefault="00B45F56" w:rsidP="00B45F56">
            <w:pPr>
              <w:bidi w:val="0"/>
              <w:rPr>
                <w:rtl/>
              </w:rPr>
            </w:pPr>
            <w:r w:rsidRPr="00E41CFF">
              <w:rPr>
                <w:rFonts w:ascii="Calibri Light" w:hAnsi="Calibri Light" w:cs="Calibri Light" w:hint="cs"/>
                <w:b/>
                <w:bCs/>
                <w:sz w:val="26"/>
                <w:szCs w:val="26"/>
                <w:highlight w:val="cyan"/>
                <w:lang w:val="en"/>
              </w:rPr>
              <w:lastRenderedPageBreak/>
              <w:t>Impact</w:t>
            </w:r>
          </w:p>
        </w:tc>
      </w:tr>
      <w:tr w:rsidR="00B45F56" w14:paraId="4299D435" w14:textId="77777777" w:rsidTr="00B45F56">
        <w:tc>
          <w:tcPr>
            <w:tcW w:w="828" w:type="pct"/>
          </w:tcPr>
          <w:p w14:paraId="305E4F19" w14:textId="0BA28B72" w:rsidR="00B45F56" w:rsidRPr="003E46B8" w:rsidRDefault="00B45F56" w:rsidP="00B45F56">
            <w:pPr>
              <w:spacing w:before="100" w:beforeAutospacing="1" w:after="100" w:afterAutospacing="1"/>
              <w:jc w:val="both"/>
              <w:textAlignment w:val="baseline"/>
              <w:rPr>
                <w:rFonts w:asciiTheme="majorHAnsi" w:eastAsia="Times New Roman" w:hAnsiTheme="majorHAnsi" w:cstheme="majorHAnsi"/>
                <w:b/>
                <w:bCs/>
                <w:color w:val="383B3F"/>
                <w:sz w:val="26"/>
                <w:szCs w:val="26"/>
                <w:lang w:val="en"/>
              </w:rPr>
            </w:pPr>
            <w:r w:rsidRPr="00E41CFF">
              <w:rPr>
                <w:rFonts w:ascii="Calibri Light" w:hAnsi="Calibri Light" w:cs="Calibri Light" w:hint="cs"/>
                <w:b/>
                <w:bCs/>
                <w:sz w:val="26"/>
                <w:szCs w:val="26"/>
                <w:highlight w:val="cyan"/>
                <w:rtl/>
              </w:rPr>
              <w:t>מה למדנו בדרך</w:t>
            </w:r>
          </w:p>
        </w:tc>
        <w:tc>
          <w:tcPr>
            <w:tcW w:w="1560" w:type="pct"/>
          </w:tcPr>
          <w:p w14:paraId="75CC3DD9" w14:textId="77777777" w:rsidR="00B45F56" w:rsidRPr="003E46B8" w:rsidRDefault="00B45F56" w:rsidP="00B45F56">
            <w:pPr>
              <w:numPr>
                <w:ilvl w:val="0"/>
                <w:numId w:val="15"/>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b/>
                <w:bCs/>
                <w:color w:val="383B3F"/>
                <w:sz w:val="26"/>
                <w:szCs w:val="26"/>
                <w:rtl/>
              </w:rPr>
              <w:t>תכנון וביצוע הכנס יחד עם גורם עירוני מרכזי נוסף</w:t>
            </w:r>
            <w:r w:rsidRPr="003E46B8">
              <w:rPr>
                <w:rFonts w:asciiTheme="majorHAnsi" w:eastAsia="Times New Roman" w:hAnsiTheme="majorHAnsi" w:cstheme="majorHAnsi"/>
                <w:color w:val="383B3F"/>
                <w:sz w:val="26"/>
                <w:szCs w:val="26"/>
              </w:rPr>
              <w:t xml:space="preserve">, </w:t>
            </w:r>
            <w:r w:rsidRPr="003E46B8">
              <w:rPr>
                <w:rFonts w:asciiTheme="majorHAnsi" w:eastAsia="Times New Roman" w:hAnsiTheme="majorHAnsi" w:cstheme="majorHAnsi"/>
                <w:color w:val="383B3F"/>
                <w:sz w:val="26"/>
                <w:szCs w:val="26"/>
                <w:rtl/>
              </w:rPr>
              <w:t>מאפשרת רתימה משמעותית של אגפי עירייה, איגום משאבים, והידוק רלוונטיות נושא הכנס לפרקטיקה העירונית היומיומית</w:t>
            </w:r>
            <w:r w:rsidRPr="003E46B8">
              <w:rPr>
                <w:rFonts w:asciiTheme="majorHAnsi" w:eastAsia="Times New Roman" w:hAnsiTheme="majorHAnsi" w:cstheme="majorHAnsi"/>
                <w:color w:val="383B3F"/>
                <w:sz w:val="26"/>
                <w:szCs w:val="26"/>
              </w:rPr>
              <w:t>.</w:t>
            </w:r>
          </w:p>
          <w:p w14:paraId="376D98D5" w14:textId="77777777" w:rsidR="00B45F56" w:rsidRPr="003E46B8" w:rsidRDefault="00B45F56" w:rsidP="00B45F56">
            <w:pPr>
              <w:numPr>
                <w:ilvl w:val="0"/>
                <w:numId w:val="15"/>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color w:val="383B3F"/>
                <w:sz w:val="26"/>
                <w:szCs w:val="26"/>
                <w:rtl/>
              </w:rPr>
              <w:t>ההשקעה בהבאת </w:t>
            </w:r>
            <w:r w:rsidRPr="003E46B8">
              <w:rPr>
                <w:rFonts w:asciiTheme="majorHAnsi" w:eastAsia="Times New Roman" w:hAnsiTheme="majorHAnsi" w:cstheme="majorHAnsi"/>
                <w:b/>
                <w:bCs/>
                <w:color w:val="383B3F"/>
                <w:sz w:val="26"/>
                <w:szCs w:val="26"/>
                <w:rtl/>
              </w:rPr>
              <w:t>דובר מרכזי בעל שם בינלאומי</w:t>
            </w:r>
            <w:r w:rsidRPr="003E46B8">
              <w:rPr>
                <w:rFonts w:asciiTheme="majorHAnsi" w:eastAsia="Times New Roman" w:hAnsiTheme="majorHAnsi" w:cstheme="majorHAnsi"/>
                <w:color w:val="383B3F"/>
                <w:sz w:val="26"/>
                <w:szCs w:val="26"/>
                <w:rtl/>
              </w:rPr>
              <w:t> או הכרה מקצועית רחבה מעודדת אנשים להשתתפות ושמה "תו איכות" על האירוע כולו</w:t>
            </w:r>
            <w:r w:rsidRPr="003E46B8">
              <w:rPr>
                <w:rFonts w:asciiTheme="majorHAnsi" w:eastAsia="Times New Roman" w:hAnsiTheme="majorHAnsi" w:cstheme="majorHAnsi"/>
                <w:color w:val="383B3F"/>
                <w:sz w:val="26"/>
                <w:szCs w:val="26"/>
              </w:rPr>
              <w:t>.</w:t>
            </w:r>
          </w:p>
          <w:p w14:paraId="028CE58B" w14:textId="77777777" w:rsidR="00B45F56" w:rsidRPr="003E46B8" w:rsidRDefault="00B45F56" w:rsidP="00B45F56">
            <w:pPr>
              <w:numPr>
                <w:ilvl w:val="0"/>
                <w:numId w:val="15"/>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color w:val="383B3F"/>
                <w:sz w:val="26"/>
                <w:szCs w:val="26"/>
                <w:rtl/>
              </w:rPr>
              <w:t>על מנת להביא לנוכחות גבוהה מכל היחידות העירוניות</w:t>
            </w:r>
            <w:r w:rsidRPr="003E46B8">
              <w:rPr>
                <w:rFonts w:asciiTheme="majorHAnsi" w:eastAsia="Times New Roman" w:hAnsiTheme="majorHAnsi" w:cstheme="majorHAnsi"/>
                <w:color w:val="383B3F"/>
                <w:sz w:val="26"/>
                <w:szCs w:val="26"/>
              </w:rPr>
              <w:t>, </w:t>
            </w:r>
            <w:r w:rsidRPr="003E46B8">
              <w:rPr>
                <w:rFonts w:asciiTheme="majorHAnsi" w:eastAsia="Times New Roman" w:hAnsiTheme="majorHAnsi" w:cstheme="majorHAnsi"/>
                <w:b/>
                <w:bCs/>
                <w:color w:val="383B3F"/>
                <w:sz w:val="26"/>
                <w:szCs w:val="26"/>
                <w:rtl/>
              </w:rPr>
              <w:t>נדרשת עבודה משמעותית ויומיומית של פרסום, הרשמה ושיח מול מנהלים ועובדים</w:t>
            </w:r>
            <w:r w:rsidRPr="003E46B8">
              <w:rPr>
                <w:rFonts w:asciiTheme="majorHAnsi" w:eastAsia="Times New Roman" w:hAnsiTheme="majorHAnsi" w:cstheme="majorHAnsi"/>
                <w:color w:val="383B3F"/>
                <w:sz w:val="26"/>
                <w:szCs w:val="26"/>
              </w:rPr>
              <w:t>. </w:t>
            </w:r>
          </w:p>
          <w:p w14:paraId="2D0D3BAA" w14:textId="724EC7E1" w:rsidR="00B45F56" w:rsidRPr="003E46B8" w:rsidRDefault="00B45F56" w:rsidP="00B45F56">
            <w:pPr>
              <w:numPr>
                <w:ilvl w:val="0"/>
                <w:numId w:val="15"/>
              </w:numPr>
              <w:spacing w:before="100" w:beforeAutospacing="1" w:after="100" w:afterAutospacing="1"/>
              <w:jc w:val="both"/>
              <w:textAlignment w:val="baseline"/>
              <w:rPr>
                <w:rFonts w:asciiTheme="majorHAnsi" w:eastAsia="Times New Roman" w:hAnsiTheme="majorHAnsi" w:cstheme="majorHAnsi"/>
                <w:b/>
                <w:bCs/>
                <w:color w:val="383B3F"/>
                <w:sz w:val="26"/>
                <w:szCs w:val="26"/>
                <w:lang w:val="en"/>
              </w:rPr>
            </w:pPr>
            <w:r w:rsidRPr="003E46B8">
              <w:rPr>
                <w:rFonts w:asciiTheme="majorHAnsi" w:eastAsia="Times New Roman" w:hAnsiTheme="majorHAnsi" w:cstheme="majorHAnsi"/>
                <w:b/>
                <w:bCs/>
                <w:color w:val="383B3F"/>
                <w:sz w:val="26"/>
                <w:szCs w:val="26"/>
                <w:rtl/>
              </w:rPr>
              <w:t>בחירת נושא הכנס ומועדו בחיבור לאג'נדה עירונית ולאירועים נוספים במרחב</w:t>
            </w:r>
            <w:r w:rsidRPr="003E46B8">
              <w:rPr>
                <w:rFonts w:asciiTheme="majorHAnsi" w:eastAsia="Times New Roman" w:hAnsiTheme="majorHAnsi" w:cstheme="majorHAnsi"/>
                <w:color w:val="383B3F"/>
                <w:sz w:val="26"/>
                <w:szCs w:val="26"/>
              </w:rPr>
              <w:t xml:space="preserve">, </w:t>
            </w:r>
            <w:r w:rsidRPr="003E46B8">
              <w:rPr>
                <w:rFonts w:asciiTheme="majorHAnsi" w:eastAsia="Times New Roman" w:hAnsiTheme="majorHAnsi" w:cstheme="majorHAnsi"/>
                <w:color w:val="383B3F"/>
                <w:sz w:val="26"/>
                <w:szCs w:val="26"/>
                <w:rtl/>
              </w:rPr>
              <w:t>מאפשרים תהודה רחבה יותר והשפעה חווייתית בדרכים שונות. לדוגמא, הכנס שעסק ב"משחק חופשי" התקיים במקביל לאירוע "משחקים בכיכר</w:t>
            </w:r>
            <w:r w:rsidRPr="003E46B8">
              <w:rPr>
                <w:rFonts w:asciiTheme="majorHAnsi" w:eastAsia="Times New Roman" w:hAnsiTheme="majorHAnsi" w:cstheme="majorHAnsi"/>
                <w:color w:val="383B3F"/>
                <w:sz w:val="26"/>
                <w:szCs w:val="26"/>
              </w:rPr>
              <w:t>".</w:t>
            </w:r>
          </w:p>
        </w:tc>
        <w:tc>
          <w:tcPr>
            <w:tcW w:w="1926" w:type="pct"/>
          </w:tcPr>
          <w:p w14:paraId="4299D430" w14:textId="587F8D58" w:rsidR="00B45F56" w:rsidRPr="003E46B8" w:rsidRDefault="00B45F56" w:rsidP="00B45F56">
            <w:pPr>
              <w:numPr>
                <w:ilvl w:val="0"/>
                <w:numId w:val="15"/>
              </w:numPr>
              <w:bidi w:val="0"/>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b/>
                <w:bCs/>
                <w:color w:val="383B3F"/>
                <w:sz w:val="26"/>
                <w:szCs w:val="26"/>
                <w:lang w:val="en"/>
              </w:rPr>
              <w:t>Planning and carrying out the conference together with another central municipal entity</w:t>
            </w:r>
            <w:r w:rsidRPr="003E46B8">
              <w:rPr>
                <w:rFonts w:asciiTheme="majorHAnsi" w:eastAsia="Times New Roman" w:hAnsiTheme="majorHAnsi" w:cstheme="majorHAnsi"/>
                <w:color w:val="383B3F"/>
                <w:sz w:val="26"/>
                <w:szCs w:val="26"/>
                <w:lang w:val="en"/>
              </w:rPr>
              <w:t xml:space="preserve"> , allows for a significant harnessing of municipal departments, pooling of resources, and strengthening the relevance of the conference topic to daily municipal practice.</w:t>
            </w:r>
          </w:p>
          <w:p w14:paraId="4299D431" w14:textId="77777777" w:rsidR="00B45F56" w:rsidRPr="003E46B8" w:rsidRDefault="00B45F56" w:rsidP="00B45F56">
            <w:pPr>
              <w:numPr>
                <w:ilvl w:val="0"/>
                <w:numId w:val="15"/>
              </w:numPr>
              <w:bidi w:val="0"/>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color w:val="383B3F"/>
                <w:sz w:val="26"/>
                <w:szCs w:val="26"/>
                <w:lang w:val="en"/>
              </w:rPr>
              <w:t xml:space="preserve">The investment in bringing </w:t>
            </w:r>
            <w:r w:rsidRPr="003E46B8">
              <w:rPr>
                <w:rFonts w:asciiTheme="majorHAnsi" w:eastAsia="Times New Roman" w:hAnsiTheme="majorHAnsi" w:cstheme="majorHAnsi"/>
                <w:b/>
                <w:bCs/>
                <w:color w:val="383B3F"/>
                <w:sz w:val="26"/>
                <w:szCs w:val="26"/>
                <w:lang w:val="en"/>
              </w:rPr>
              <w:t>a key speaker with an international reputation</w:t>
            </w:r>
            <w:r w:rsidRPr="003E46B8">
              <w:rPr>
                <w:rFonts w:asciiTheme="majorHAnsi" w:eastAsia="Times New Roman" w:hAnsiTheme="majorHAnsi" w:cstheme="majorHAnsi"/>
                <w:color w:val="383B3F"/>
                <w:sz w:val="26"/>
                <w:szCs w:val="26"/>
                <w:lang w:val="en"/>
              </w:rPr>
              <w:t xml:space="preserve"> or wide professional recognition encourages people to participate and puts a "quality mark" on the entire event.</w:t>
            </w:r>
          </w:p>
          <w:p w14:paraId="4299D432" w14:textId="77777777" w:rsidR="00B45F56" w:rsidRPr="003E46B8" w:rsidRDefault="00B45F56" w:rsidP="00B45F56">
            <w:pPr>
              <w:numPr>
                <w:ilvl w:val="0"/>
                <w:numId w:val="15"/>
              </w:numPr>
              <w:bidi w:val="0"/>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color w:val="383B3F"/>
                <w:sz w:val="26"/>
                <w:szCs w:val="26"/>
                <w:lang w:val="en"/>
              </w:rPr>
              <w:t>In order to bring about a high attendance from all the municipal units,</w:t>
            </w:r>
            <w:r w:rsidRPr="003E46B8">
              <w:rPr>
                <w:rFonts w:asciiTheme="majorHAnsi" w:eastAsia="Times New Roman" w:hAnsiTheme="majorHAnsi" w:cstheme="majorHAnsi"/>
                <w:b/>
                <w:bCs/>
                <w:color w:val="383B3F"/>
                <w:sz w:val="26"/>
                <w:szCs w:val="26"/>
                <w:lang w:val="en"/>
              </w:rPr>
              <w:t xml:space="preserve"> significant and daily work of advertising, registration and dialogue with managers and employees is required </w:t>
            </w:r>
            <w:r w:rsidRPr="003E46B8">
              <w:rPr>
                <w:rFonts w:asciiTheme="majorHAnsi" w:eastAsia="Times New Roman" w:hAnsiTheme="majorHAnsi" w:cstheme="majorHAnsi"/>
                <w:color w:val="383B3F"/>
                <w:sz w:val="26"/>
                <w:szCs w:val="26"/>
                <w:lang w:val="en"/>
              </w:rPr>
              <w:t>.</w:t>
            </w:r>
          </w:p>
          <w:p w14:paraId="4299D433" w14:textId="77777777" w:rsidR="00B45F56" w:rsidRPr="003E46B8" w:rsidRDefault="00B45F56" w:rsidP="00B45F56">
            <w:pPr>
              <w:numPr>
                <w:ilvl w:val="0"/>
                <w:numId w:val="15"/>
              </w:numPr>
              <w:bidi w:val="0"/>
              <w:spacing w:before="100" w:beforeAutospacing="1" w:after="100" w:afterAutospacing="1"/>
              <w:jc w:val="both"/>
              <w:textAlignment w:val="baseline"/>
              <w:rPr>
                <w:rFonts w:asciiTheme="majorHAnsi" w:eastAsia="Times New Roman" w:hAnsiTheme="majorHAnsi" w:cstheme="majorHAnsi"/>
                <w:color w:val="383B3F"/>
                <w:sz w:val="26"/>
                <w:szCs w:val="26"/>
                <w:rtl/>
              </w:rPr>
            </w:pPr>
            <w:r w:rsidRPr="003E46B8">
              <w:rPr>
                <w:rFonts w:asciiTheme="majorHAnsi" w:eastAsia="Times New Roman" w:hAnsiTheme="majorHAnsi" w:cstheme="majorHAnsi"/>
                <w:b/>
                <w:bCs/>
                <w:color w:val="383B3F"/>
                <w:sz w:val="26"/>
                <w:szCs w:val="26"/>
                <w:lang w:val="en"/>
              </w:rPr>
              <w:t>Choosing the topic of the conference and its time in connection with the urban agenda and other events in the area</w:t>
            </w:r>
            <w:r w:rsidRPr="003E46B8">
              <w:rPr>
                <w:rFonts w:asciiTheme="majorHAnsi" w:eastAsia="Times New Roman" w:hAnsiTheme="majorHAnsi" w:cstheme="majorHAnsi"/>
                <w:color w:val="383B3F"/>
                <w:sz w:val="26"/>
                <w:szCs w:val="26"/>
                <w:lang w:val="en"/>
              </w:rPr>
              <w:t xml:space="preserve"> , allow for a wider resonance and an experiential impact in different ways. For example, the conference that dealt with "free play" took place at </w:t>
            </w:r>
            <w:r w:rsidRPr="003E46B8">
              <w:rPr>
                <w:rFonts w:asciiTheme="majorHAnsi" w:eastAsia="Times New Roman" w:hAnsiTheme="majorHAnsi" w:cstheme="majorHAnsi"/>
                <w:color w:val="383B3F"/>
                <w:sz w:val="26"/>
                <w:szCs w:val="26"/>
                <w:lang w:val="en"/>
              </w:rPr>
              <w:lastRenderedPageBreak/>
              <w:t>the same time as the "Games in the Square" event.</w:t>
            </w:r>
          </w:p>
        </w:tc>
        <w:tc>
          <w:tcPr>
            <w:tcW w:w="686" w:type="pct"/>
          </w:tcPr>
          <w:p w14:paraId="5CD4D509" w14:textId="1C9A15E5" w:rsidR="00B45F56" w:rsidRDefault="00B45F56" w:rsidP="00B45F56">
            <w:pPr>
              <w:bidi w:val="0"/>
              <w:rPr>
                <w:rtl/>
              </w:rPr>
            </w:pPr>
            <w:r w:rsidRPr="00E41CFF">
              <w:rPr>
                <w:rFonts w:ascii="Calibri Light" w:hAnsi="Calibri Light" w:cs="Calibri Light" w:hint="cs"/>
                <w:b/>
                <w:bCs/>
                <w:sz w:val="26"/>
                <w:szCs w:val="26"/>
                <w:highlight w:val="cyan"/>
                <w:lang w:val="en"/>
              </w:rPr>
              <w:lastRenderedPageBreak/>
              <w:t>What did we learn along the way?</w:t>
            </w:r>
          </w:p>
        </w:tc>
      </w:tr>
      <w:tr w:rsidR="00B45F56" w14:paraId="4299D439" w14:textId="77777777" w:rsidTr="00B45F56">
        <w:tc>
          <w:tcPr>
            <w:tcW w:w="828" w:type="pct"/>
          </w:tcPr>
          <w:p w14:paraId="36E4AF4C" w14:textId="53570065" w:rsidR="00B45F56" w:rsidRDefault="00B45F56" w:rsidP="00B45F56">
            <w:pPr>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t>תגיות</w:t>
            </w:r>
          </w:p>
        </w:tc>
        <w:tc>
          <w:tcPr>
            <w:tcW w:w="1560" w:type="pct"/>
          </w:tcPr>
          <w:p w14:paraId="7E25D7F0" w14:textId="4BB7049F" w:rsidR="00B45F56" w:rsidRDefault="00B45F56" w:rsidP="00B45F56">
            <w:pPr>
              <w:rPr>
                <w:rFonts w:ascii="Calibri Light" w:hAnsi="Calibri Light" w:cs="Calibri Light" w:hint="cs"/>
                <w:sz w:val="26"/>
                <w:szCs w:val="26"/>
                <w:lang w:val="en"/>
              </w:rPr>
            </w:pPr>
            <w:r>
              <w:rPr>
                <w:rFonts w:ascii="Calibri Light" w:hAnsi="Calibri Light" w:cs="Calibri Light" w:hint="cs"/>
                <w:sz w:val="26"/>
                <w:szCs w:val="26"/>
                <w:rtl/>
              </w:rPr>
              <w:t>תשתית עירונית</w:t>
            </w:r>
          </w:p>
        </w:tc>
        <w:tc>
          <w:tcPr>
            <w:tcW w:w="1926" w:type="pct"/>
          </w:tcPr>
          <w:p w14:paraId="4299D437" w14:textId="72941B35" w:rsidR="00B45F56" w:rsidRPr="00B56768" w:rsidRDefault="00B45F56" w:rsidP="00B45F56">
            <w:pPr>
              <w:bidi w:val="0"/>
              <w:rPr>
                <w:rFonts w:ascii="Calibri Light" w:hAnsi="Calibri Light" w:cs="Calibri Light"/>
                <w:sz w:val="26"/>
                <w:szCs w:val="26"/>
                <w:rtl/>
              </w:rPr>
            </w:pPr>
            <w:r>
              <w:rPr>
                <w:rFonts w:ascii="Calibri Light" w:hAnsi="Calibri Light" w:cs="Calibri Light" w:hint="cs"/>
                <w:sz w:val="26"/>
                <w:szCs w:val="26"/>
                <w:lang w:val="en"/>
              </w:rPr>
              <w:t>Urban infrastructure</w:t>
            </w:r>
          </w:p>
        </w:tc>
        <w:tc>
          <w:tcPr>
            <w:tcW w:w="686" w:type="pct"/>
          </w:tcPr>
          <w:p w14:paraId="7826B867" w14:textId="5E46BBD8" w:rsidR="00B45F56" w:rsidRDefault="00B45F56" w:rsidP="00B45F56">
            <w:pPr>
              <w:bidi w:val="0"/>
              <w:rPr>
                <w:rtl/>
              </w:rPr>
            </w:pPr>
            <w:r w:rsidRPr="00E41CFF">
              <w:rPr>
                <w:rFonts w:ascii="Calibri Light" w:hAnsi="Calibri Light" w:cs="Calibri Light" w:hint="cs"/>
                <w:b/>
                <w:bCs/>
                <w:sz w:val="26"/>
                <w:szCs w:val="26"/>
                <w:highlight w:val="cyan"/>
                <w:lang w:val="en"/>
              </w:rPr>
              <w:t>Tags</w:t>
            </w:r>
          </w:p>
        </w:tc>
      </w:tr>
      <w:tr w:rsidR="00B45F56" w14:paraId="4299D43F" w14:textId="77777777" w:rsidTr="00B45F56">
        <w:tc>
          <w:tcPr>
            <w:tcW w:w="828" w:type="pct"/>
          </w:tcPr>
          <w:p w14:paraId="4739311C" w14:textId="77777777" w:rsidR="00B45F56" w:rsidRDefault="00B45F56" w:rsidP="00B45F56">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5752B644" w14:textId="77777777" w:rsidR="00B45F56" w:rsidRDefault="00B45F56" w:rsidP="00B45F56">
            <w:pPr>
              <w:rPr>
                <w:rFonts w:ascii="Calibri Light" w:hAnsi="Calibri Light" w:cs="Calibri Light" w:hint="cs"/>
                <w:sz w:val="26"/>
                <w:szCs w:val="26"/>
                <w:lang w:val="en"/>
              </w:rPr>
            </w:pPr>
          </w:p>
        </w:tc>
        <w:tc>
          <w:tcPr>
            <w:tcW w:w="1560" w:type="pct"/>
          </w:tcPr>
          <w:p w14:paraId="781DE7D8" w14:textId="77777777" w:rsidR="00B45F56" w:rsidRPr="006C05D1" w:rsidRDefault="00B45F56" w:rsidP="00B45F56">
            <w:pPr>
              <w:rPr>
                <w:rFonts w:ascii="Calibri Light" w:hAnsi="Calibri Light" w:cs="Calibri Light"/>
                <w:sz w:val="26"/>
                <w:szCs w:val="26"/>
                <w:rtl/>
              </w:rPr>
            </w:pPr>
            <w:r>
              <w:rPr>
                <w:rFonts w:ascii="Calibri Light" w:hAnsi="Calibri Light" w:cs="Calibri Light" w:hint="cs"/>
                <w:sz w:val="26"/>
                <w:szCs w:val="26"/>
                <w:rtl/>
              </w:rPr>
              <w:t>גוף ידע</w:t>
            </w:r>
          </w:p>
          <w:p w14:paraId="1B272686" w14:textId="77777777" w:rsidR="00B45F56" w:rsidRDefault="00B45F56" w:rsidP="00B45F56">
            <w:pPr>
              <w:rPr>
                <w:rFonts w:ascii="Calibri Light" w:hAnsi="Calibri Light" w:cs="Calibri Light" w:hint="cs"/>
                <w:sz w:val="26"/>
                <w:szCs w:val="26"/>
                <w:lang w:val="en"/>
              </w:rPr>
            </w:pPr>
          </w:p>
        </w:tc>
        <w:tc>
          <w:tcPr>
            <w:tcW w:w="1926" w:type="pct"/>
          </w:tcPr>
          <w:p w14:paraId="4299D43C" w14:textId="546239DD" w:rsidR="00B45F56" w:rsidRPr="006C05D1" w:rsidRDefault="00B45F56" w:rsidP="00B45F56">
            <w:pPr>
              <w:bidi w:val="0"/>
              <w:rPr>
                <w:rFonts w:ascii="Calibri Light" w:hAnsi="Calibri Light" w:cs="Calibri Light"/>
                <w:sz w:val="26"/>
                <w:szCs w:val="26"/>
                <w:rtl/>
              </w:rPr>
            </w:pPr>
            <w:r>
              <w:rPr>
                <w:rFonts w:ascii="Calibri Light" w:hAnsi="Calibri Light" w:cs="Calibri Light" w:hint="cs"/>
                <w:sz w:val="26"/>
                <w:szCs w:val="26"/>
                <w:lang w:val="en"/>
              </w:rPr>
              <w:t>body of knowledge</w:t>
            </w:r>
          </w:p>
          <w:p w14:paraId="4299D43D" w14:textId="77777777" w:rsidR="00B45F56" w:rsidRPr="00B56768" w:rsidRDefault="00B45F56" w:rsidP="00B45F56">
            <w:pPr>
              <w:rPr>
                <w:rFonts w:ascii="Calibri Light" w:hAnsi="Calibri Light" w:cs="Calibri Light"/>
                <w:sz w:val="26"/>
                <w:szCs w:val="26"/>
                <w:rtl/>
              </w:rPr>
            </w:pPr>
          </w:p>
        </w:tc>
        <w:tc>
          <w:tcPr>
            <w:tcW w:w="686" w:type="pct"/>
          </w:tcPr>
          <w:p w14:paraId="5AA13C83" w14:textId="77777777" w:rsidR="00B45F56" w:rsidRDefault="00B45F56" w:rsidP="00B45F56">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3188A312" w14:textId="77777777" w:rsidR="00B45F56" w:rsidRDefault="00B45F56" w:rsidP="00B45F56">
            <w:pPr>
              <w:bidi w:val="0"/>
              <w:rPr>
                <w:rtl/>
              </w:rPr>
            </w:pPr>
          </w:p>
        </w:tc>
      </w:tr>
      <w:tr w:rsidR="00B45F56" w14:paraId="4299D443" w14:textId="77777777" w:rsidTr="00B45F56">
        <w:tc>
          <w:tcPr>
            <w:tcW w:w="828" w:type="pct"/>
          </w:tcPr>
          <w:p w14:paraId="38859E37" w14:textId="2E544028" w:rsidR="00B45F56" w:rsidRDefault="00B45F56" w:rsidP="00B45F56">
            <w:pPr>
              <w:rPr>
                <w:rFonts w:ascii="Calibri Light" w:hAnsi="Calibri Light" w:cs="Calibri Light" w:hint="cs"/>
                <w:sz w:val="26"/>
                <w:szCs w:val="26"/>
                <w:lang w:val="en"/>
              </w:rPr>
            </w:pPr>
            <w:r>
              <w:rPr>
                <w:rFonts w:ascii="Calibri Light" w:hAnsi="Calibri Light" w:cs="Calibri Light" w:hint="cs"/>
                <w:b/>
                <w:bCs/>
                <w:sz w:val="26"/>
                <w:szCs w:val="26"/>
                <w:highlight w:val="cyan"/>
                <w:rtl/>
              </w:rPr>
              <w:t>כיתוב (תמונות)</w:t>
            </w:r>
          </w:p>
        </w:tc>
        <w:tc>
          <w:tcPr>
            <w:tcW w:w="1560" w:type="pct"/>
          </w:tcPr>
          <w:p w14:paraId="79138336" w14:textId="712E0D94" w:rsidR="00B45F56" w:rsidRDefault="00B45F56" w:rsidP="00B45F56">
            <w:pPr>
              <w:rPr>
                <w:rFonts w:ascii="Calibri Light" w:hAnsi="Calibri Light" w:cs="Calibri Light" w:hint="cs"/>
                <w:sz w:val="26"/>
                <w:szCs w:val="26"/>
                <w:lang w:val="en"/>
              </w:rPr>
            </w:pPr>
            <w:r>
              <w:rPr>
                <w:rFonts w:ascii="Calibri Light" w:hAnsi="Calibri Light" w:cs="Calibri Light" w:hint="cs"/>
                <w:sz w:val="26"/>
                <w:szCs w:val="26"/>
                <w:rtl/>
              </w:rPr>
              <w:t>צילום: שני לויה</w:t>
            </w:r>
          </w:p>
        </w:tc>
        <w:tc>
          <w:tcPr>
            <w:tcW w:w="1926" w:type="pct"/>
          </w:tcPr>
          <w:p w14:paraId="4299D441" w14:textId="0B2228D8" w:rsidR="00B45F56" w:rsidRDefault="00B45F56" w:rsidP="00B45F56">
            <w:pPr>
              <w:bidi w:val="0"/>
              <w:rPr>
                <w:rFonts w:ascii="Calibri Light" w:hAnsi="Calibri Light" w:cs="Calibri Light"/>
                <w:sz w:val="26"/>
                <w:szCs w:val="26"/>
                <w:rtl/>
              </w:rPr>
            </w:pPr>
            <w:r>
              <w:rPr>
                <w:rFonts w:ascii="Calibri Light" w:hAnsi="Calibri Light" w:cs="Calibri Light" w:hint="cs"/>
                <w:sz w:val="26"/>
                <w:szCs w:val="26"/>
                <w:lang w:val="en"/>
              </w:rPr>
              <w:t>Photo: Shani Levia</w:t>
            </w:r>
          </w:p>
        </w:tc>
        <w:tc>
          <w:tcPr>
            <w:tcW w:w="686" w:type="pct"/>
          </w:tcPr>
          <w:p w14:paraId="3F54BF72" w14:textId="769B4EC5" w:rsidR="00B45F56" w:rsidRDefault="00B45F56" w:rsidP="00B45F56">
            <w:pPr>
              <w:bidi w:val="0"/>
              <w:rPr>
                <w:rtl/>
              </w:rPr>
            </w:pPr>
            <w:r>
              <w:rPr>
                <w:rFonts w:ascii="Calibri Light" w:hAnsi="Calibri Light" w:cs="Calibri Light" w:hint="cs"/>
                <w:b/>
                <w:bCs/>
                <w:sz w:val="26"/>
                <w:szCs w:val="26"/>
                <w:highlight w:val="cyan"/>
                <w:lang w:val="en"/>
              </w:rPr>
              <w:t>caption (pictures)</w:t>
            </w:r>
          </w:p>
        </w:tc>
      </w:tr>
      <w:tr w:rsidR="00B45F56" w14:paraId="4299D447" w14:textId="77777777" w:rsidTr="00B45F56">
        <w:tc>
          <w:tcPr>
            <w:tcW w:w="828" w:type="pct"/>
          </w:tcPr>
          <w:p w14:paraId="5DE9CB5C" w14:textId="77777777" w:rsidR="00B45F56" w:rsidRDefault="00B45F56" w:rsidP="00B45F56">
            <w:pPr>
              <w:rPr>
                <w:rFonts w:ascii="Calibri Light" w:hAnsi="Calibri Light" w:cs="Calibri Light" w:hint="cs"/>
                <w:sz w:val="26"/>
                <w:szCs w:val="26"/>
                <w:lang w:val="en"/>
              </w:rPr>
            </w:pPr>
          </w:p>
        </w:tc>
        <w:tc>
          <w:tcPr>
            <w:tcW w:w="1560" w:type="pct"/>
          </w:tcPr>
          <w:p w14:paraId="6D2B83FA" w14:textId="0ECBD8CF" w:rsidR="00B45F56" w:rsidRDefault="00B45F56" w:rsidP="00B45F56">
            <w:pPr>
              <w:rPr>
                <w:rFonts w:ascii="Calibri Light" w:hAnsi="Calibri Light" w:cs="Calibri Light" w:hint="cs"/>
                <w:sz w:val="26"/>
                <w:szCs w:val="26"/>
                <w:lang w:val="en"/>
              </w:rPr>
            </w:pPr>
            <w:r>
              <w:rPr>
                <w:rFonts w:ascii="Calibri Light" w:hAnsi="Calibri Light" w:cs="Calibri Light" w:hint="cs"/>
                <w:sz w:val="26"/>
                <w:szCs w:val="26"/>
                <w:rtl/>
              </w:rPr>
              <w:t xml:space="preserve">צילום: תומר </w:t>
            </w:r>
            <w:proofErr w:type="spellStart"/>
            <w:r>
              <w:rPr>
                <w:rFonts w:ascii="Calibri Light" w:hAnsi="Calibri Light" w:cs="Calibri Light" w:hint="cs"/>
                <w:sz w:val="26"/>
                <w:szCs w:val="26"/>
                <w:rtl/>
              </w:rPr>
              <w:t>ועקנין</w:t>
            </w:r>
            <w:proofErr w:type="spellEnd"/>
          </w:p>
        </w:tc>
        <w:tc>
          <w:tcPr>
            <w:tcW w:w="1926" w:type="pct"/>
          </w:tcPr>
          <w:p w14:paraId="4299D445" w14:textId="676D0F1D" w:rsidR="00B45F56" w:rsidRDefault="00B45F56" w:rsidP="00B45F56">
            <w:pPr>
              <w:bidi w:val="0"/>
              <w:rPr>
                <w:rFonts w:ascii="Calibri Light" w:hAnsi="Calibri Light" w:cs="Calibri Light"/>
                <w:sz w:val="26"/>
                <w:szCs w:val="26"/>
                <w:rtl/>
              </w:rPr>
            </w:pPr>
            <w:r>
              <w:rPr>
                <w:rFonts w:ascii="Calibri Light" w:hAnsi="Calibri Light" w:cs="Calibri Light" w:hint="cs"/>
                <w:sz w:val="26"/>
                <w:szCs w:val="26"/>
                <w:lang w:val="en"/>
              </w:rPr>
              <w:t xml:space="preserve">Photography: Tomer </w:t>
            </w:r>
            <w:proofErr w:type="spellStart"/>
            <w:r>
              <w:rPr>
                <w:rFonts w:ascii="Calibri Light" w:hAnsi="Calibri Light" w:cs="Calibri Light" w:hint="cs"/>
                <w:sz w:val="26"/>
                <w:szCs w:val="26"/>
                <w:lang w:val="en"/>
              </w:rPr>
              <w:t>Vaaknin</w:t>
            </w:r>
            <w:proofErr w:type="spellEnd"/>
          </w:p>
        </w:tc>
        <w:tc>
          <w:tcPr>
            <w:tcW w:w="686" w:type="pct"/>
          </w:tcPr>
          <w:p w14:paraId="08CD9D37" w14:textId="77777777" w:rsidR="00B45F56" w:rsidRDefault="00B45F56" w:rsidP="00B45F56">
            <w:pPr>
              <w:bidi w:val="0"/>
              <w:rPr>
                <w:rtl/>
              </w:rPr>
            </w:pPr>
          </w:p>
        </w:tc>
      </w:tr>
    </w:tbl>
    <w:p w14:paraId="4299D448"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93BE7"/>
    <w:multiLevelType w:val="multilevel"/>
    <w:tmpl w:val="86F0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D09A28A4">
      <w:start w:val="1"/>
      <w:numFmt w:val="bullet"/>
      <w:lvlText w:val=""/>
      <w:lvlJc w:val="left"/>
      <w:pPr>
        <w:ind w:left="720" w:hanging="360"/>
      </w:pPr>
      <w:rPr>
        <w:rFonts w:ascii="Symbol" w:hAnsi="Symbol" w:hint="default"/>
      </w:rPr>
    </w:lvl>
    <w:lvl w:ilvl="1" w:tplc="9288EF72" w:tentative="1">
      <w:start w:val="1"/>
      <w:numFmt w:val="bullet"/>
      <w:lvlText w:val="o"/>
      <w:lvlJc w:val="left"/>
      <w:pPr>
        <w:ind w:left="1440" w:hanging="360"/>
      </w:pPr>
      <w:rPr>
        <w:rFonts w:ascii="Courier New" w:hAnsi="Courier New" w:cs="Courier New" w:hint="default"/>
      </w:rPr>
    </w:lvl>
    <w:lvl w:ilvl="2" w:tplc="AE28B59A" w:tentative="1">
      <w:start w:val="1"/>
      <w:numFmt w:val="bullet"/>
      <w:lvlText w:val=""/>
      <w:lvlJc w:val="left"/>
      <w:pPr>
        <w:ind w:left="2160" w:hanging="360"/>
      </w:pPr>
      <w:rPr>
        <w:rFonts w:ascii="Wingdings" w:hAnsi="Wingdings" w:hint="default"/>
      </w:rPr>
    </w:lvl>
    <w:lvl w:ilvl="3" w:tplc="59D0FEC2" w:tentative="1">
      <w:start w:val="1"/>
      <w:numFmt w:val="bullet"/>
      <w:lvlText w:val=""/>
      <w:lvlJc w:val="left"/>
      <w:pPr>
        <w:ind w:left="2880" w:hanging="360"/>
      </w:pPr>
      <w:rPr>
        <w:rFonts w:ascii="Symbol" w:hAnsi="Symbol" w:hint="default"/>
      </w:rPr>
    </w:lvl>
    <w:lvl w:ilvl="4" w:tplc="1EE6B0EC" w:tentative="1">
      <w:start w:val="1"/>
      <w:numFmt w:val="bullet"/>
      <w:lvlText w:val="o"/>
      <w:lvlJc w:val="left"/>
      <w:pPr>
        <w:ind w:left="3600" w:hanging="360"/>
      </w:pPr>
      <w:rPr>
        <w:rFonts w:ascii="Courier New" w:hAnsi="Courier New" w:cs="Courier New" w:hint="default"/>
      </w:rPr>
    </w:lvl>
    <w:lvl w:ilvl="5" w:tplc="BECA0486" w:tentative="1">
      <w:start w:val="1"/>
      <w:numFmt w:val="bullet"/>
      <w:lvlText w:val=""/>
      <w:lvlJc w:val="left"/>
      <w:pPr>
        <w:ind w:left="4320" w:hanging="360"/>
      </w:pPr>
      <w:rPr>
        <w:rFonts w:ascii="Wingdings" w:hAnsi="Wingdings" w:hint="default"/>
      </w:rPr>
    </w:lvl>
    <w:lvl w:ilvl="6" w:tplc="0614946C" w:tentative="1">
      <w:start w:val="1"/>
      <w:numFmt w:val="bullet"/>
      <w:lvlText w:val=""/>
      <w:lvlJc w:val="left"/>
      <w:pPr>
        <w:ind w:left="5040" w:hanging="360"/>
      </w:pPr>
      <w:rPr>
        <w:rFonts w:ascii="Symbol" w:hAnsi="Symbol" w:hint="default"/>
      </w:rPr>
    </w:lvl>
    <w:lvl w:ilvl="7" w:tplc="98A6A878" w:tentative="1">
      <w:start w:val="1"/>
      <w:numFmt w:val="bullet"/>
      <w:lvlText w:val="o"/>
      <w:lvlJc w:val="left"/>
      <w:pPr>
        <w:ind w:left="5760" w:hanging="360"/>
      </w:pPr>
      <w:rPr>
        <w:rFonts w:ascii="Courier New" w:hAnsi="Courier New" w:cs="Courier New" w:hint="default"/>
      </w:rPr>
    </w:lvl>
    <w:lvl w:ilvl="8" w:tplc="93E43600"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6442933A">
      <w:start w:val="1"/>
      <w:numFmt w:val="bullet"/>
      <w:lvlText w:val=""/>
      <w:lvlJc w:val="left"/>
      <w:pPr>
        <w:ind w:left="720" w:hanging="360"/>
      </w:pPr>
      <w:rPr>
        <w:rFonts w:ascii="Symbol" w:hAnsi="Symbol" w:hint="default"/>
      </w:rPr>
    </w:lvl>
    <w:lvl w:ilvl="1" w:tplc="A2DECF7A" w:tentative="1">
      <w:start w:val="1"/>
      <w:numFmt w:val="bullet"/>
      <w:lvlText w:val="o"/>
      <w:lvlJc w:val="left"/>
      <w:pPr>
        <w:ind w:left="1440" w:hanging="360"/>
      </w:pPr>
      <w:rPr>
        <w:rFonts w:ascii="Courier New" w:hAnsi="Courier New" w:cs="Courier New" w:hint="default"/>
      </w:rPr>
    </w:lvl>
    <w:lvl w:ilvl="2" w:tplc="FB347FFA" w:tentative="1">
      <w:start w:val="1"/>
      <w:numFmt w:val="bullet"/>
      <w:lvlText w:val=""/>
      <w:lvlJc w:val="left"/>
      <w:pPr>
        <w:ind w:left="2160" w:hanging="360"/>
      </w:pPr>
      <w:rPr>
        <w:rFonts w:ascii="Wingdings" w:hAnsi="Wingdings" w:hint="default"/>
      </w:rPr>
    </w:lvl>
    <w:lvl w:ilvl="3" w:tplc="141A9FEE" w:tentative="1">
      <w:start w:val="1"/>
      <w:numFmt w:val="bullet"/>
      <w:lvlText w:val=""/>
      <w:lvlJc w:val="left"/>
      <w:pPr>
        <w:ind w:left="2880" w:hanging="360"/>
      </w:pPr>
      <w:rPr>
        <w:rFonts w:ascii="Symbol" w:hAnsi="Symbol" w:hint="default"/>
      </w:rPr>
    </w:lvl>
    <w:lvl w:ilvl="4" w:tplc="0F38519E" w:tentative="1">
      <w:start w:val="1"/>
      <w:numFmt w:val="bullet"/>
      <w:lvlText w:val="o"/>
      <w:lvlJc w:val="left"/>
      <w:pPr>
        <w:ind w:left="3600" w:hanging="360"/>
      </w:pPr>
      <w:rPr>
        <w:rFonts w:ascii="Courier New" w:hAnsi="Courier New" w:cs="Courier New" w:hint="default"/>
      </w:rPr>
    </w:lvl>
    <w:lvl w:ilvl="5" w:tplc="7F961822" w:tentative="1">
      <w:start w:val="1"/>
      <w:numFmt w:val="bullet"/>
      <w:lvlText w:val=""/>
      <w:lvlJc w:val="left"/>
      <w:pPr>
        <w:ind w:left="4320" w:hanging="360"/>
      </w:pPr>
      <w:rPr>
        <w:rFonts w:ascii="Wingdings" w:hAnsi="Wingdings" w:hint="default"/>
      </w:rPr>
    </w:lvl>
    <w:lvl w:ilvl="6" w:tplc="52F4D2B6" w:tentative="1">
      <w:start w:val="1"/>
      <w:numFmt w:val="bullet"/>
      <w:lvlText w:val=""/>
      <w:lvlJc w:val="left"/>
      <w:pPr>
        <w:ind w:left="5040" w:hanging="360"/>
      </w:pPr>
      <w:rPr>
        <w:rFonts w:ascii="Symbol" w:hAnsi="Symbol" w:hint="default"/>
      </w:rPr>
    </w:lvl>
    <w:lvl w:ilvl="7" w:tplc="34201C44" w:tentative="1">
      <w:start w:val="1"/>
      <w:numFmt w:val="bullet"/>
      <w:lvlText w:val="o"/>
      <w:lvlJc w:val="left"/>
      <w:pPr>
        <w:ind w:left="5760" w:hanging="360"/>
      </w:pPr>
      <w:rPr>
        <w:rFonts w:ascii="Courier New" w:hAnsi="Courier New" w:cs="Courier New" w:hint="default"/>
      </w:rPr>
    </w:lvl>
    <w:lvl w:ilvl="8" w:tplc="E5F206A2" w:tentative="1">
      <w:start w:val="1"/>
      <w:numFmt w:val="bullet"/>
      <w:lvlText w:val=""/>
      <w:lvlJc w:val="left"/>
      <w:pPr>
        <w:ind w:left="6480" w:hanging="360"/>
      </w:pPr>
      <w:rPr>
        <w:rFonts w:ascii="Wingdings" w:hAnsi="Wingdings" w:hint="default"/>
      </w:rPr>
    </w:lvl>
  </w:abstractNum>
  <w:abstractNum w:abstractNumId="3" w15:restartNumberingAfterBreak="0">
    <w:nsid w:val="21D23B2C"/>
    <w:multiLevelType w:val="multilevel"/>
    <w:tmpl w:val="9A40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A746DD36">
      <w:start w:val="1"/>
      <w:numFmt w:val="bullet"/>
      <w:lvlText w:val=""/>
      <w:lvlJc w:val="left"/>
      <w:pPr>
        <w:ind w:left="720" w:hanging="360"/>
      </w:pPr>
      <w:rPr>
        <w:rFonts w:ascii="Symbol" w:hAnsi="Symbol" w:hint="default"/>
      </w:rPr>
    </w:lvl>
    <w:lvl w:ilvl="1" w:tplc="23B4F416" w:tentative="1">
      <w:start w:val="1"/>
      <w:numFmt w:val="bullet"/>
      <w:lvlText w:val="o"/>
      <w:lvlJc w:val="left"/>
      <w:pPr>
        <w:ind w:left="1440" w:hanging="360"/>
      </w:pPr>
      <w:rPr>
        <w:rFonts w:ascii="Courier New" w:hAnsi="Courier New" w:cs="Courier New" w:hint="default"/>
      </w:rPr>
    </w:lvl>
    <w:lvl w:ilvl="2" w:tplc="8F3A4E78" w:tentative="1">
      <w:start w:val="1"/>
      <w:numFmt w:val="bullet"/>
      <w:lvlText w:val=""/>
      <w:lvlJc w:val="left"/>
      <w:pPr>
        <w:ind w:left="2160" w:hanging="360"/>
      </w:pPr>
      <w:rPr>
        <w:rFonts w:ascii="Wingdings" w:hAnsi="Wingdings" w:hint="default"/>
      </w:rPr>
    </w:lvl>
    <w:lvl w:ilvl="3" w:tplc="A6A20488" w:tentative="1">
      <w:start w:val="1"/>
      <w:numFmt w:val="bullet"/>
      <w:lvlText w:val=""/>
      <w:lvlJc w:val="left"/>
      <w:pPr>
        <w:ind w:left="2880" w:hanging="360"/>
      </w:pPr>
      <w:rPr>
        <w:rFonts w:ascii="Symbol" w:hAnsi="Symbol" w:hint="default"/>
      </w:rPr>
    </w:lvl>
    <w:lvl w:ilvl="4" w:tplc="584E2EF8" w:tentative="1">
      <w:start w:val="1"/>
      <w:numFmt w:val="bullet"/>
      <w:lvlText w:val="o"/>
      <w:lvlJc w:val="left"/>
      <w:pPr>
        <w:ind w:left="3600" w:hanging="360"/>
      </w:pPr>
      <w:rPr>
        <w:rFonts w:ascii="Courier New" w:hAnsi="Courier New" w:cs="Courier New" w:hint="default"/>
      </w:rPr>
    </w:lvl>
    <w:lvl w:ilvl="5" w:tplc="477825B4" w:tentative="1">
      <w:start w:val="1"/>
      <w:numFmt w:val="bullet"/>
      <w:lvlText w:val=""/>
      <w:lvlJc w:val="left"/>
      <w:pPr>
        <w:ind w:left="4320" w:hanging="360"/>
      </w:pPr>
      <w:rPr>
        <w:rFonts w:ascii="Wingdings" w:hAnsi="Wingdings" w:hint="default"/>
      </w:rPr>
    </w:lvl>
    <w:lvl w:ilvl="6" w:tplc="CD96877E" w:tentative="1">
      <w:start w:val="1"/>
      <w:numFmt w:val="bullet"/>
      <w:lvlText w:val=""/>
      <w:lvlJc w:val="left"/>
      <w:pPr>
        <w:ind w:left="5040" w:hanging="360"/>
      </w:pPr>
      <w:rPr>
        <w:rFonts w:ascii="Symbol" w:hAnsi="Symbol" w:hint="default"/>
      </w:rPr>
    </w:lvl>
    <w:lvl w:ilvl="7" w:tplc="4D7E60C4" w:tentative="1">
      <w:start w:val="1"/>
      <w:numFmt w:val="bullet"/>
      <w:lvlText w:val="o"/>
      <w:lvlJc w:val="left"/>
      <w:pPr>
        <w:ind w:left="5760" w:hanging="360"/>
      </w:pPr>
      <w:rPr>
        <w:rFonts w:ascii="Courier New" w:hAnsi="Courier New" w:cs="Courier New" w:hint="default"/>
      </w:rPr>
    </w:lvl>
    <w:lvl w:ilvl="8" w:tplc="AFB2CDB0"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6902D2BC">
      <w:start w:val="1"/>
      <w:numFmt w:val="bullet"/>
      <w:lvlText w:val=""/>
      <w:lvlJc w:val="left"/>
      <w:pPr>
        <w:ind w:left="720" w:hanging="360"/>
      </w:pPr>
      <w:rPr>
        <w:rFonts w:ascii="Symbol" w:hAnsi="Symbol" w:hint="default"/>
      </w:rPr>
    </w:lvl>
    <w:lvl w:ilvl="1" w:tplc="3080EF70" w:tentative="1">
      <w:start w:val="1"/>
      <w:numFmt w:val="bullet"/>
      <w:lvlText w:val="o"/>
      <w:lvlJc w:val="left"/>
      <w:pPr>
        <w:ind w:left="1440" w:hanging="360"/>
      </w:pPr>
      <w:rPr>
        <w:rFonts w:ascii="Courier New" w:hAnsi="Courier New" w:cs="Courier New" w:hint="default"/>
      </w:rPr>
    </w:lvl>
    <w:lvl w:ilvl="2" w:tplc="2A58CABA" w:tentative="1">
      <w:start w:val="1"/>
      <w:numFmt w:val="bullet"/>
      <w:lvlText w:val=""/>
      <w:lvlJc w:val="left"/>
      <w:pPr>
        <w:ind w:left="2160" w:hanging="360"/>
      </w:pPr>
      <w:rPr>
        <w:rFonts w:ascii="Wingdings" w:hAnsi="Wingdings" w:hint="default"/>
      </w:rPr>
    </w:lvl>
    <w:lvl w:ilvl="3" w:tplc="E51ADD38" w:tentative="1">
      <w:start w:val="1"/>
      <w:numFmt w:val="bullet"/>
      <w:lvlText w:val=""/>
      <w:lvlJc w:val="left"/>
      <w:pPr>
        <w:ind w:left="2880" w:hanging="360"/>
      </w:pPr>
      <w:rPr>
        <w:rFonts w:ascii="Symbol" w:hAnsi="Symbol" w:hint="default"/>
      </w:rPr>
    </w:lvl>
    <w:lvl w:ilvl="4" w:tplc="40CE7DBA" w:tentative="1">
      <w:start w:val="1"/>
      <w:numFmt w:val="bullet"/>
      <w:lvlText w:val="o"/>
      <w:lvlJc w:val="left"/>
      <w:pPr>
        <w:ind w:left="3600" w:hanging="360"/>
      </w:pPr>
      <w:rPr>
        <w:rFonts w:ascii="Courier New" w:hAnsi="Courier New" w:cs="Courier New" w:hint="default"/>
      </w:rPr>
    </w:lvl>
    <w:lvl w:ilvl="5" w:tplc="A8FA1404" w:tentative="1">
      <w:start w:val="1"/>
      <w:numFmt w:val="bullet"/>
      <w:lvlText w:val=""/>
      <w:lvlJc w:val="left"/>
      <w:pPr>
        <w:ind w:left="4320" w:hanging="360"/>
      </w:pPr>
      <w:rPr>
        <w:rFonts w:ascii="Wingdings" w:hAnsi="Wingdings" w:hint="default"/>
      </w:rPr>
    </w:lvl>
    <w:lvl w:ilvl="6" w:tplc="5388138E" w:tentative="1">
      <w:start w:val="1"/>
      <w:numFmt w:val="bullet"/>
      <w:lvlText w:val=""/>
      <w:lvlJc w:val="left"/>
      <w:pPr>
        <w:ind w:left="5040" w:hanging="360"/>
      </w:pPr>
      <w:rPr>
        <w:rFonts w:ascii="Symbol" w:hAnsi="Symbol" w:hint="default"/>
      </w:rPr>
    </w:lvl>
    <w:lvl w:ilvl="7" w:tplc="A9A6E500" w:tentative="1">
      <w:start w:val="1"/>
      <w:numFmt w:val="bullet"/>
      <w:lvlText w:val="o"/>
      <w:lvlJc w:val="left"/>
      <w:pPr>
        <w:ind w:left="5760" w:hanging="360"/>
      </w:pPr>
      <w:rPr>
        <w:rFonts w:ascii="Courier New" w:hAnsi="Courier New" w:cs="Courier New" w:hint="default"/>
      </w:rPr>
    </w:lvl>
    <w:lvl w:ilvl="8" w:tplc="B3F2FA54" w:tentative="1">
      <w:start w:val="1"/>
      <w:numFmt w:val="bullet"/>
      <w:lvlText w:val=""/>
      <w:lvlJc w:val="left"/>
      <w:pPr>
        <w:ind w:left="6480" w:hanging="360"/>
      </w:pPr>
      <w:rPr>
        <w:rFonts w:ascii="Wingdings" w:hAnsi="Wingdings" w:hint="default"/>
      </w:rPr>
    </w:lvl>
  </w:abstractNum>
  <w:abstractNum w:abstractNumId="8" w15:restartNumberingAfterBreak="0">
    <w:nsid w:val="43E43A92"/>
    <w:multiLevelType w:val="multilevel"/>
    <w:tmpl w:val="7AEE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EB72D5"/>
    <w:multiLevelType w:val="hybridMultilevel"/>
    <w:tmpl w:val="54BE7AA2"/>
    <w:lvl w:ilvl="0" w:tplc="89D2A678">
      <w:start w:val="1"/>
      <w:numFmt w:val="bullet"/>
      <w:lvlText w:val=""/>
      <w:lvlJc w:val="left"/>
      <w:pPr>
        <w:ind w:left="720" w:hanging="360"/>
      </w:pPr>
      <w:rPr>
        <w:rFonts w:ascii="Symbol" w:hAnsi="Symbol" w:hint="default"/>
      </w:rPr>
    </w:lvl>
    <w:lvl w:ilvl="1" w:tplc="BEF093C6" w:tentative="1">
      <w:start w:val="1"/>
      <w:numFmt w:val="bullet"/>
      <w:lvlText w:val="o"/>
      <w:lvlJc w:val="left"/>
      <w:pPr>
        <w:ind w:left="1440" w:hanging="360"/>
      </w:pPr>
      <w:rPr>
        <w:rFonts w:ascii="Courier New" w:hAnsi="Courier New" w:cs="Courier New" w:hint="default"/>
      </w:rPr>
    </w:lvl>
    <w:lvl w:ilvl="2" w:tplc="A9B61C5A" w:tentative="1">
      <w:start w:val="1"/>
      <w:numFmt w:val="bullet"/>
      <w:lvlText w:val=""/>
      <w:lvlJc w:val="left"/>
      <w:pPr>
        <w:ind w:left="2160" w:hanging="360"/>
      </w:pPr>
      <w:rPr>
        <w:rFonts w:ascii="Wingdings" w:hAnsi="Wingdings" w:hint="default"/>
      </w:rPr>
    </w:lvl>
    <w:lvl w:ilvl="3" w:tplc="0C1AAA30" w:tentative="1">
      <w:start w:val="1"/>
      <w:numFmt w:val="bullet"/>
      <w:lvlText w:val=""/>
      <w:lvlJc w:val="left"/>
      <w:pPr>
        <w:ind w:left="2880" w:hanging="360"/>
      </w:pPr>
      <w:rPr>
        <w:rFonts w:ascii="Symbol" w:hAnsi="Symbol" w:hint="default"/>
      </w:rPr>
    </w:lvl>
    <w:lvl w:ilvl="4" w:tplc="5D76CE0C" w:tentative="1">
      <w:start w:val="1"/>
      <w:numFmt w:val="bullet"/>
      <w:lvlText w:val="o"/>
      <w:lvlJc w:val="left"/>
      <w:pPr>
        <w:ind w:left="3600" w:hanging="360"/>
      </w:pPr>
      <w:rPr>
        <w:rFonts w:ascii="Courier New" w:hAnsi="Courier New" w:cs="Courier New" w:hint="default"/>
      </w:rPr>
    </w:lvl>
    <w:lvl w:ilvl="5" w:tplc="1F86C3AA" w:tentative="1">
      <w:start w:val="1"/>
      <w:numFmt w:val="bullet"/>
      <w:lvlText w:val=""/>
      <w:lvlJc w:val="left"/>
      <w:pPr>
        <w:ind w:left="4320" w:hanging="360"/>
      </w:pPr>
      <w:rPr>
        <w:rFonts w:ascii="Wingdings" w:hAnsi="Wingdings" w:hint="default"/>
      </w:rPr>
    </w:lvl>
    <w:lvl w:ilvl="6" w:tplc="F9B89B18" w:tentative="1">
      <w:start w:val="1"/>
      <w:numFmt w:val="bullet"/>
      <w:lvlText w:val=""/>
      <w:lvlJc w:val="left"/>
      <w:pPr>
        <w:ind w:left="5040" w:hanging="360"/>
      </w:pPr>
      <w:rPr>
        <w:rFonts w:ascii="Symbol" w:hAnsi="Symbol" w:hint="default"/>
      </w:rPr>
    </w:lvl>
    <w:lvl w:ilvl="7" w:tplc="8BD87140" w:tentative="1">
      <w:start w:val="1"/>
      <w:numFmt w:val="bullet"/>
      <w:lvlText w:val="o"/>
      <w:lvlJc w:val="left"/>
      <w:pPr>
        <w:ind w:left="5760" w:hanging="360"/>
      </w:pPr>
      <w:rPr>
        <w:rFonts w:ascii="Courier New" w:hAnsi="Courier New" w:cs="Courier New" w:hint="default"/>
      </w:rPr>
    </w:lvl>
    <w:lvl w:ilvl="8" w:tplc="3F1C7656" w:tentative="1">
      <w:start w:val="1"/>
      <w:numFmt w:val="bullet"/>
      <w:lvlText w:val=""/>
      <w:lvlJc w:val="left"/>
      <w:pPr>
        <w:ind w:left="6480" w:hanging="360"/>
      </w:pPr>
      <w:rPr>
        <w:rFonts w:ascii="Wingdings" w:hAnsi="Wingdings" w:hint="default"/>
      </w:rPr>
    </w:lvl>
  </w:abstractNum>
  <w:abstractNum w:abstractNumId="11" w15:restartNumberingAfterBreak="0">
    <w:nsid w:val="617C2C4D"/>
    <w:multiLevelType w:val="hybridMultilevel"/>
    <w:tmpl w:val="7960D22C"/>
    <w:lvl w:ilvl="0" w:tplc="356CE554">
      <w:start w:val="1"/>
      <w:numFmt w:val="bullet"/>
      <w:lvlText w:val=""/>
      <w:lvlJc w:val="left"/>
      <w:pPr>
        <w:ind w:left="720" w:hanging="360"/>
      </w:pPr>
      <w:rPr>
        <w:rFonts w:ascii="Symbol" w:hAnsi="Symbol" w:hint="default"/>
      </w:rPr>
    </w:lvl>
    <w:lvl w:ilvl="1" w:tplc="4F8AAFC2" w:tentative="1">
      <w:start w:val="1"/>
      <w:numFmt w:val="bullet"/>
      <w:lvlText w:val="o"/>
      <w:lvlJc w:val="left"/>
      <w:pPr>
        <w:ind w:left="1440" w:hanging="360"/>
      </w:pPr>
      <w:rPr>
        <w:rFonts w:ascii="Courier New" w:hAnsi="Courier New" w:cs="Courier New" w:hint="default"/>
      </w:rPr>
    </w:lvl>
    <w:lvl w:ilvl="2" w:tplc="33BE6E24" w:tentative="1">
      <w:start w:val="1"/>
      <w:numFmt w:val="bullet"/>
      <w:lvlText w:val=""/>
      <w:lvlJc w:val="left"/>
      <w:pPr>
        <w:ind w:left="2160" w:hanging="360"/>
      </w:pPr>
      <w:rPr>
        <w:rFonts w:ascii="Wingdings" w:hAnsi="Wingdings" w:hint="default"/>
      </w:rPr>
    </w:lvl>
    <w:lvl w:ilvl="3" w:tplc="E724D62A" w:tentative="1">
      <w:start w:val="1"/>
      <w:numFmt w:val="bullet"/>
      <w:lvlText w:val=""/>
      <w:lvlJc w:val="left"/>
      <w:pPr>
        <w:ind w:left="2880" w:hanging="360"/>
      </w:pPr>
      <w:rPr>
        <w:rFonts w:ascii="Symbol" w:hAnsi="Symbol" w:hint="default"/>
      </w:rPr>
    </w:lvl>
    <w:lvl w:ilvl="4" w:tplc="90D4C148" w:tentative="1">
      <w:start w:val="1"/>
      <w:numFmt w:val="bullet"/>
      <w:lvlText w:val="o"/>
      <w:lvlJc w:val="left"/>
      <w:pPr>
        <w:ind w:left="3600" w:hanging="360"/>
      </w:pPr>
      <w:rPr>
        <w:rFonts w:ascii="Courier New" w:hAnsi="Courier New" w:cs="Courier New" w:hint="default"/>
      </w:rPr>
    </w:lvl>
    <w:lvl w:ilvl="5" w:tplc="7F20833E" w:tentative="1">
      <w:start w:val="1"/>
      <w:numFmt w:val="bullet"/>
      <w:lvlText w:val=""/>
      <w:lvlJc w:val="left"/>
      <w:pPr>
        <w:ind w:left="4320" w:hanging="360"/>
      </w:pPr>
      <w:rPr>
        <w:rFonts w:ascii="Wingdings" w:hAnsi="Wingdings" w:hint="default"/>
      </w:rPr>
    </w:lvl>
    <w:lvl w:ilvl="6" w:tplc="6994D00C" w:tentative="1">
      <w:start w:val="1"/>
      <w:numFmt w:val="bullet"/>
      <w:lvlText w:val=""/>
      <w:lvlJc w:val="left"/>
      <w:pPr>
        <w:ind w:left="5040" w:hanging="360"/>
      </w:pPr>
      <w:rPr>
        <w:rFonts w:ascii="Symbol" w:hAnsi="Symbol" w:hint="default"/>
      </w:rPr>
    </w:lvl>
    <w:lvl w:ilvl="7" w:tplc="EE302AB8" w:tentative="1">
      <w:start w:val="1"/>
      <w:numFmt w:val="bullet"/>
      <w:lvlText w:val="o"/>
      <w:lvlJc w:val="left"/>
      <w:pPr>
        <w:ind w:left="5760" w:hanging="360"/>
      </w:pPr>
      <w:rPr>
        <w:rFonts w:ascii="Courier New" w:hAnsi="Courier New" w:cs="Courier New" w:hint="default"/>
      </w:rPr>
    </w:lvl>
    <w:lvl w:ilvl="8" w:tplc="38428430" w:tentative="1">
      <w:start w:val="1"/>
      <w:numFmt w:val="bullet"/>
      <w:lvlText w:val=""/>
      <w:lvlJc w:val="left"/>
      <w:pPr>
        <w:ind w:left="6480" w:hanging="360"/>
      </w:pPr>
      <w:rPr>
        <w:rFonts w:ascii="Wingdings" w:hAnsi="Wingdings" w:hint="default"/>
      </w:rPr>
    </w:lvl>
  </w:abstractNum>
  <w:abstractNum w:abstractNumId="12" w15:restartNumberingAfterBreak="0">
    <w:nsid w:val="67382AAA"/>
    <w:multiLevelType w:val="multilevel"/>
    <w:tmpl w:val="10C4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8A1359"/>
    <w:multiLevelType w:val="hybridMultilevel"/>
    <w:tmpl w:val="F3CECE42"/>
    <w:lvl w:ilvl="0" w:tplc="6910122A">
      <w:start w:val="1"/>
      <w:numFmt w:val="bullet"/>
      <w:lvlText w:val=""/>
      <w:lvlJc w:val="left"/>
      <w:pPr>
        <w:ind w:left="720" w:hanging="360"/>
      </w:pPr>
      <w:rPr>
        <w:rFonts w:ascii="Symbol" w:hAnsi="Symbol" w:hint="default"/>
      </w:rPr>
    </w:lvl>
    <w:lvl w:ilvl="1" w:tplc="11449DAC" w:tentative="1">
      <w:start w:val="1"/>
      <w:numFmt w:val="bullet"/>
      <w:lvlText w:val="o"/>
      <w:lvlJc w:val="left"/>
      <w:pPr>
        <w:ind w:left="1440" w:hanging="360"/>
      </w:pPr>
      <w:rPr>
        <w:rFonts w:ascii="Courier New" w:hAnsi="Courier New" w:cs="Courier New" w:hint="default"/>
      </w:rPr>
    </w:lvl>
    <w:lvl w:ilvl="2" w:tplc="5ED68E4A" w:tentative="1">
      <w:start w:val="1"/>
      <w:numFmt w:val="bullet"/>
      <w:lvlText w:val=""/>
      <w:lvlJc w:val="left"/>
      <w:pPr>
        <w:ind w:left="2160" w:hanging="360"/>
      </w:pPr>
      <w:rPr>
        <w:rFonts w:ascii="Wingdings" w:hAnsi="Wingdings" w:hint="default"/>
      </w:rPr>
    </w:lvl>
    <w:lvl w:ilvl="3" w:tplc="5518D534" w:tentative="1">
      <w:start w:val="1"/>
      <w:numFmt w:val="bullet"/>
      <w:lvlText w:val=""/>
      <w:lvlJc w:val="left"/>
      <w:pPr>
        <w:ind w:left="2880" w:hanging="360"/>
      </w:pPr>
      <w:rPr>
        <w:rFonts w:ascii="Symbol" w:hAnsi="Symbol" w:hint="default"/>
      </w:rPr>
    </w:lvl>
    <w:lvl w:ilvl="4" w:tplc="AF6A0A3E" w:tentative="1">
      <w:start w:val="1"/>
      <w:numFmt w:val="bullet"/>
      <w:lvlText w:val="o"/>
      <w:lvlJc w:val="left"/>
      <w:pPr>
        <w:ind w:left="3600" w:hanging="360"/>
      </w:pPr>
      <w:rPr>
        <w:rFonts w:ascii="Courier New" w:hAnsi="Courier New" w:cs="Courier New" w:hint="default"/>
      </w:rPr>
    </w:lvl>
    <w:lvl w:ilvl="5" w:tplc="5BCE8B22" w:tentative="1">
      <w:start w:val="1"/>
      <w:numFmt w:val="bullet"/>
      <w:lvlText w:val=""/>
      <w:lvlJc w:val="left"/>
      <w:pPr>
        <w:ind w:left="4320" w:hanging="360"/>
      </w:pPr>
      <w:rPr>
        <w:rFonts w:ascii="Wingdings" w:hAnsi="Wingdings" w:hint="default"/>
      </w:rPr>
    </w:lvl>
    <w:lvl w:ilvl="6" w:tplc="3588F34E" w:tentative="1">
      <w:start w:val="1"/>
      <w:numFmt w:val="bullet"/>
      <w:lvlText w:val=""/>
      <w:lvlJc w:val="left"/>
      <w:pPr>
        <w:ind w:left="5040" w:hanging="360"/>
      </w:pPr>
      <w:rPr>
        <w:rFonts w:ascii="Symbol" w:hAnsi="Symbol" w:hint="default"/>
      </w:rPr>
    </w:lvl>
    <w:lvl w:ilvl="7" w:tplc="ADF63D9C" w:tentative="1">
      <w:start w:val="1"/>
      <w:numFmt w:val="bullet"/>
      <w:lvlText w:val="o"/>
      <w:lvlJc w:val="left"/>
      <w:pPr>
        <w:ind w:left="5760" w:hanging="360"/>
      </w:pPr>
      <w:rPr>
        <w:rFonts w:ascii="Courier New" w:hAnsi="Courier New" w:cs="Courier New" w:hint="default"/>
      </w:rPr>
    </w:lvl>
    <w:lvl w:ilvl="8" w:tplc="EB0CD0D8" w:tentative="1">
      <w:start w:val="1"/>
      <w:numFmt w:val="bullet"/>
      <w:lvlText w:val=""/>
      <w:lvlJc w:val="left"/>
      <w:pPr>
        <w:ind w:left="6480" w:hanging="360"/>
      </w:pPr>
      <w:rPr>
        <w:rFonts w:ascii="Wingdings" w:hAnsi="Wingdings" w:hint="default"/>
      </w:rPr>
    </w:lvl>
  </w:abstractNum>
  <w:num w:numId="1" w16cid:durableId="467359767">
    <w:abstractNumId w:val="1"/>
  </w:num>
  <w:num w:numId="2" w16cid:durableId="332681220">
    <w:abstractNumId w:val="4"/>
  </w:num>
  <w:num w:numId="3" w16cid:durableId="2144958757">
    <w:abstractNumId w:val="14"/>
  </w:num>
  <w:num w:numId="4" w16cid:durableId="204559493">
    <w:abstractNumId w:val="2"/>
  </w:num>
  <w:num w:numId="5" w16cid:durableId="817917491">
    <w:abstractNumId w:val="7"/>
  </w:num>
  <w:num w:numId="6" w16cid:durableId="457333221">
    <w:abstractNumId w:val="6"/>
  </w:num>
  <w:num w:numId="7" w16cid:durableId="996878259">
    <w:abstractNumId w:val="9"/>
  </w:num>
  <w:num w:numId="8" w16cid:durableId="657422723">
    <w:abstractNumId w:val="5"/>
  </w:num>
  <w:num w:numId="9" w16cid:durableId="1627931823">
    <w:abstractNumId w:val="13"/>
  </w:num>
  <w:num w:numId="10" w16cid:durableId="1106778464">
    <w:abstractNumId w:val="11"/>
  </w:num>
  <w:num w:numId="11" w16cid:durableId="1361974735">
    <w:abstractNumId w:val="8"/>
  </w:num>
  <w:num w:numId="12" w16cid:durableId="1116561382">
    <w:abstractNumId w:val="3"/>
  </w:num>
  <w:num w:numId="13" w16cid:durableId="272445804">
    <w:abstractNumId w:val="10"/>
  </w:num>
  <w:num w:numId="14" w16cid:durableId="345012847">
    <w:abstractNumId w:val="12"/>
  </w:num>
  <w:num w:numId="15" w16cid:durableId="872114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92C82"/>
    <w:rsid w:val="000D7DCB"/>
    <w:rsid w:val="00212727"/>
    <w:rsid w:val="002B1902"/>
    <w:rsid w:val="002B71A4"/>
    <w:rsid w:val="003E46B8"/>
    <w:rsid w:val="004165CA"/>
    <w:rsid w:val="00507681"/>
    <w:rsid w:val="00556B0A"/>
    <w:rsid w:val="006C05D1"/>
    <w:rsid w:val="006D41D8"/>
    <w:rsid w:val="007424F2"/>
    <w:rsid w:val="00980C10"/>
    <w:rsid w:val="009A65BA"/>
    <w:rsid w:val="00A960C3"/>
    <w:rsid w:val="00B2576A"/>
    <w:rsid w:val="00B45F56"/>
    <w:rsid w:val="00B56768"/>
    <w:rsid w:val="00BC5729"/>
    <w:rsid w:val="00BF10F1"/>
    <w:rsid w:val="00CA407B"/>
    <w:rsid w:val="00CF007E"/>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99D407"/>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paragraph" w:styleId="NormalWeb">
    <w:name w:val="Normal (Web)"/>
    <w:basedOn w:val="Normal"/>
    <w:uiPriority w:val="99"/>
    <w:semiHidden/>
    <w:unhideWhenUsed/>
    <w:rsid w:val="003E46B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1396</Words>
  <Characters>7732</Characters>
  <Application>Microsoft Office Word</Application>
  <DocSecurity>0</DocSecurity>
  <Lines>773</Lines>
  <Paragraphs>60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5</cp:revision>
  <dcterms:created xsi:type="dcterms:W3CDTF">2024-10-09T10:38:00Z</dcterms:created>
  <dcterms:modified xsi:type="dcterms:W3CDTF">2024-10-30T09:41:00Z</dcterms:modified>
</cp:coreProperties>
</file>