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24E1" w14:textId="03ADC00A" w:rsidR="00516B45" w:rsidRPr="005B2D0D" w:rsidRDefault="00516B45" w:rsidP="00946123">
      <w:pPr>
        <w:pStyle w:val="Title"/>
      </w:pPr>
      <w:r w:rsidRPr="005B2D0D">
        <w:t xml:space="preserve">Chapter </w:t>
      </w:r>
      <w:r w:rsidR="00D25CF2" w:rsidRPr="005B2D0D">
        <w:t>5</w:t>
      </w:r>
      <w:r w:rsidR="00940BC6">
        <w:rPr>
          <w:rFonts w:hint="eastAsia"/>
          <w:lang w:eastAsia="ja-JP"/>
        </w:rPr>
        <w:t>:</w:t>
      </w:r>
      <w:r w:rsidR="00520998" w:rsidRPr="005B2D0D">
        <w:t xml:space="preserve"> </w:t>
      </w:r>
      <w:r w:rsidR="001A5732" w:rsidRPr="005B2D0D">
        <w:t>Science</w:t>
      </w:r>
      <w:r w:rsidR="00A97227" w:rsidRPr="005B2D0D">
        <w:t>: Inversion of Environmental Knowledge in Japan</w:t>
      </w:r>
    </w:p>
    <w:p w14:paraId="258A8B0E" w14:textId="60D6A326" w:rsidR="0028523A" w:rsidRPr="0032391B" w:rsidRDefault="00655285" w:rsidP="00946123">
      <w:r w:rsidRPr="0032391B">
        <w:t xml:space="preserve">The tremendous power of the state is not always the prime determinant of inversion. </w:t>
      </w:r>
      <w:r w:rsidR="00284367" w:rsidRPr="0032391B">
        <w:t xml:space="preserve">Instead, it </w:t>
      </w:r>
      <w:r w:rsidRPr="0032391B">
        <w:t xml:space="preserve">often </w:t>
      </w:r>
      <w:r w:rsidR="0028523A" w:rsidRPr="0032391B">
        <w:t>hinges on the willingness of</w:t>
      </w:r>
      <w:r w:rsidRPr="0032391B">
        <w:t xml:space="preserve"> </w:t>
      </w:r>
      <w:r w:rsidR="00F01AF9" w:rsidRPr="0032391B">
        <w:t>local</w:t>
      </w:r>
      <w:r w:rsidR="000F03C4" w:rsidRPr="0032391B">
        <w:t xml:space="preserve"> people </w:t>
      </w:r>
      <w:r w:rsidR="00516B45" w:rsidRPr="0032391B">
        <w:t>to accept the logic of the state.</w:t>
      </w:r>
      <w:r w:rsidR="00B30BEB" w:rsidRPr="0032391B">
        <w:t xml:space="preserve"> This</w:t>
      </w:r>
      <w:r w:rsidR="0028523A" w:rsidRPr="0032391B">
        <w:t xml:space="preserve"> acceptance</w:t>
      </w:r>
      <w:r w:rsidR="00B30BEB" w:rsidRPr="0032391B">
        <w:t xml:space="preserve"> is not </w:t>
      </w:r>
      <w:r w:rsidR="0028523A" w:rsidRPr="0032391B">
        <w:t>merely due to</w:t>
      </w:r>
      <w:r w:rsidR="00B30BEB" w:rsidRPr="0032391B">
        <w:t xml:space="preserve"> the</w:t>
      </w:r>
      <w:r w:rsidR="0028523A" w:rsidRPr="0032391B">
        <w:t xml:space="preserve"> </w:t>
      </w:r>
      <w:r w:rsidR="00E40DD4" w:rsidRPr="0032391B">
        <w:t>government’s a</w:t>
      </w:r>
      <w:r w:rsidR="00B30BEB" w:rsidRPr="0032391B">
        <w:t xml:space="preserve">rguments of the state </w:t>
      </w:r>
      <w:r w:rsidR="0028523A" w:rsidRPr="0032391B">
        <w:t>being underpinned</w:t>
      </w:r>
      <w:r w:rsidR="00B30BEB" w:rsidRPr="0032391B">
        <w:t xml:space="preserve"> by scientific evidence, but also</w:t>
      </w:r>
      <w:r w:rsidR="0028523A" w:rsidRPr="0032391B">
        <w:t>,</w:t>
      </w:r>
      <w:r w:rsidR="00B30BEB" w:rsidRPr="0032391B">
        <w:t xml:space="preserve"> when things are uncertain, people tend to rely o</w:t>
      </w:r>
      <w:r w:rsidR="00725BC3">
        <w:rPr>
          <w:rFonts w:hint="eastAsia"/>
          <w:lang w:eastAsia="ja-JP"/>
        </w:rPr>
        <w:t>n</w:t>
      </w:r>
      <w:r w:rsidR="00E40DD4" w:rsidRPr="0032391B">
        <w:t xml:space="preserve"> non-expert judgment to make decisions, even when it comes from non-local sources, to guide decision-making</w:t>
      </w:r>
      <w:r w:rsidR="00B30BEB" w:rsidRPr="0032391B">
        <w:t>. To rediscover how to direct our knowledge to</w:t>
      </w:r>
      <w:r w:rsidR="0028523A" w:rsidRPr="0032391B">
        <w:t>ward</w:t>
      </w:r>
      <w:r w:rsidR="00B30BEB" w:rsidRPr="0032391B">
        <w:t xml:space="preserve"> serv</w:t>
      </w:r>
      <w:r w:rsidR="0028523A" w:rsidRPr="0032391B">
        <w:t>ing</w:t>
      </w:r>
      <w:r w:rsidR="00B30BEB" w:rsidRPr="0032391B">
        <w:t xml:space="preserve"> the </w:t>
      </w:r>
      <w:r w:rsidR="001759DB" w:rsidRPr="0032391B">
        <w:t xml:space="preserve">people’s </w:t>
      </w:r>
      <w:r w:rsidR="00B30BEB" w:rsidRPr="0032391B">
        <w:t xml:space="preserve">interests, a better understanding of the workings of modern science is needed. </w:t>
      </w:r>
    </w:p>
    <w:p w14:paraId="6F4014EE" w14:textId="56171E8A" w:rsidR="00B30BEB" w:rsidRDefault="00B30BEB" w:rsidP="00946123">
      <w:r w:rsidRPr="0032391B">
        <w:t xml:space="preserve">Ui Jun, a </w:t>
      </w:r>
      <w:r w:rsidR="00F01AF9" w:rsidRPr="0032391B">
        <w:t xml:space="preserve">Japanese </w:t>
      </w:r>
      <w:r w:rsidRPr="0032391B">
        <w:t xml:space="preserve">water engineer, fought </w:t>
      </w:r>
      <w:r w:rsidR="00655285" w:rsidRPr="0032391B">
        <w:t xml:space="preserve">passionately </w:t>
      </w:r>
      <w:r w:rsidRPr="0032391B">
        <w:t xml:space="preserve">against the polluting companies and the scientists </w:t>
      </w:r>
      <w:r w:rsidR="0028523A" w:rsidRPr="0032391B">
        <w:t xml:space="preserve">associated with </w:t>
      </w:r>
      <w:r w:rsidRPr="0032391B">
        <w:t>them</w:t>
      </w:r>
      <w:r w:rsidR="00655285" w:rsidRPr="0032391B">
        <w:t>.</w:t>
      </w:r>
      <w:r w:rsidRPr="0032391B">
        <w:t xml:space="preserve"> </w:t>
      </w:r>
      <w:r w:rsidR="00655285" w:rsidRPr="0032391B">
        <w:t xml:space="preserve">His </w:t>
      </w:r>
      <w:r w:rsidR="0028523A" w:rsidRPr="0032391B">
        <w:t xml:space="preserve">compelling </w:t>
      </w:r>
      <w:r w:rsidR="00655285" w:rsidRPr="0032391B">
        <w:t xml:space="preserve">story and incisive analysis </w:t>
      </w:r>
      <w:r w:rsidRPr="0032391B">
        <w:t xml:space="preserve">provide insights into how environmental knowledge can </w:t>
      </w:r>
      <w:r w:rsidR="00E40DD4" w:rsidRPr="0032391B">
        <w:t>i</w:t>
      </w:r>
      <w:r w:rsidRPr="0032391B">
        <w:t>nvite inversion and</w:t>
      </w:r>
      <w:r w:rsidR="0028523A" w:rsidRPr="0032391B">
        <w:t>, conversely,</w:t>
      </w:r>
      <w:r w:rsidRPr="0032391B">
        <w:t xml:space="preserve"> how this tendency might be rever</w:t>
      </w:r>
      <w:r w:rsidR="00655285" w:rsidRPr="0032391B">
        <w:t>s</w:t>
      </w:r>
      <w:r w:rsidRPr="0032391B">
        <w:t xml:space="preserve">ed by relying more on the tacit knowledge of the people. </w:t>
      </w:r>
      <w:r w:rsidR="0028523A" w:rsidRPr="0032391B">
        <w:t xml:space="preserve">This chapter </w:t>
      </w:r>
      <w:r w:rsidRPr="0032391B">
        <w:t>begin</w:t>
      </w:r>
      <w:r w:rsidR="0028523A" w:rsidRPr="0032391B">
        <w:t>s</w:t>
      </w:r>
      <w:r w:rsidRPr="0032391B">
        <w:t xml:space="preserve"> by considering </w:t>
      </w:r>
      <w:r w:rsidR="00655285" w:rsidRPr="0032391B">
        <w:t>the tragic case</w:t>
      </w:r>
      <w:r w:rsidR="00032B30" w:rsidRPr="0032391B">
        <w:t>s</w:t>
      </w:r>
      <w:r w:rsidR="00655285" w:rsidRPr="0032391B">
        <w:t xml:space="preserve"> of </w:t>
      </w:r>
      <w:r w:rsidR="00F01AF9" w:rsidRPr="0032391B">
        <w:t xml:space="preserve">Japan’s </w:t>
      </w:r>
      <w:r w:rsidRPr="0032391B">
        <w:t>pollution</w:t>
      </w:r>
      <w:r w:rsidR="00F01AF9" w:rsidRPr="0032391B">
        <w:t xml:space="preserve"> in the 1960s</w:t>
      </w:r>
      <w:r w:rsidRPr="0032391B">
        <w:t xml:space="preserve"> and what </w:t>
      </w:r>
      <w:r w:rsidR="00655285" w:rsidRPr="0032391B">
        <w:t xml:space="preserve">they </w:t>
      </w:r>
      <w:r w:rsidR="004F5547" w:rsidRPr="0032391B">
        <w:t>reveal</w:t>
      </w:r>
      <w:r w:rsidRPr="0032391B">
        <w:t xml:space="preserve"> about science</w:t>
      </w:r>
      <w:r w:rsidR="00F01AF9" w:rsidRPr="0032391B">
        <w:t xml:space="preserve"> and knowledge</w:t>
      </w:r>
      <w:r w:rsidRPr="0032391B">
        <w:t xml:space="preserve">. </w:t>
      </w:r>
      <w:r w:rsidR="005D03A2">
        <w:rPr>
          <w:rFonts w:hint="eastAsia"/>
        </w:rPr>
        <w:t xml:space="preserve"> </w:t>
      </w:r>
    </w:p>
    <w:p w14:paraId="65FE6F2D" w14:textId="6C62C4E6" w:rsidR="002D1294" w:rsidRPr="0032391B" w:rsidRDefault="00AE2BAE" w:rsidP="00946123">
      <w:pPr>
        <w:pStyle w:val="Heading1"/>
      </w:pPr>
      <w:r>
        <w:rPr>
          <w:rFonts w:hint="eastAsia"/>
          <w:lang w:eastAsia="ja-JP"/>
        </w:rPr>
        <w:t>5.</w:t>
      </w:r>
      <w:r w:rsidR="0032391B">
        <w:rPr>
          <w:rFonts w:hint="eastAsia"/>
          <w:lang w:eastAsia="ja-JP"/>
        </w:rPr>
        <w:t xml:space="preserve">1 </w:t>
      </w:r>
      <w:r w:rsidR="002D1294" w:rsidRPr="0032391B">
        <w:t>State Inaction in Environmental Problems</w:t>
      </w:r>
    </w:p>
    <w:p w14:paraId="5DD28721" w14:textId="0DC56B60" w:rsidR="00231BC1" w:rsidRPr="00946123" w:rsidRDefault="002D1294" w:rsidP="00946123">
      <w:r w:rsidRPr="00946123">
        <w:t xml:space="preserve">Japan </w:t>
      </w:r>
      <w:r w:rsidR="000F03C4" w:rsidRPr="00946123">
        <w:t>has</w:t>
      </w:r>
      <w:r w:rsidRPr="00946123">
        <w:t xml:space="preserve"> </w:t>
      </w:r>
      <w:r w:rsidR="001759DB" w:rsidRPr="00946123">
        <w:t xml:space="preserve">long </w:t>
      </w:r>
      <w:r w:rsidRPr="00946123">
        <w:t>experienc</w:t>
      </w:r>
      <w:r w:rsidR="000F03C4" w:rsidRPr="00946123">
        <w:t>ed</w:t>
      </w:r>
      <w:r w:rsidRPr="00946123">
        <w:t xml:space="preserve"> severe environmental problems</w:t>
      </w:r>
      <w:r w:rsidR="00F835DB" w:rsidRPr="00946123">
        <w:t>—</w:t>
      </w:r>
      <w:r w:rsidR="005D03A2" w:rsidRPr="00946123">
        <w:t>especially in the 1960s and 70s</w:t>
      </w:r>
      <w:r w:rsidRPr="00946123">
        <w:t xml:space="preserve">. </w:t>
      </w:r>
      <w:r w:rsidR="000F03C4" w:rsidRPr="00946123">
        <w:t xml:space="preserve">However, </w:t>
      </w:r>
      <w:r w:rsidR="0065046D" w:rsidRPr="00946123">
        <w:t>even more remarkable than</w:t>
      </w:r>
      <w:r w:rsidR="009A4032" w:rsidRPr="00946123">
        <w:t xml:space="preserve"> the severity of the pollution</w:t>
      </w:r>
      <w:r w:rsidR="0065046D" w:rsidRPr="00946123">
        <w:t xml:space="preserve"> wa</w:t>
      </w:r>
      <w:r w:rsidR="001759DB" w:rsidRPr="00946123">
        <w:t xml:space="preserve">s </w:t>
      </w:r>
      <w:r w:rsidR="009A4032" w:rsidRPr="00946123">
        <w:t xml:space="preserve">the way </w:t>
      </w:r>
      <w:r w:rsidR="000F03C4" w:rsidRPr="00946123">
        <w:t xml:space="preserve">that </w:t>
      </w:r>
      <w:r w:rsidR="00827140" w:rsidRPr="00946123">
        <w:t xml:space="preserve">the </w:t>
      </w:r>
      <w:r w:rsidR="009A4032" w:rsidRPr="00946123">
        <w:t xml:space="preserve">socio-political system </w:t>
      </w:r>
      <w:r w:rsidR="0065046D" w:rsidRPr="00946123">
        <w:t xml:space="preserve">further </w:t>
      </w:r>
      <w:r w:rsidR="009A4032" w:rsidRPr="00946123">
        <w:t xml:space="preserve">exacerbated </w:t>
      </w:r>
      <w:r w:rsidR="005D03A2" w:rsidRPr="00946123">
        <w:t xml:space="preserve">the </w:t>
      </w:r>
      <w:r w:rsidR="009A4032" w:rsidRPr="00946123">
        <w:t xml:space="preserve">damage. The risk of water pollution </w:t>
      </w:r>
      <w:r w:rsidR="000F03C4" w:rsidRPr="00946123">
        <w:t xml:space="preserve">was </w:t>
      </w:r>
      <w:r w:rsidR="009A4032" w:rsidRPr="00946123">
        <w:t xml:space="preserve">identified as </w:t>
      </w:r>
      <w:r w:rsidR="00827140" w:rsidRPr="00946123">
        <w:t xml:space="preserve">a </w:t>
      </w:r>
      <w:r w:rsidR="000F03C4" w:rsidRPr="00946123">
        <w:t xml:space="preserve">potential </w:t>
      </w:r>
      <w:r w:rsidR="009A4032" w:rsidRPr="00946123">
        <w:t xml:space="preserve">threat to the health and economy of </w:t>
      </w:r>
      <w:r w:rsidR="000F03C4" w:rsidRPr="00946123">
        <w:t xml:space="preserve">Japan as early as </w:t>
      </w:r>
      <w:r w:rsidR="009A4032" w:rsidRPr="00946123">
        <w:t xml:space="preserve">the 1940s </w:t>
      </w:r>
      <w:r w:rsidR="009A4032" w:rsidRPr="00EB6761">
        <w:t>(Terao 2009</w:t>
      </w:r>
      <w:r w:rsidR="009A4032" w:rsidRPr="00946123">
        <w:t xml:space="preserve">). </w:t>
      </w:r>
      <w:r w:rsidR="0065046D" w:rsidRPr="00946123">
        <w:t>While t</w:t>
      </w:r>
      <w:r w:rsidR="009A4032" w:rsidRPr="00946123">
        <w:t xml:space="preserve">he notorious Minamata disease </w:t>
      </w:r>
      <w:r w:rsidR="000F03C4" w:rsidRPr="00946123">
        <w:t>was</w:t>
      </w:r>
      <w:r w:rsidR="005D03A2" w:rsidRPr="00946123">
        <w:t xml:space="preserve"> first </w:t>
      </w:r>
      <w:r w:rsidR="00032B30" w:rsidRPr="00946123">
        <w:t>discovered</w:t>
      </w:r>
      <w:r w:rsidR="000F03C4" w:rsidRPr="00946123">
        <w:t xml:space="preserve"> </w:t>
      </w:r>
      <w:r w:rsidR="005D03A2" w:rsidRPr="00946123">
        <w:t xml:space="preserve">in </w:t>
      </w:r>
      <w:r w:rsidR="009A4032" w:rsidRPr="00946123">
        <w:t>1956</w:t>
      </w:r>
      <w:r w:rsidR="0065046D" w:rsidRPr="00946123">
        <w:t>,</w:t>
      </w:r>
      <w:r w:rsidR="000F03C4" w:rsidRPr="00946123">
        <w:t xml:space="preserve"> it </w:t>
      </w:r>
      <w:r w:rsidR="009A4032" w:rsidRPr="00946123">
        <w:t xml:space="preserve">took </w:t>
      </w:r>
      <w:r w:rsidR="000F03C4" w:rsidRPr="00946123">
        <w:t>nine</w:t>
      </w:r>
      <w:r w:rsidR="009A4032" w:rsidRPr="00946123">
        <w:t xml:space="preserve"> years for the government to</w:t>
      </w:r>
      <w:r w:rsidR="00416581" w:rsidRPr="00946123">
        <w:t xml:space="preserve"> acknowledge</w:t>
      </w:r>
      <w:r w:rsidR="00645253" w:rsidRPr="00946123">
        <w:t xml:space="preserve"> </w:t>
      </w:r>
      <w:r w:rsidR="000F03C4" w:rsidRPr="00946123">
        <w:t xml:space="preserve">that it was </w:t>
      </w:r>
      <w:r w:rsidR="00827140" w:rsidRPr="00946123">
        <w:t>caused</w:t>
      </w:r>
      <w:r w:rsidR="009A4032" w:rsidRPr="00946123">
        <w:t xml:space="preserve"> </w:t>
      </w:r>
      <w:r w:rsidR="000F03C4" w:rsidRPr="00946123">
        <w:t xml:space="preserve">by </w:t>
      </w:r>
      <w:r w:rsidR="005D03A2" w:rsidRPr="00946123">
        <w:t>mercury-contaminated</w:t>
      </w:r>
      <w:r w:rsidR="000F03C4" w:rsidRPr="00946123">
        <w:t xml:space="preserve"> water emissions from </w:t>
      </w:r>
      <w:proofErr w:type="spellStart"/>
      <w:r w:rsidR="00827140" w:rsidRPr="00946123">
        <w:t>Chisso</w:t>
      </w:r>
      <w:r w:rsidR="000F03C4" w:rsidRPr="00946123">
        <w:t>’s</w:t>
      </w:r>
      <w:proofErr w:type="spellEnd"/>
      <w:r w:rsidR="000F03C4" w:rsidRPr="00946123">
        <w:t xml:space="preserve"> Minam</w:t>
      </w:r>
      <w:r w:rsidR="001739CE" w:rsidRPr="00946123">
        <w:rPr>
          <w:rFonts w:hint="eastAsia"/>
        </w:rPr>
        <w:t>a</w:t>
      </w:r>
      <w:r w:rsidR="001739CE" w:rsidRPr="00946123">
        <w:t>ta</w:t>
      </w:r>
      <w:r w:rsidR="00827140" w:rsidRPr="00946123">
        <w:t xml:space="preserve"> factory</w:t>
      </w:r>
      <w:r w:rsidR="009A4032" w:rsidRPr="00946123">
        <w:t xml:space="preserve">. </w:t>
      </w:r>
      <w:r w:rsidR="000F03C4" w:rsidRPr="00946123">
        <w:t xml:space="preserve">Even today, </w:t>
      </w:r>
      <w:r w:rsidR="00655285" w:rsidRPr="00946123">
        <w:t xml:space="preserve">despite many years of effort from countless </w:t>
      </w:r>
      <w:r w:rsidR="00655285" w:rsidRPr="00946123">
        <w:lastRenderedPageBreak/>
        <w:t xml:space="preserve">people and organizations, </w:t>
      </w:r>
      <w:r w:rsidR="000F03C4" w:rsidRPr="00946123">
        <w:t>t</w:t>
      </w:r>
      <w:r w:rsidR="009A4032" w:rsidRPr="00946123">
        <w:t xml:space="preserve">here </w:t>
      </w:r>
      <w:r w:rsidR="00827140" w:rsidRPr="00946123">
        <w:t>are</w:t>
      </w:r>
      <w:r w:rsidR="009A4032" w:rsidRPr="00946123">
        <w:t xml:space="preserve"> no</w:t>
      </w:r>
      <w:r w:rsidR="000F03C4" w:rsidRPr="00946123">
        <w:t xml:space="preserve"> reliable </w:t>
      </w:r>
      <w:r w:rsidR="005D03A2" w:rsidRPr="00946123">
        <w:t>data</w:t>
      </w:r>
      <w:r w:rsidR="009A4032" w:rsidRPr="00946123">
        <w:t xml:space="preserve"> on how many people have perished due to Minamata disease.  </w:t>
      </w:r>
    </w:p>
    <w:p w14:paraId="29BDD672" w14:textId="5A667D3C" w:rsidR="00C67490" w:rsidRPr="00946123" w:rsidRDefault="00231BC1" w:rsidP="00946123">
      <w:r w:rsidRPr="00946123">
        <w:t xml:space="preserve">Minamata </w:t>
      </w:r>
      <w:r w:rsidR="00827140" w:rsidRPr="00946123">
        <w:t xml:space="preserve">is </w:t>
      </w:r>
      <w:r w:rsidRPr="00946123">
        <w:t xml:space="preserve">not a disease of the past. It was in the year 2004 (more than 60 years after </w:t>
      </w:r>
      <w:r w:rsidR="00655285" w:rsidRPr="00946123">
        <w:t xml:space="preserve">its </w:t>
      </w:r>
      <w:r w:rsidRPr="00946123">
        <w:t xml:space="preserve">initial discovery) that the Supreme Court </w:t>
      </w:r>
      <w:r w:rsidR="000F03C4" w:rsidRPr="00946123">
        <w:t xml:space="preserve">ruled against </w:t>
      </w:r>
      <w:r w:rsidR="007360F3" w:rsidRPr="00946123">
        <w:t xml:space="preserve">the </w:t>
      </w:r>
      <w:r w:rsidR="007D1142" w:rsidRPr="00946123">
        <w:t xml:space="preserve">national and Kumamoto </w:t>
      </w:r>
      <w:r w:rsidR="0065046D" w:rsidRPr="00946123">
        <w:t>P</w:t>
      </w:r>
      <w:r w:rsidR="007D1142" w:rsidRPr="00946123">
        <w:t xml:space="preserve">refectural </w:t>
      </w:r>
      <w:r w:rsidR="0065046D" w:rsidRPr="00946123">
        <w:t>G</w:t>
      </w:r>
      <w:r w:rsidR="007D1142" w:rsidRPr="00946123">
        <w:t xml:space="preserve">overnment for negligence in allowing the </w:t>
      </w:r>
      <w:r w:rsidRPr="00946123">
        <w:t xml:space="preserve">spread of mercury poisoning </w:t>
      </w:r>
      <w:r w:rsidR="007D1142" w:rsidRPr="00946123">
        <w:t xml:space="preserve">near </w:t>
      </w:r>
      <w:r w:rsidRPr="00946123">
        <w:t xml:space="preserve">the </w:t>
      </w:r>
      <w:proofErr w:type="spellStart"/>
      <w:r w:rsidRPr="00946123">
        <w:t>Shiranui</w:t>
      </w:r>
      <w:proofErr w:type="spellEnd"/>
      <w:r w:rsidRPr="00946123">
        <w:t xml:space="preserve"> Sea in western Japan</w:t>
      </w:r>
      <w:r w:rsidR="007D1142" w:rsidRPr="00946123">
        <w:t xml:space="preserve"> (</w:t>
      </w:r>
      <w:r w:rsidR="007D1142" w:rsidRPr="008A6105">
        <w:t>Yoshinaga and McCormack,</w:t>
      </w:r>
      <w:r w:rsidR="00444271" w:rsidRPr="008A6105">
        <w:t xml:space="preserve"> 2004</w:t>
      </w:r>
      <w:r w:rsidR="007D1142" w:rsidRPr="00946123">
        <w:t>).</w:t>
      </w:r>
      <w:r w:rsidR="00D1697E" w:rsidRPr="00946123">
        <w:t xml:space="preserve"> </w:t>
      </w:r>
      <w:r w:rsidR="001759DB" w:rsidRPr="00946123">
        <w:t xml:space="preserve">The Japanese </w:t>
      </w:r>
      <w:r w:rsidR="00416581" w:rsidRPr="00946123">
        <w:t>Ministry of</w:t>
      </w:r>
      <w:r w:rsidR="001759DB" w:rsidRPr="00946123">
        <w:t xml:space="preserve"> the</w:t>
      </w:r>
      <w:r w:rsidR="00416581" w:rsidRPr="00946123">
        <w:t xml:space="preserve"> Environment </w:t>
      </w:r>
      <w:r w:rsidR="00D1697E" w:rsidRPr="00946123">
        <w:t xml:space="preserve">reported that </w:t>
      </w:r>
      <w:r w:rsidR="00416581" w:rsidRPr="00946123">
        <w:t xml:space="preserve">out of 35,092 </w:t>
      </w:r>
      <w:r w:rsidR="004F5547" w:rsidRPr="00946123">
        <w:t>applications</w:t>
      </w:r>
      <w:r w:rsidR="0065046D" w:rsidRPr="00946123">
        <w:t>, only 2998 were newly acknowledged</w:t>
      </w:r>
      <w:r w:rsidR="00416581" w:rsidRPr="00946123">
        <w:t xml:space="preserve"> </w:t>
      </w:r>
      <w:r w:rsidR="001759DB" w:rsidRPr="00946123">
        <w:t xml:space="preserve">during the </w:t>
      </w:r>
      <w:r w:rsidR="00D1697E" w:rsidRPr="00946123">
        <w:t>2009</w:t>
      </w:r>
      <w:r w:rsidR="001759DB" w:rsidRPr="00946123">
        <w:t>–</w:t>
      </w:r>
      <w:r w:rsidR="00D1697E" w:rsidRPr="00946123">
        <w:t xml:space="preserve">2012 </w:t>
      </w:r>
      <w:r w:rsidR="00655285" w:rsidRPr="00946123">
        <w:t xml:space="preserve">special relief </w:t>
      </w:r>
      <w:r w:rsidR="00D1697E" w:rsidRPr="00946123">
        <w:t>scheme established by law</w:t>
      </w:r>
      <w:r w:rsidR="00506E51" w:rsidRPr="00946123">
        <w:t xml:space="preserve"> (</w:t>
      </w:r>
      <w:r w:rsidR="00416581" w:rsidRPr="00453BC1">
        <w:t>Ministry of</w:t>
      </w:r>
      <w:r w:rsidR="001759DB" w:rsidRPr="00453BC1">
        <w:t xml:space="preserve"> the</w:t>
      </w:r>
      <w:r w:rsidR="00416581" w:rsidRPr="00453BC1">
        <w:t xml:space="preserve"> Environment 2020</w:t>
      </w:r>
      <w:r w:rsidR="00416581" w:rsidRPr="00946123">
        <w:t>)</w:t>
      </w:r>
      <w:r w:rsidR="00506E51" w:rsidRPr="00946123">
        <w:t>.</w:t>
      </w:r>
    </w:p>
    <w:p w14:paraId="7FA2DB8B" w14:textId="77777777" w:rsidR="0032391B" w:rsidRDefault="007D1142" w:rsidP="00946123">
      <w:r w:rsidRPr="00946123">
        <w:t xml:space="preserve">The </w:t>
      </w:r>
      <w:r w:rsidR="0065046D" w:rsidRPr="00946123">
        <w:t xml:space="preserve">most recent </w:t>
      </w:r>
      <w:r w:rsidRPr="00946123">
        <w:t xml:space="preserve">decision </w:t>
      </w:r>
      <w:r w:rsidR="005D03A2" w:rsidRPr="00946123">
        <w:t xml:space="preserve">on Minamata </w:t>
      </w:r>
      <w:r w:rsidRPr="00946123">
        <w:t xml:space="preserve">was handed down in </w:t>
      </w:r>
      <w:r w:rsidR="00231BC1" w:rsidRPr="00946123">
        <w:t>Sept</w:t>
      </w:r>
      <w:r w:rsidRPr="00946123">
        <w:t xml:space="preserve">ember </w:t>
      </w:r>
      <w:r w:rsidR="00231BC1" w:rsidRPr="00946123">
        <w:t>2023</w:t>
      </w:r>
      <w:r w:rsidRPr="00946123">
        <w:t>. In this case</w:t>
      </w:r>
      <w:r w:rsidR="00231BC1" w:rsidRPr="00946123">
        <w:t xml:space="preserve">, the Osaka District Court ordered </w:t>
      </w:r>
      <w:r w:rsidR="0065046D" w:rsidRPr="00946123">
        <w:t xml:space="preserve">that </w:t>
      </w:r>
      <w:r w:rsidR="00231BC1" w:rsidRPr="00946123">
        <w:t xml:space="preserve">the central </w:t>
      </w:r>
      <w:r w:rsidRPr="00946123">
        <w:t xml:space="preserve">government, Kumamoto </w:t>
      </w:r>
      <w:r w:rsidR="0065046D" w:rsidRPr="00946123">
        <w:t>P</w:t>
      </w:r>
      <w:r w:rsidR="00231BC1" w:rsidRPr="00946123">
        <w:t xml:space="preserve">refectural </w:t>
      </w:r>
      <w:r w:rsidR="0065046D" w:rsidRPr="00946123">
        <w:t>G</w:t>
      </w:r>
      <w:r w:rsidR="00231BC1" w:rsidRPr="00946123">
        <w:t xml:space="preserve">overnment and chemical </w:t>
      </w:r>
      <w:r w:rsidR="00F34B49" w:rsidRPr="00946123">
        <w:t xml:space="preserve">manufacturer </w:t>
      </w:r>
      <w:proofErr w:type="spellStart"/>
      <w:r w:rsidR="00231BC1" w:rsidRPr="00946123">
        <w:t>Chisso</w:t>
      </w:r>
      <w:proofErr w:type="spellEnd"/>
      <w:r w:rsidR="00231BC1" w:rsidRPr="00946123">
        <w:t xml:space="preserve"> Corp</w:t>
      </w:r>
      <w:r w:rsidR="001616BD" w:rsidRPr="00946123">
        <w:t>oration</w:t>
      </w:r>
      <w:r w:rsidR="00231BC1" w:rsidRPr="00946123">
        <w:t xml:space="preserve"> pay damages to the plaintiffs from 13 prefectures who were excluded from a special relief program for those with Minamata disease. While the medical case</w:t>
      </w:r>
      <w:r w:rsidR="00EE6DEF" w:rsidRPr="00946123">
        <w:t>s</w:t>
      </w:r>
      <w:r w:rsidR="00231BC1" w:rsidRPr="00946123">
        <w:t xml:space="preserve"> ha</w:t>
      </w:r>
      <w:r w:rsidR="00EE6DEF" w:rsidRPr="00946123">
        <w:t>ve</w:t>
      </w:r>
      <w:r w:rsidR="00231BC1" w:rsidRPr="00946123">
        <w:t xml:space="preserve"> been decreasing naturally due to aging, the</w:t>
      </w:r>
      <w:r w:rsidR="00231BC1" w:rsidRPr="006B3CC3">
        <w:t xml:space="preserve"> institutional battle </w:t>
      </w:r>
      <w:r w:rsidR="0065046D">
        <w:t>continues</w:t>
      </w:r>
      <w:r w:rsidR="00231BC1" w:rsidRPr="006B3CC3">
        <w:t xml:space="preserve">. </w:t>
      </w:r>
    </w:p>
    <w:p w14:paraId="64BEF5D6" w14:textId="77777777" w:rsidR="00946123" w:rsidRDefault="00946123" w:rsidP="00946123"/>
    <w:p w14:paraId="2A489C2B" w14:textId="5E6199D2" w:rsidR="00231BC1" w:rsidRDefault="00231BC1" w:rsidP="00946123">
      <w:pPr>
        <w:rPr>
          <w:rFonts w:eastAsia="DengXian"/>
        </w:rPr>
      </w:pPr>
      <w:r>
        <w:rPr>
          <w:noProof/>
        </w:rPr>
        <w:lastRenderedPageBreak/>
        <w:drawing>
          <wp:inline distT="0" distB="0" distL="0" distR="0" wp14:anchorId="29689EF7" wp14:editId="0E7D8394">
            <wp:extent cx="5562600" cy="3657600"/>
            <wp:effectExtent l="0" t="0" r="0" b="0"/>
            <wp:docPr id="1447300006" name="グラフ 1">
              <a:extLst xmlns:a="http://schemas.openxmlformats.org/drawingml/2006/main">
                <a:ext uri="{FF2B5EF4-FFF2-40B4-BE49-F238E27FC236}">
                  <a16:creationId xmlns:a16="http://schemas.microsoft.com/office/drawing/2014/main" id="{F3577A99-DCFB-AB32-88F3-5670FDABD9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69837D" w14:textId="5E48E8CE" w:rsidR="00946123" w:rsidRPr="00D053C9" w:rsidRDefault="00946123" w:rsidP="00946123">
      <w:pPr>
        <w:spacing w:after="0"/>
        <w:rPr>
          <w:rStyle w:val="SubtleReference"/>
          <w:sz w:val="24"/>
          <w:szCs w:val="24"/>
        </w:rPr>
      </w:pPr>
      <w:r w:rsidRPr="00D053C9">
        <w:rPr>
          <w:rStyle w:val="SubtleReference"/>
          <w:sz w:val="24"/>
          <w:szCs w:val="24"/>
        </w:rPr>
        <w:t xml:space="preserve">Figure 5.1 Number of Applicants for Minamata Disease Victim Identification </w:t>
      </w:r>
    </w:p>
    <w:p w14:paraId="50B2C7AF" w14:textId="5BEBE88B" w:rsidR="0032391B" w:rsidRPr="00946123" w:rsidRDefault="00231BC1" w:rsidP="00946123">
      <w:pPr>
        <w:spacing w:after="0"/>
        <w:rPr>
          <w:rStyle w:val="SubtleReference"/>
        </w:rPr>
      </w:pPr>
      <w:r w:rsidRPr="00946123">
        <w:rPr>
          <w:rStyle w:val="SubtleReference"/>
          <w:rFonts w:hint="eastAsia"/>
        </w:rPr>
        <w:t>S</w:t>
      </w:r>
      <w:r w:rsidRPr="00946123">
        <w:rPr>
          <w:rStyle w:val="SubtleReference"/>
        </w:rPr>
        <w:t>ource: Ministry of</w:t>
      </w:r>
      <w:r w:rsidR="0065046D" w:rsidRPr="00946123">
        <w:rPr>
          <w:rStyle w:val="SubtleReference"/>
        </w:rPr>
        <w:t xml:space="preserve"> the</w:t>
      </w:r>
      <w:r w:rsidRPr="00946123">
        <w:rPr>
          <w:rStyle w:val="SubtleReference"/>
        </w:rPr>
        <w:t xml:space="preserve"> Environment (Japan)</w:t>
      </w:r>
    </w:p>
    <w:p w14:paraId="543C562B" w14:textId="77777777" w:rsidR="00946123" w:rsidRDefault="00946123" w:rsidP="00946123"/>
    <w:p w14:paraId="164670F1" w14:textId="77777777" w:rsidR="0032391B" w:rsidRDefault="00221D88" w:rsidP="00946123">
      <w:r w:rsidRPr="00221D88">
        <w:t>In the preface of this book, I defined “i</w:t>
      </w:r>
      <w:r w:rsidR="005D03A2" w:rsidRPr="00221D88">
        <w:t>nversion</w:t>
      </w:r>
      <w:r w:rsidRPr="00221D88">
        <w:t>” as</w:t>
      </w:r>
      <w:r w:rsidR="005D03A2" w:rsidRPr="00221D88">
        <w:t xml:space="preserve"> a process initiated by an environmental policy, where</w:t>
      </w:r>
      <w:r w:rsidR="00F34B49">
        <w:t>by</w:t>
      </w:r>
      <w:r w:rsidR="005D03A2" w:rsidRPr="00221D88">
        <w:t xml:space="preserve"> potential local collaborators turn into adversaries, precipitating relationships that damage the very objective of that policy.</w:t>
      </w:r>
      <w:r w:rsidRPr="00221D88">
        <w:t xml:space="preserve"> While compensation for Minamata victims </w:t>
      </w:r>
      <w:r>
        <w:t>i</w:t>
      </w:r>
      <w:r w:rsidRPr="00221D88">
        <w:t xml:space="preserve">s not an environmental policy in the strict sense, it </w:t>
      </w:r>
      <w:r>
        <w:t>i</w:t>
      </w:r>
      <w:r w:rsidRPr="00221D88">
        <w:t xml:space="preserve">s </w:t>
      </w:r>
      <w:r>
        <w:t xml:space="preserve">still </w:t>
      </w:r>
      <w:r w:rsidRPr="00221D88">
        <w:t>an effort to ameliorate the harm caused by environmental pollution</w:t>
      </w:r>
      <w:r>
        <w:t xml:space="preserve">. </w:t>
      </w:r>
    </w:p>
    <w:p w14:paraId="60BE06FB" w14:textId="77777777" w:rsidR="0032391B" w:rsidRDefault="00EE5C91" w:rsidP="00946123">
      <w:r>
        <w:t>US-trained</w:t>
      </w:r>
      <w:r w:rsidR="00EE34F8" w:rsidRPr="002A71F9">
        <w:t xml:space="preserve"> sociologist Tsurumi Kazuko (1918</w:t>
      </w:r>
      <w:r w:rsidR="0065046D">
        <w:rPr>
          <w:lang w:val="en-GB"/>
        </w:rPr>
        <w:t>–</w:t>
      </w:r>
      <w:r w:rsidR="00EE34F8" w:rsidRPr="002A71F9">
        <w:t>2006)</w:t>
      </w:r>
      <w:r w:rsidR="00F34B49">
        <w:t>,</w:t>
      </w:r>
      <w:r w:rsidR="00EE34F8" w:rsidRPr="002A71F9">
        <w:t xml:space="preserve"> who conducted </w:t>
      </w:r>
      <w:r w:rsidR="0065046D">
        <w:t>five</w:t>
      </w:r>
      <w:r w:rsidR="0065046D" w:rsidRPr="002A71F9">
        <w:t xml:space="preserve"> </w:t>
      </w:r>
      <w:r w:rsidR="00EE34F8" w:rsidRPr="002A71F9">
        <w:t xml:space="preserve">years of fieldwork in Minamata </w:t>
      </w:r>
      <w:r w:rsidR="004F5547">
        <w:t>in the late 1970s</w:t>
      </w:r>
      <w:r w:rsidR="00F34B49">
        <w:t>,</w:t>
      </w:r>
      <w:r w:rsidR="004F5547">
        <w:t xml:space="preserve"> </w:t>
      </w:r>
      <w:r w:rsidR="00EE34F8" w:rsidRPr="002A71F9">
        <w:t xml:space="preserve">noticed </w:t>
      </w:r>
      <w:r w:rsidR="001A508A">
        <w:t>the</w:t>
      </w:r>
      <w:r w:rsidR="00CF2DDD">
        <w:t xml:space="preserve"> divisions in the local communities</w:t>
      </w:r>
      <w:r w:rsidR="00416581">
        <w:t xml:space="preserve"> due to the distance and benefits they get from </w:t>
      </w:r>
      <w:proofErr w:type="spellStart"/>
      <w:r w:rsidR="00416581">
        <w:t>Chisso</w:t>
      </w:r>
      <w:proofErr w:type="spellEnd"/>
      <w:r w:rsidR="00416581">
        <w:t xml:space="preserve"> company</w:t>
      </w:r>
      <w:r w:rsidR="00592A42">
        <w:t>,</w:t>
      </w:r>
      <w:r w:rsidR="00CF2DDD">
        <w:t xml:space="preserve"> but </w:t>
      </w:r>
      <w:r w:rsidR="00416581">
        <w:t>also</w:t>
      </w:r>
      <w:r w:rsidR="00592A42">
        <w:t xml:space="preserve"> documented</w:t>
      </w:r>
      <w:r w:rsidR="00416581">
        <w:t xml:space="preserve"> the conflicts </w:t>
      </w:r>
      <w:r w:rsidR="00CF2DDD">
        <w:t xml:space="preserve">caused by </w:t>
      </w:r>
      <w:r w:rsidR="00EE34F8" w:rsidRPr="002A71F9">
        <w:t xml:space="preserve">the compensation provided by the government to aid </w:t>
      </w:r>
      <w:r w:rsidR="00416581">
        <w:t xml:space="preserve">acknowledged </w:t>
      </w:r>
      <w:r w:rsidR="00EE34F8" w:rsidRPr="002A71F9">
        <w:t xml:space="preserve">victims. She observed that </w:t>
      </w:r>
      <w:r w:rsidR="002A71F9" w:rsidRPr="002A71F9">
        <w:t xml:space="preserve">“…due to the pollution of </w:t>
      </w:r>
      <w:r w:rsidR="003C2C9E">
        <w:t xml:space="preserve">the </w:t>
      </w:r>
      <w:proofErr w:type="spellStart"/>
      <w:r w:rsidR="002A71F9" w:rsidRPr="002A71F9">
        <w:t>Shiranui</w:t>
      </w:r>
      <w:proofErr w:type="spellEnd"/>
      <w:r w:rsidR="002A71F9" w:rsidRPr="002A71F9">
        <w:t xml:space="preserve"> sea, fishermen </w:t>
      </w:r>
      <w:r w:rsidR="00F34B49">
        <w:t>people</w:t>
      </w:r>
      <w:r w:rsidR="00F34B49" w:rsidRPr="002A71F9">
        <w:t xml:space="preserve"> </w:t>
      </w:r>
      <w:r w:rsidR="002A71F9" w:rsidRPr="002A71F9">
        <w:t xml:space="preserve">can no longer live </w:t>
      </w:r>
      <w:r w:rsidR="00F34B49">
        <w:t xml:space="preserve">there </w:t>
      </w:r>
      <w:r w:rsidR="002A71F9" w:rsidRPr="002A71F9">
        <w:t xml:space="preserve">without </w:t>
      </w:r>
      <w:r w:rsidR="002A71F9" w:rsidRPr="002A71F9">
        <w:lastRenderedPageBreak/>
        <w:t xml:space="preserve">compensation </w:t>
      </w:r>
      <w:r w:rsidR="003C2C9E">
        <w:t xml:space="preserve">[either] </w:t>
      </w:r>
      <w:r w:rsidR="002A71F9" w:rsidRPr="002A71F9">
        <w:t xml:space="preserve">for fisheries or </w:t>
      </w:r>
      <w:r w:rsidR="003C2C9E">
        <w:t>as a certified</w:t>
      </w:r>
      <w:r w:rsidR="003C2C9E" w:rsidRPr="002A71F9">
        <w:t xml:space="preserve"> </w:t>
      </w:r>
      <w:r w:rsidR="002A71F9" w:rsidRPr="002A71F9">
        <w:t xml:space="preserve">Minamata disease victim. </w:t>
      </w:r>
      <w:r w:rsidR="00F34B49">
        <w:t>However,</w:t>
      </w:r>
      <w:r w:rsidR="00F34B49" w:rsidRPr="002A71F9">
        <w:t xml:space="preserve"> </w:t>
      </w:r>
      <w:r w:rsidR="002A71F9" w:rsidRPr="002A71F9">
        <w:t xml:space="preserve">the </w:t>
      </w:r>
      <w:r w:rsidR="003C2C9E">
        <w:t>indemnity</w:t>
      </w:r>
      <w:r w:rsidR="003C2C9E" w:rsidRPr="002A71F9">
        <w:t xml:space="preserve"> </w:t>
      </w:r>
      <w:r w:rsidR="002A71F9" w:rsidRPr="002A71F9">
        <w:t xml:space="preserve">money created </w:t>
      </w:r>
      <w:r w:rsidR="00BA5698">
        <w:t xml:space="preserve">conflicts </w:t>
      </w:r>
      <w:r w:rsidR="002A71F9" w:rsidRPr="002A71F9">
        <w:t>among the local people</w:t>
      </w:r>
      <w:r w:rsidR="003C2C9E">
        <w:t>”</w:t>
      </w:r>
      <w:r w:rsidR="002A71F9" w:rsidRPr="002A71F9">
        <w:t xml:space="preserve"> (</w:t>
      </w:r>
      <w:r w:rsidR="002A71F9" w:rsidRPr="00EB6761">
        <w:t>Tsurumi 1998</w:t>
      </w:r>
      <w:r w:rsidR="009A429E">
        <w:t>;</w:t>
      </w:r>
      <w:r w:rsidR="002A71F9" w:rsidRPr="002A71F9">
        <w:t xml:space="preserve"> </w:t>
      </w:r>
      <w:r w:rsidR="00F34B49">
        <w:t>author</w:t>
      </w:r>
      <w:r w:rsidR="00F34B49" w:rsidRPr="002A71F9">
        <w:t xml:space="preserve"> </w:t>
      </w:r>
      <w:r w:rsidR="002A71F9" w:rsidRPr="002A71F9">
        <w:t>translation)</w:t>
      </w:r>
      <w:r>
        <w:t xml:space="preserve">. </w:t>
      </w:r>
    </w:p>
    <w:p w14:paraId="414D882A" w14:textId="77777777" w:rsidR="0032391B" w:rsidRDefault="003C2C9E" w:rsidP="00946123">
      <w:r>
        <w:t xml:space="preserve">Tsurumi’s </w:t>
      </w:r>
      <w:r w:rsidR="00CF2DDD">
        <w:t xml:space="preserve">work also </w:t>
      </w:r>
      <w:r w:rsidR="00937F91">
        <w:t>demonstrate</w:t>
      </w:r>
      <w:r w:rsidR="00F34B49">
        <w:t>s</w:t>
      </w:r>
      <w:r w:rsidR="00CF2DDD">
        <w:t xml:space="preserve"> </w:t>
      </w:r>
      <w:r w:rsidR="00937F91">
        <w:t>that</w:t>
      </w:r>
      <w:r>
        <w:t xml:space="preserve"> </w:t>
      </w:r>
      <w:r w:rsidR="00EE5C91">
        <w:t xml:space="preserve">conflicts </w:t>
      </w:r>
      <w:r w:rsidR="00CF2DDD">
        <w:t xml:space="preserve">have </w:t>
      </w:r>
      <w:r w:rsidR="00EE5C91">
        <w:t xml:space="preserve">occurred </w:t>
      </w:r>
      <w:r w:rsidR="00EF159A">
        <w:t xml:space="preserve">not only </w:t>
      </w:r>
      <w:r w:rsidR="00EE5C91">
        <w:t xml:space="preserve">between </w:t>
      </w:r>
      <w:r>
        <w:t xml:space="preserve">those </w:t>
      </w:r>
      <w:r w:rsidR="00EE5C91">
        <w:t xml:space="preserve">officially </w:t>
      </w:r>
      <w:r>
        <w:t xml:space="preserve">certified </w:t>
      </w:r>
      <w:r w:rsidR="00EE5C91">
        <w:t xml:space="preserve">and those who were not </w:t>
      </w:r>
      <w:r w:rsidR="00937F91">
        <w:t>but</w:t>
      </w:r>
      <w:r>
        <w:t xml:space="preserve"> </w:t>
      </w:r>
      <w:r w:rsidR="00EF159A">
        <w:t xml:space="preserve">also </w:t>
      </w:r>
      <w:r w:rsidR="00EE5C91">
        <w:t xml:space="preserve">between those </w:t>
      </w:r>
      <w:r>
        <w:t>certified</w:t>
      </w:r>
      <w:r w:rsidDel="003C2C9E">
        <w:t xml:space="preserve"> </w:t>
      </w:r>
      <w:r w:rsidR="00EE5C91">
        <w:t xml:space="preserve">early versus those </w:t>
      </w:r>
      <w:r>
        <w:t>certified</w:t>
      </w:r>
      <w:r w:rsidDel="003C2C9E">
        <w:t xml:space="preserve"> </w:t>
      </w:r>
      <w:r w:rsidR="00EE5C91">
        <w:t>late</w:t>
      </w:r>
      <w:r>
        <w:t xml:space="preserve">. </w:t>
      </w:r>
      <w:r w:rsidR="00EF159A">
        <w:t>Materially, this conflict manifested itself in how</w:t>
      </w:r>
      <w:r>
        <w:t xml:space="preserve"> people were rendered able to </w:t>
      </w:r>
      <w:r w:rsidR="00EE5C91">
        <w:t xml:space="preserve">survive </w:t>
      </w:r>
      <w:r w:rsidR="00EF159A">
        <w:t xml:space="preserve">only </w:t>
      </w:r>
      <w:r w:rsidR="00EE5C91">
        <w:t xml:space="preserve">by depending on support provided by the state. The very </w:t>
      </w:r>
      <w:r w:rsidR="00EE5C91" w:rsidRPr="00567B55">
        <w:t>community that functioned as a buffer to such external shocks is now destroyed</w:t>
      </w:r>
      <w:r w:rsidR="00F34B49">
        <w:t>—less</w:t>
      </w:r>
      <w:r>
        <w:t xml:space="preserve"> </w:t>
      </w:r>
      <w:r w:rsidR="00EE5C91" w:rsidRPr="00567B55">
        <w:t xml:space="preserve">by the pollution itself </w:t>
      </w:r>
      <w:r w:rsidR="00F34B49">
        <w:t xml:space="preserve">than by </w:t>
      </w:r>
      <w:r w:rsidR="00EE5C91" w:rsidRPr="00567B55">
        <w:t xml:space="preserve">the way </w:t>
      </w:r>
      <w:r w:rsidR="00F34B49">
        <w:t xml:space="preserve">the </w:t>
      </w:r>
      <w:r>
        <w:t xml:space="preserve">indemnity </w:t>
      </w:r>
      <w:r w:rsidR="00EE5C91" w:rsidRPr="00567B55">
        <w:t>was provided.</w:t>
      </w:r>
      <w:r w:rsidR="00567B55">
        <w:t xml:space="preserve"> </w:t>
      </w:r>
      <w:r w:rsidR="00EE5C91" w:rsidRPr="00567B55">
        <w:t xml:space="preserve">This is one type of inversion where </w:t>
      </w:r>
      <w:r>
        <w:t xml:space="preserve">policy does not consider the fact that </w:t>
      </w:r>
      <w:r w:rsidR="00EE5C91" w:rsidRPr="00567B55">
        <w:t xml:space="preserve">human relations </w:t>
      </w:r>
      <w:r>
        <w:t xml:space="preserve">can be damaged by pollution </w:t>
      </w:r>
      <w:r w:rsidR="00F34B49">
        <w:t>as well as</w:t>
      </w:r>
      <w:r>
        <w:t xml:space="preserve"> the distribution of </w:t>
      </w:r>
      <w:r w:rsidR="009623EA">
        <w:t xml:space="preserve">the </w:t>
      </w:r>
      <w:r w:rsidR="00EE5C91" w:rsidRPr="00567B55">
        <w:t>money</w:t>
      </w:r>
      <w:r w:rsidR="009623EA">
        <w:t xml:space="preserve"> intended to solve the problem</w:t>
      </w:r>
      <w:r w:rsidR="00EE5C91" w:rsidRPr="00567B55">
        <w:t xml:space="preserve">. </w:t>
      </w:r>
    </w:p>
    <w:p w14:paraId="1DE40803" w14:textId="77777777" w:rsidR="0032391B" w:rsidRDefault="00CF2DDD" w:rsidP="00946123">
      <w:r>
        <w:t xml:space="preserve">The failure of </w:t>
      </w:r>
      <w:r w:rsidR="00F34B49">
        <w:t xml:space="preserve">various levels of </w:t>
      </w:r>
      <w:r>
        <w:t xml:space="preserve">government in the late 1950s and early 1960s may not be surprising. At that time, Japan was an archetypal developmental state. However, inversion occurred as the government attempted to seek policies to resolve </w:t>
      </w:r>
      <w:r w:rsidR="00F34B49">
        <w:t xml:space="preserve">environmental </w:t>
      </w:r>
      <w:r>
        <w:t>problem</w:t>
      </w:r>
      <w:r w:rsidR="00F34B49">
        <w:t>s</w:t>
      </w:r>
      <w:r>
        <w:t xml:space="preserve"> through monetary compensation. The effects of state policies and their unintended consequences </w:t>
      </w:r>
      <w:r w:rsidR="00F34B49">
        <w:t xml:space="preserve">have been </w:t>
      </w:r>
      <w:r>
        <w:t xml:space="preserve">shaped by the </w:t>
      </w:r>
      <w:r w:rsidR="00EF159A" w:rsidRPr="002A71F9">
        <w:t>victims</w:t>
      </w:r>
      <w:r w:rsidR="00EF159A">
        <w:t xml:space="preserve">’ </w:t>
      </w:r>
      <w:r>
        <w:t>responses</w:t>
      </w:r>
      <w:r w:rsidR="00EF159A">
        <w:t>.</w:t>
      </w:r>
    </w:p>
    <w:p w14:paraId="78E9AD20" w14:textId="77777777" w:rsidR="00946123" w:rsidRDefault="00946123" w:rsidP="00946123">
      <w:pPr>
        <w:rPr>
          <w:bCs/>
        </w:rPr>
      </w:pPr>
    </w:p>
    <w:p w14:paraId="11AEB580" w14:textId="6E78133A" w:rsidR="0032391B" w:rsidRDefault="00250A18" w:rsidP="00946123">
      <w:pPr>
        <w:pStyle w:val="Heading1"/>
      </w:pPr>
      <w:r>
        <w:rPr>
          <w:rFonts w:hint="eastAsia"/>
          <w:lang w:eastAsia="ja-JP"/>
        </w:rPr>
        <w:t>5.</w:t>
      </w:r>
      <w:r w:rsidR="002D1294" w:rsidRPr="00C67490">
        <w:t>2</w:t>
      </w:r>
      <w:r w:rsidR="00516B45" w:rsidRPr="00C67490">
        <w:t xml:space="preserve"> </w:t>
      </w:r>
      <w:proofErr w:type="spellStart"/>
      <w:r w:rsidR="0097280C" w:rsidRPr="00C67490">
        <w:rPr>
          <w:i/>
          <w:iCs/>
        </w:rPr>
        <w:t>K</w:t>
      </w:r>
      <w:r w:rsidR="002956C3" w:rsidRPr="002956C3">
        <w:rPr>
          <w:i/>
          <w:iCs/>
        </w:rPr>
        <w:t>ō</w:t>
      </w:r>
      <w:r w:rsidR="0097280C" w:rsidRPr="00C67490">
        <w:rPr>
          <w:i/>
          <w:iCs/>
        </w:rPr>
        <w:t>gai</w:t>
      </w:r>
      <w:proofErr w:type="spellEnd"/>
      <w:r>
        <w:rPr>
          <w:rFonts w:hint="eastAsia"/>
          <w:i/>
          <w:iCs/>
          <w:lang w:eastAsia="ja-JP"/>
        </w:rPr>
        <w:t xml:space="preserve"> </w:t>
      </w:r>
      <w:proofErr w:type="spellStart"/>
      <w:r w:rsidR="0097280C" w:rsidRPr="00C67490">
        <w:rPr>
          <w:i/>
          <w:iCs/>
        </w:rPr>
        <w:t>Genron</w:t>
      </w:r>
      <w:proofErr w:type="spellEnd"/>
      <w:r w:rsidR="0097280C" w:rsidRPr="00C67490">
        <w:t xml:space="preserve"> (Principles of Pollution)</w:t>
      </w:r>
    </w:p>
    <w:p w14:paraId="1EEB8308" w14:textId="35D2075A" w:rsidR="00516B45" w:rsidRPr="008D7E86" w:rsidRDefault="00296221" w:rsidP="00946123">
      <w:r>
        <w:t>While</w:t>
      </w:r>
      <w:r w:rsidRPr="008D7E86">
        <w:t xml:space="preserve"> </w:t>
      </w:r>
      <w:r w:rsidR="00AF5FC2" w:rsidRPr="008D7E86">
        <w:t xml:space="preserve">a nation-state </w:t>
      </w:r>
      <w:r>
        <w:t xml:space="preserve">is </w:t>
      </w:r>
      <w:r w:rsidR="00AF5FC2" w:rsidRPr="008D7E86">
        <w:t>moderniz</w:t>
      </w:r>
      <w:r>
        <w:t>ing</w:t>
      </w:r>
      <w:r w:rsidR="00AF5FC2" w:rsidRPr="008D7E86">
        <w:t>, the government</w:t>
      </w:r>
      <w:r>
        <w:t xml:space="preserve"> </w:t>
      </w:r>
      <w:r w:rsidR="00AF5FC2" w:rsidRPr="008D7E86">
        <w:t xml:space="preserve">often colludes with </w:t>
      </w:r>
      <w:r>
        <w:t>large</w:t>
      </w:r>
      <w:r w:rsidR="00A14967">
        <w:t>r</w:t>
      </w:r>
      <w:r>
        <w:t xml:space="preserve"> </w:t>
      </w:r>
      <w:r w:rsidR="00AF5FC2" w:rsidRPr="008D7E86">
        <w:t>private companies</w:t>
      </w:r>
      <w:r>
        <w:t>,</w:t>
      </w:r>
      <w:r w:rsidR="00D25CF2" w:rsidRPr="008D7E86">
        <w:t xml:space="preserve"> </w:t>
      </w:r>
      <w:r w:rsidR="00F8040B">
        <w:t>which</w:t>
      </w:r>
      <w:r w:rsidR="00D25CF2" w:rsidRPr="008D7E86">
        <w:t xml:space="preserve"> are the major drivers of economic growth</w:t>
      </w:r>
      <w:r w:rsidR="00AF5FC2" w:rsidRPr="008D7E86">
        <w:t xml:space="preserve">. </w:t>
      </w:r>
      <w:r w:rsidR="00827140">
        <w:t>However, t</w:t>
      </w:r>
      <w:r w:rsidR="00516B45" w:rsidRPr="008D7E86">
        <w:t xml:space="preserve">he Japanese pollution problem, which </w:t>
      </w:r>
      <w:r w:rsidR="00D25CF2" w:rsidRPr="008D7E86">
        <w:t xml:space="preserve">emerged most </w:t>
      </w:r>
      <w:r w:rsidR="00516B45" w:rsidRPr="008D7E86">
        <w:t>intense</w:t>
      </w:r>
      <w:r w:rsidR="00D25CF2" w:rsidRPr="008D7E86">
        <w:t>ly</w:t>
      </w:r>
      <w:r w:rsidR="00516B45" w:rsidRPr="008D7E86">
        <w:t xml:space="preserve"> in the 1960s, was not merely a case of </w:t>
      </w:r>
      <w:r w:rsidR="006C5078">
        <w:t>a</w:t>
      </w:r>
      <w:r w:rsidR="006C5078" w:rsidRPr="008D7E86">
        <w:t xml:space="preserve"> </w:t>
      </w:r>
      <w:r w:rsidR="00516B45" w:rsidRPr="008D7E86">
        <w:t>dilemma between development and the environment</w:t>
      </w:r>
      <w:r w:rsidR="001430C9">
        <w:t xml:space="preserve"> </w:t>
      </w:r>
      <w:r>
        <w:t xml:space="preserve">during a period of state-led </w:t>
      </w:r>
      <w:r w:rsidR="001430C9">
        <w:t xml:space="preserve">rapid economic </w:t>
      </w:r>
      <w:r w:rsidR="001430C9">
        <w:lastRenderedPageBreak/>
        <w:t>growth</w:t>
      </w:r>
      <w:r>
        <w:t>.</w:t>
      </w:r>
      <w:r w:rsidR="001A5732" w:rsidRPr="008D7E86">
        <w:rPr>
          <w:rStyle w:val="FootnoteReference"/>
          <w:b/>
          <w:bCs/>
        </w:rPr>
        <w:footnoteReference w:id="1"/>
      </w:r>
      <w:r w:rsidR="00516B45" w:rsidRPr="008D7E86">
        <w:t xml:space="preserve"> </w:t>
      </w:r>
      <w:r>
        <w:t xml:space="preserve">Ui </w:t>
      </w:r>
      <w:r w:rsidR="00516B45" w:rsidRPr="008D7E86">
        <w:t xml:space="preserve">Jun was a unique researcher </w:t>
      </w:r>
      <w:r w:rsidR="00A14967">
        <w:t xml:space="preserve">who sacrificed his promotion </w:t>
      </w:r>
      <w:r w:rsidR="009E4E49">
        <w:t xml:space="preserve">at </w:t>
      </w:r>
      <w:r w:rsidR="00A14967">
        <w:t xml:space="preserve">the university to challenge the existing power </w:t>
      </w:r>
      <w:r w:rsidR="00516B45" w:rsidRPr="008D7E86">
        <w:t>structure</w:t>
      </w:r>
      <w:r w:rsidR="00A14967">
        <w:t>, qu</w:t>
      </w:r>
      <w:r w:rsidR="00516B45" w:rsidRPr="008D7E86">
        <w:t>estion</w:t>
      </w:r>
      <w:r w:rsidR="00A14967">
        <w:t>ing</w:t>
      </w:r>
      <w:r w:rsidR="00516B45" w:rsidRPr="008D7E86">
        <w:t xml:space="preserve"> the very way</w:t>
      </w:r>
      <w:r>
        <w:t>s</w:t>
      </w:r>
      <w:r w:rsidR="00516B45" w:rsidRPr="008D7E86">
        <w:t xml:space="preserve"> in which pollution issues were taken up.</w:t>
      </w:r>
    </w:p>
    <w:p w14:paraId="1A9B334D" w14:textId="4F0B53B2" w:rsidR="00516B45" w:rsidRPr="008D7E86" w:rsidRDefault="00516B45" w:rsidP="00946123">
      <w:r w:rsidRPr="008D7E86">
        <w:t>In the 1950s and 1960s, when pollution was just beginning to be recognized</w:t>
      </w:r>
      <w:r w:rsidR="00A61B5E">
        <w:t xml:space="preserve"> more broadly as a social issue, </w:t>
      </w:r>
      <w:r w:rsidRPr="008D7E86">
        <w:t xml:space="preserve">Japan was in the midst of a period of rapid economic growth that </w:t>
      </w:r>
      <w:r w:rsidR="00296221">
        <w:t>would later be described by the world media as a “miracle</w:t>
      </w:r>
      <w:r w:rsidR="00EF159A">
        <w:t>.</w:t>
      </w:r>
      <w:r w:rsidR="00296221">
        <w:t>”</w:t>
      </w:r>
      <w:r w:rsidRPr="008D7E86">
        <w:t xml:space="preserve"> </w:t>
      </w:r>
      <w:r w:rsidR="00296221">
        <w:t xml:space="preserve">At this time, </w:t>
      </w:r>
      <w:r w:rsidRPr="008D7E86">
        <w:t xml:space="preserve">there was a strong tendency to accept pollution as a </w:t>
      </w:r>
      <w:r w:rsidR="00EF159A">
        <w:t>“</w:t>
      </w:r>
      <w:r w:rsidRPr="008D7E86">
        <w:t>strain of rapid economic growth</w:t>
      </w:r>
      <w:r w:rsidR="00296221">
        <w:t>.</w:t>
      </w:r>
      <w:r w:rsidR="00EF159A">
        <w:t>”</w:t>
      </w:r>
      <w:r w:rsidRPr="008D7E86">
        <w:t xml:space="preserve"> </w:t>
      </w:r>
      <w:r w:rsidR="00296221">
        <w:t xml:space="preserve">By beginning his research </w:t>
      </w:r>
      <w:r w:rsidR="00296221" w:rsidRPr="008D7E86">
        <w:t>from the perspective of Minamata disease victims</w:t>
      </w:r>
      <w:r w:rsidR="00296221">
        <w:t>,</w:t>
      </w:r>
      <w:r w:rsidR="00296221" w:rsidRPr="008D7E86">
        <w:t xml:space="preserve"> </w:t>
      </w:r>
      <w:r w:rsidRPr="008D7E86">
        <w:t xml:space="preserve">Ui </w:t>
      </w:r>
      <w:r w:rsidR="00296221">
        <w:t xml:space="preserve">began to </w:t>
      </w:r>
      <w:r w:rsidRPr="008D7E86">
        <w:t>question the role of researchers and universities</w:t>
      </w:r>
      <w:r w:rsidR="00296221">
        <w:t xml:space="preserve"> </w:t>
      </w:r>
      <w:r w:rsidR="00AC2F28">
        <w:t xml:space="preserve">not only </w:t>
      </w:r>
      <w:r w:rsidR="00296221">
        <w:t xml:space="preserve">in </w:t>
      </w:r>
      <w:r w:rsidR="00AC2F28">
        <w:t xml:space="preserve">justifying but actively </w:t>
      </w:r>
      <w:r w:rsidR="00BF036B">
        <w:t>mystifying the true cause of p</w:t>
      </w:r>
      <w:r w:rsidR="00296221">
        <w:t>ollution.</w:t>
      </w:r>
      <w:r w:rsidRPr="008D7E86">
        <w:t xml:space="preserve"> </w:t>
      </w:r>
      <w:r w:rsidR="00AB3C23">
        <w:t xml:space="preserve">Observing </w:t>
      </w:r>
      <w:r w:rsidR="001C204F">
        <w:t xml:space="preserve">that </w:t>
      </w:r>
      <w:r w:rsidR="00AB3C23">
        <w:t xml:space="preserve">those on the industry side </w:t>
      </w:r>
      <w:r w:rsidR="001C204F">
        <w:t>were rationalizing</w:t>
      </w:r>
      <w:r w:rsidR="001C204F" w:rsidRPr="008D7E86">
        <w:t xml:space="preserve"> </w:t>
      </w:r>
      <w:r w:rsidRPr="008D7E86">
        <w:t>pollution as an unavoidable side effect</w:t>
      </w:r>
      <w:r w:rsidR="001C204F">
        <w:t xml:space="preserve"> of economic development</w:t>
      </w:r>
      <w:r w:rsidR="00AB3C23">
        <w:t xml:space="preserve">, </w:t>
      </w:r>
      <w:r w:rsidR="00BF036B">
        <w:t xml:space="preserve">Ui </w:t>
      </w:r>
      <w:r w:rsidR="00AB3C23">
        <w:t xml:space="preserve">counterargued that </w:t>
      </w:r>
      <w:r w:rsidR="001C204F">
        <w:t>“</w:t>
      </w:r>
      <w:r w:rsidRPr="008D7E86">
        <w:t xml:space="preserve">ignoring pollution was a factor </w:t>
      </w:r>
      <w:r w:rsidR="00F048DF">
        <w:t>that allowed</w:t>
      </w:r>
      <w:r w:rsidRPr="008D7E86">
        <w:t xml:space="preserve"> rapid economic growth</w:t>
      </w:r>
      <w:r w:rsidR="001C204F">
        <w:t>”</w:t>
      </w:r>
      <w:r w:rsidRPr="008D7E86">
        <w:t xml:space="preserve"> (</w:t>
      </w:r>
      <w:r w:rsidRPr="00EB6761">
        <w:t>Ui 1971</w:t>
      </w:r>
      <w:r w:rsidR="00EF159A">
        <w:t>,</w:t>
      </w:r>
      <w:r w:rsidRPr="008D7E86">
        <w:t xml:space="preserve"> 225).</w:t>
      </w:r>
    </w:p>
    <w:p w14:paraId="7BFCB923" w14:textId="77777777" w:rsidR="0032391B" w:rsidRDefault="00AC2F28" w:rsidP="00946123">
      <w:r>
        <w:t xml:space="preserve">Though based at the </w:t>
      </w:r>
      <w:r w:rsidR="00AB3C23">
        <w:rPr>
          <w:rFonts w:hint="eastAsia"/>
        </w:rPr>
        <w:t>p</w:t>
      </w:r>
      <w:r w:rsidR="00AB3C23">
        <w:t xml:space="preserve">olitically </w:t>
      </w:r>
      <w:r>
        <w:t xml:space="preserve">powerful University of Tokyo, </w:t>
      </w:r>
      <w:r w:rsidR="00516B45" w:rsidRPr="008D7E86">
        <w:t xml:space="preserve">Ui remained an </w:t>
      </w:r>
      <w:r w:rsidR="00EF159A">
        <w:t>“</w:t>
      </w:r>
      <w:r w:rsidR="00516B45" w:rsidRPr="008D7E86">
        <w:t>assistant</w:t>
      </w:r>
      <w:r w:rsidR="00EF159A">
        <w:t>”</w:t>
      </w:r>
      <w:r w:rsidR="00B01DAD" w:rsidRPr="008D7E86">
        <w:t xml:space="preserve"> (</w:t>
      </w:r>
      <w:proofErr w:type="spellStart"/>
      <w:r w:rsidR="00B01DAD" w:rsidRPr="008D7E86">
        <w:rPr>
          <w:i/>
          <w:iCs/>
        </w:rPr>
        <w:t>joshu</w:t>
      </w:r>
      <w:proofErr w:type="spellEnd"/>
      <w:r w:rsidR="00B01DAD" w:rsidRPr="008D7E86">
        <w:t>)</w:t>
      </w:r>
      <w:r w:rsidR="00516B45" w:rsidRPr="008D7E86">
        <w:t xml:space="preserve"> for more than 20 years</w:t>
      </w:r>
      <w:r w:rsidR="00296221">
        <w:t xml:space="preserve">. </w:t>
      </w:r>
      <w:r w:rsidR="00D6054E">
        <w:t xml:space="preserve">Not </w:t>
      </w:r>
      <w:r w:rsidR="00913B98">
        <w:t>entitled</w:t>
      </w:r>
      <w:r w:rsidR="00D6054E">
        <w:t xml:space="preserve"> to offer </w:t>
      </w:r>
      <w:r w:rsidR="00913B98">
        <w:t>official courses</w:t>
      </w:r>
      <w:r w:rsidR="00516B45" w:rsidRPr="008D7E86">
        <w:t xml:space="preserve">, </w:t>
      </w:r>
      <w:r w:rsidR="00D6054E">
        <w:t xml:space="preserve">he began an </w:t>
      </w:r>
      <w:r w:rsidR="0029202C" w:rsidRPr="008D7E86">
        <w:t xml:space="preserve">unofficial </w:t>
      </w:r>
      <w:r w:rsidR="001C204F">
        <w:t>“</w:t>
      </w:r>
      <w:r w:rsidR="00516B45" w:rsidRPr="008D7E86">
        <w:t>voluntary course</w:t>
      </w:r>
      <w:r w:rsidR="00D6054E">
        <w:t>,</w:t>
      </w:r>
      <w:r w:rsidR="001C204F">
        <w:t>”</w:t>
      </w:r>
      <w:r w:rsidR="00D6054E">
        <w:t xml:space="preserve"> offered in the evenings and </w:t>
      </w:r>
      <w:r w:rsidR="00516B45" w:rsidRPr="008D7E86">
        <w:t>open to the general public</w:t>
      </w:r>
      <w:r w:rsidR="00C04F31">
        <w:t>. This made him famous despite h</w:t>
      </w:r>
      <w:r w:rsidR="00C04F31" w:rsidRPr="008D7E86">
        <w:t xml:space="preserve">is </w:t>
      </w:r>
      <w:r w:rsidR="00C04F31">
        <w:t>low</w:t>
      </w:r>
      <w:r w:rsidR="00C04F31" w:rsidRPr="008D7E86">
        <w:t xml:space="preserve"> status in the </w:t>
      </w:r>
      <w:r w:rsidR="00C04F31">
        <w:t xml:space="preserve">otherwise </w:t>
      </w:r>
      <w:r w:rsidR="00C04F31" w:rsidRPr="008D7E86">
        <w:t>privileged Faculty of Engineering</w:t>
      </w:r>
      <w:r w:rsidR="00C04F31">
        <w:t>.</w:t>
      </w:r>
      <w:r w:rsidR="00D6054E">
        <w:t xml:space="preserve"> Titled </w:t>
      </w:r>
      <w:proofErr w:type="spellStart"/>
      <w:r w:rsidR="0088698C" w:rsidRPr="0036292B">
        <w:rPr>
          <w:i/>
          <w:iCs/>
        </w:rPr>
        <w:t>Kōgai</w:t>
      </w:r>
      <w:proofErr w:type="spellEnd"/>
      <w:r w:rsidR="0088698C" w:rsidRPr="0036292B">
        <w:rPr>
          <w:i/>
          <w:iCs/>
        </w:rPr>
        <w:t xml:space="preserve"> </w:t>
      </w:r>
      <w:proofErr w:type="spellStart"/>
      <w:r w:rsidR="0088698C" w:rsidRPr="0036292B">
        <w:rPr>
          <w:i/>
          <w:iCs/>
        </w:rPr>
        <w:t>Genron</w:t>
      </w:r>
      <w:proofErr w:type="spellEnd"/>
      <w:r w:rsidR="001C204F">
        <w:t>"</w:t>
      </w:r>
      <w:r w:rsidR="0088698C">
        <w:t xml:space="preserve"> (</w:t>
      </w:r>
      <w:r w:rsidR="00D6054E">
        <w:t>P</w:t>
      </w:r>
      <w:r w:rsidR="00D6054E" w:rsidRPr="008D7E86">
        <w:t>rinciple</w:t>
      </w:r>
      <w:r w:rsidR="00D6054E">
        <w:t>s</w:t>
      </w:r>
      <w:r w:rsidR="00D6054E" w:rsidRPr="008D7E86">
        <w:t xml:space="preserve"> of </w:t>
      </w:r>
      <w:r w:rsidR="00D6054E">
        <w:t>P</w:t>
      </w:r>
      <w:r w:rsidR="00D6054E" w:rsidRPr="008D7E86">
        <w:t>ollution</w:t>
      </w:r>
      <w:r w:rsidR="0088698C">
        <w:t>)</w:t>
      </w:r>
      <w:r w:rsidR="00D6054E" w:rsidRPr="008D7E86">
        <w:t xml:space="preserve">, </w:t>
      </w:r>
      <w:r w:rsidR="005F0615">
        <w:t xml:space="preserve">the unofficial lecture series </w:t>
      </w:r>
      <w:r w:rsidR="00516B45" w:rsidRPr="008D7E86">
        <w:t xml:space="preserve">started in 1970 and continued for 15 years, attracting more than 1,000 people at times, </w:t>
      </w:r>
      <w:r w:rsidR="0088698C">
        <w:t xml:space="preserve">from student movement leaders and activists to actual victims of pollution. This </w:t>
      </w:r>
      <w:r w:rsidR="001717E0">
        <w:t>group</w:t>
      </w:r>
      <w:r w:rsidR="0088698C">
        <w:t xml:space="preserve"> became a </w:t>
      </w:r>
      <w:r w:rsidR="00516B45" w:rsidRPr="008D7E86">
        <w:t xml:space="preserve">driving </w:t>
      </w:r>
      <w:r w:rsidR="001717E0">
        <w:t>hub</w:t>
      </w:r>
      <w:r w:rsidR="00516B45" w:rsidRPr="008D7E86">
        <w:t xml:space="preserve"> of the </w:t>
      </w:r>
      <w:r w:rsidR="001717E0">
        <w:t xml:space="preserve">subsequent </w:t>
      </w:r>
      <w:r w:rsidR="00516B45" w:rsidRPr="008D7E86">
        <w:lastRenderedPageBreak/>
        <w:t>pollution movement</w:t>
      </w:r>
      <w:r w:rsidR="001717E0">
        <w:t xml:space="preserve"> in Japan</w:t>
      </w:r>
      <w:r w:rsidR="00516B45" w:rsidRPr="008D7E86">
        <w:t>. From the perspective of the</w:t>
      </w:r>
      <w:r w:rsidR="002754DB" w:rsidRPr="008D7E86">
        <w:t xml:space="preserve"> </w:t>
      </w:r>
      <w:r w:rsidR="005F0615">
        <w:t xml:space="preserve">senior professors and </w:t>
      </w:r>
      <w:r w:rsidR="00D80618">
        <w:t>executives</w:t>
      </w:r>
      <w:r w:rsidR="002754DB" w:rsidRPr="008D7E86">
        <w:t xml:space="preserve"> of the </w:t>
      </w:r>
      <w:r w:rsidR="00516B45" w:rsidRPr="008D7E86">
        <w:t xml:space="preserve">University of Tokyo, which Ui had criticized as </w:t>
      </w:r>
      <w:r w:rsidR="001C204F">
        <w:t>“</w:t>
      </w:r>
      <w:r w:rsidR="00516B45" w:rsidRPr="008D7E86">
        <w:t>a group of government</w:t>
      </w:r>
      <w:r w:rsidR="00DD03F1">
        <w:t>al</w:t>
      </w:r>
      <w:r w:rsidR="00516B45" w:rsidRPr="008D7E86">
        <w:t xml:space="preserve"> scholars,</w:t>
      </w:r>
      <w:r w:rsidR="001C204F">
        <w:t>”</w:t>
      </w:r>
      <w:r w:rsidR="00516B45" w:rsidRPr="008D7E86">
        <w:t xml:space="preserve"> </w:t>
      </w:r>
      <w:r w:rsidR="00B01DAD" w:rsidRPr="008D7E86">
        <w:t>his</w:t>
      </w:r>
      <w:r w:rsidR="00516B45" w:rsidRPr="008D7E86">
        <w:t xml:space="preserve"> </w:t>
      </w:r>
      <w:r w:rsidR="002754DB" w:rsidRPr="008D7E86">
        <w:t>v</w:t>
      </w:r>
      <w:r w:rsidR="00516B45" w:rsidRPr="008D7E86">
        <w:t xml:space="preserve">oluntary </w:t>
      </w:r>
      <w:r w:rsidR="002754DB" w:rsidRPr="008D7E86">
        <w:t>l</w:t>
      </w:r>
      <w:r w:rsidR="00516B45" w:rsidRPr="008D7E86">
        <w:t xml:space="preserve">ectures must have seemed like a </w:t>
      </w:r>
      <w:r w:rsidR="002754DB" w:rsidRPr="008D7E86">
        <w:t xml:space="preserve">guerilla-like </w:t>
      </w:r>
      <w:r w:rsidR="00516B45" w:rsidRPr="008D7E86">
        <w:t>rebellion</w:t>
      </w:r>
      <w:r w:rsidR="00516B45" w:rsidRPr="00DD03F1">
        <w:t>.</w:t>
      </w:r>
      <w:r w:rsidR="00516B45" w:rsidRPr="008D7E86">
        <w:t xml:space="preserve"> </w:t>
      </w:r>
      <w:r w:rsidR="00D6054E">
        <w:t xml:space="preserve">His </w:t>
      </w:r>
      <w:r w:rsidR="00B01DAD" w:rsidRPr="008D7E86">
        <w:t>o</w:t>
      </w:r>
      <w:r w:rsidR="00516B45" w:rsidRPr="008D7E86">
        <w:t xml:space="preserve">pening </w:t>
      </w:r>
      <w:r w:rsidR="00B01DAD" w:rsidRPr="008D7E86">
        <w:t>r</w:t>
      </w:r>
      <w:r w:rsidR="00516B45" w:rsidRPr="008D7E86">
        <w:t xml:space="preserve">emarks </w:t>
      </w:r>
      <w:r w:rsidR="00D6054E">
        <w:t xml:space="preserve">at the </w:t>
      </w:r>
      <w:r w:rsidR="00516B45" w:rsidRPr="008D7E86">
        <w:t xml:space="preserve">first session </w:t>
      </w:r>
      <w:r w:rsidR="00D6054E">
        <w:t>illustrate his stance on power</w:t>
      </w:r>
      <w:r w:rsidR="005F0615">
        <w:t xml:space="preserve"> and hierarchy in the scientific community</w:t>
      </w:r>
      <w:r w:rsidR="00516B45" w:rsidRPr="008D7E86">
        <w:t>:</w:t>
      </w:r>
    </w:p>
    <w:p w14:paraId="4820E30A" w14:textId="77777777" w:rsidR="0032391B" w:rsidRDefault="00516B45" w:rsidP="0094548A">
      <w:r w:rsidRPr="00176004">
        <w:t xml:space="preserve">In the case of pollution, the university and the college are the most important </w:t>
      </w:r>
      <w:r w:rsidR="009B6088">
        <w:t xml:space="preserve">complicit </w:t>
      </w:r>
      <w:r w:rsidRPr="00176004">
        <w:t>actors.</w:t>
      </w:r>
      <w:r w:rsidR="00176004" w:rsidRPr="00176004">
        <w:t xml:space="preserve"> </w:t>
      </w:r>
      <w:r w:rsidRPr="00176004">
        <w:t xml:space="preserve">In each pollution case, the university and its graduates almost always </w:t>
      </w:r>
      <w:r w:rsidR="009B6088">
        <w:t xml:space="preserve">help </w:t>
      </w:r>
      <w:r w:rsidR="00973578">
        <w:rPr>
          <w:rFonts w:hint="eastAsia"/>
        </w:rPr>
        <w:t>w</w:t>
      </w:r>
      <w:r w:rsidR="00973578">
        <w:t>orsen</w:t>
      </w:r>
      <w:r w:rsidRPr="00176004">
        <w:t xml:space="preserve"> the pollution. Typical of this is the University of Tokyo. </w:t>
      </w:r>
      <w:r w:rsidRPr="00A61B5E">
        <w:t xml:space="preserve">If </w:t>
      </w:r>
      <w:r w:rsidR="00176004" w:rsidRPr="00A61B5E">
        <w:t xml:space="preserve">we treat </w:t>
      </w:r>
      <w:r w:rsidRPr="00A61B5E">
        <w:t>th</w:t>
      </w:r>
      <w:r w:rsidR="009B6088">
        <w:t>is u</w:t>
      </w:r>
      <w:r w:rsidRPr="00A61B5E">
        <w:t xml:space="preserve">niversity </w:t>
      </w:r>
      <w:r w:rsidR="00176004" w:rsidRPr="00A61B5E">
        <w:t>as</w:t>
      </w:r>
      <w:r w:rsidRPr="00A61B5E">
        <w:t xml:space="preserve"> a</w:t>
      </w:r>
      <w:r w:rsidR="00973578" w:rsidRPr="00A61B5E">
        <w:t xml:space="preserve">n </w:t>
      </w:r>
      <w:r w:rsidRPr="00A61B5E">
        <w:t>example of how a national university,</w:t>
      </w:r>
      <w:r w:rsidR="007D4E3D">
        <w:t xml:space="preserve"> provided with budget </w:t>
      </w:r>
      <w:r w:rsidRPr="00A61B5E">
        <w:t>and buildings by the state and established to educate people for national service</w:t>
      </w:r>
      <w:r w:rsidR="00AC2F28">
        <w:t>,</w:t>
      </w:r>
      <w:r w:rsidRPr="00A61B5E">
        <w:t xml:space="preserve"> has become an instrument of oppression and discrimination against the people who support the state, the opposite </w:t>
      </w:r>
      <w:r w:rsidR="00A61B5E" w:rsidRPr="00A61B5E">
        <w:t xml:space="preserve">example is </w:t>
      </w:r>
      <w:r w:rsidRPr="00A61B5E">
        <w:t xml:space="preserve">the University of Warsaw, which was secretly and </w:t>
      </w:r>
      <w:r w:rsidR="00D06902" w:rsidRPr="00A61B5E">
        <w:t>continuously</w:t>
      </w:r>
      <w:r w:rsidRPr="00A61B5E">
        <w:t xml:space="preserve"> built as a base of resistance.</w:t>
      </w:r>
      <w:r w:rsidRPr="00176004">
        <w:t xml:space="preserve"> Studying there was an act of risking one</w:t>
      </w:r>
      <w:r w:rsidR="001C204F">
        <w:t>’</w:t>
      </w:r>
      <w:r w:rsidRPr="00176004">
        <w:t xml:space="preserve">s life and did not bring any privileges. </w:t>
      </w:r>
      <w:r w:rsidR="00A61B5E">
        <w:t>To s</w:t>
      </w:r>
      <w:r w:rsidRPr="00176004">
        <w:t>tud</w:t>
      </w:r>
      <w:r w:rsidR="00A61B5E">
        <w:t xml:space="preserve">y for the necessity </w:t>
      </w:r>
      <w:r w:rsidR="001C204F">
        <w:t xml:space="preserve">of </w:t>
      </w:r>
      <w:r w:rsidR="00A61B5E">
        <w:t xml:space="preserve">survival and not simply to promote oneself is the whole point of </w:t>
      </w:r>
      <w:r w:rsidR="00D6054E">
        <w:t xml:space="preserve">[the course] </w:t>
      </w:r>
      <w:r w:rsidR="00A61B5E">
        <w:t>Principle</w:t>
      </w:r>
      <w:r w:rsidR="00D6054E">
        <w:t>s</w:t>
      </w:r>
      <w:r w:rsidR="00A61B5E">
        <w:t xml:space="preserve"> of Pollution</w:t>
      </w:r>
      <w:r w:rsidR="00176004">
        <w:t xml:space="preserve"> </w:t>
      </w:r>
      <w:r w:rsidR="00176004" w:rsidRPr="008D7E86">
        <w:t>(Ui 1971</w:t>
      </w:r>
      <w:r w:rsidR="001C204F">
        <w:t xml:space="preserve">, </w:t>
      </w:r>
      <w:r w:rsidR="00176004" w:rsidRPr="008D7E86">
        <w:t>2</w:t>
      </w:r>
      <w:r w:rsidR="00AE3BEE">
        <w:t>;</w:t>
      </w:r>
      <w:r w:rsidR="00176004">
        <w:t xml:space="preserve"> </w:t>
      </w:r>
      <w:r w:rsidR="001C204F">
        <w:t xml:space="preserve">author </w:t>
      </w:r>
      <w:r w:rsidR="00176004">
        <w:t>translation</w:t>
      </w:r>
      <w:r w:rsidR="00176004" w:rsidRPr="008D7E86">
        <w:t>)</w:t>
      </w:r>
      <w:r w:rsidRPr="00176004">
        <w:t>.</w:t>
      </w:r>
    </w:p>
    <w:p w14:paraId="3C25EC4D" w14:textId="376F6921" w:rsidR="00AC2F28" w:rsidRDefault="00516B45" w:rsidP="00946123">
      <w:r w:rsidRPr="008D7E86">
        <w:t xml:space="preserve">Much has already been written </w:t>
      </w:r>
      <w:r w:rsidR="002754DB" w:rsidRPr="008D7E86">
        <w:t xml:space="preserve">in Japanese </w:t>
      </w:r>
      <w:r w:rsidRPr="008D7E86">
        <w:t>about Ui</w:t>
      </w:r>
      <w:r w:rsidR="00920995">
        <w:t>’</w:t>
      </w:r>
      <w:r w:rsidRPr="008D7E86">
        <w:t xml:space="preserve">s legacy, and </w:t>
      </w:r>
      <w:r w:rsidR="004D5AB5">
        <w:t>I am</w:t>
      </w:r>
      <w:r w:rsidRPr="008D7E86">
        <w:t xml:space="preserve"> not in a position to evaluate Ui</w:t>
      </w:r>
      <w:r w:rsidR="00A61B5E">
        <w:t>’s achievement</w:t>
      </w:r>
      <w:r w:rsidR="00444625">
        <w:t>s</w:t>
      </w:r>
      <w:r w:rsidR="00A61B5E">
        <w:t xml:space="preserve"> </w:t>
      </w:r>
      <w:r w:rsidRPr="008D7E86">
        <w:t xml:space="preserve">as a </w:t>
      </w:r>
      <w:r w:rsidR="00A61B5E">
        <w:t xml:space="preserve">water </w:t>
      </w:r>
      <w:r w:rsidRPr="008D7E86">
        <w:t xml:space="preserve">engineer or as </w:t>
      </w:r>
      <w:r w:rsidR="006E162B">
        <w:t xml:space="preserve">an </w:t>
      </w:r>
      <w:r w:rsidRPr="008D7E86">
        <w:t>elucidator of Minamata disease</w:t>
      </w:r>
      <w:r w:rsidR="00A92461">
        <w:t>.</w:t>
      </w:r>
      <w:r w:rsidR="0026666F" w:rsidRPr="008D7E86">
        <w:rPr>
          <w:rStyle w:val="FootnoteReference"/>
        </w:rPr>
        <w:footnoteReference w:id="2"/>
      </w:r>
      <w:r w:rsidRPr="008D7E86">
        <w:t xml:space="preserve"> I </w:t>
      </w:r>
      <w:r w:rsidR="00A61B5E">
        <w:t>would</w:t>
      </w:r>
      <w:r w:rsidRPr="008D7E86">
        <w:t xml:space="preserve"> </w:t>
      </w:r>
      <w:r w:rsidR="00AE2352">
        <w:t xml:space="preserve">rather </w:t>
      </w:r>
      <w:r w:rsidRPr="008D7E86">
        <w:t xml:space="preserve">focus </w:t>
      </w:r>
      <w:r w:rsidR="001C204F">
        <w:t xml:space="preserve">here </w:t>
      </w:r>
      <w:r w:rsidRPr="008D7E86">
        <w:t xml:space="preserve">on the </w:t>
      </w:r>
      <w:r w:rsidR="00035C65">
        <w:t xml:space="preserve">stratification </w:t>
      </w:r>
      <w:r w:rsidRPr="008D7E86">
        <w:t xml:space="preserve">of knowledge, which </w:t>
      </w:r>
      <w:r w:rsidR="00A61B5E">
        <w:t xml:space="preserve">Ui repeatedly emphasized as the root cause of pollution issues. </w:t>
      </w:r>
    </w:p>
    <w:p w14:paraId="11F0B088" w14:textId="77777777" w:rsidR="0032391B" w:rsidRDefault="00AE2352" w:rsidP="00946123">
      <w:r>
        <w:t xml:space="preserve">The core problem of knowledge and power will </w:t>
      </w:r>
      <w:r w:rsidR="00A61B5E">
        <w:t>become ever</w:t>
      </w:r>
      <w:r>
        <w:t xml:space="preserve"> more </w:t>
      </w:r>
      <w:r w:rsidR="00A92461">
        <w:t xml:space="preserve">poignant </w:t>
      </w:r>
      <w:r>
        <w:t xml:space="preserve">as the state </w:t>
      </w:r>
      <w:r w:rsidR="00A92461">
        <w:t xml:space="preserve">consolidates its </w:t>
      </w:r>
      <w:r>
        <w:t>domin</w:t>
      </w:r>
      <w:r w:rsidR="00A92461">
        <w:t xml:space="preserve">ance </w:t>
      </w:r>
      <w:r>
        <w:t xml:space="preserve">as the </w:t>
      </w:r>
      <w:r w:rsidR="001717E0">
        <w:t xml:space="preserve">central </w:t>
      </w:r>
      <w:r w:rsidR="00A92461">
        <w:t xml:space="preserve">entity </w:t>
      </w:r>
      <w:r w:rsidR="001717E0">
        <w:t xml:space="preserve">to </w:t>
      </w:r>
      <w:r>
        <w:t>“solv</w:t>
      </w:r>
      <w:r w:rsidR="00A92461">
        <w:t>ing</w:t>
      </w:r>
      <w:r>
        <w:t xml:space="preserve">” </w:t>
      </w:r>
      <w:r w:rsidR="00A61B5E">
        <w:t xml:space="preserve">climate and </w:t>
      </w:r>
      <w:r w:rsidR="00516B45" w:rsidRPr="008D7E86">
        <w:t xml:space="preserve">environmental problems. </w:t>
      </w:r>
      <w:r>
        <w:t xml:space="preserve">Besides, </w:t>
      </w:r>
      <w:r w:rsidR="00516B45" w:rsidRPr="008D7E86">
        <w:t>it is the culture of academia</w:t>
      </w:r>
      <w:r w:rsidR="001C204F">
        <w:t>—</w:t>
      </w:r>
      <w:r w:rsidR="00516B45" w:rsidRPr="008D7E86">
        <w:t xml:space="preserve">which regards certain knowledge as valuable </w:t>
      </w:r>
      <w:r w:rsidR="00516B45" w:rsidRPr="008D7E86">
        <w:lastRenderedPageBreak/>
        <w:t>and disregards others as insignificant</w:t>
      </w:r>
      <w:r w:rsidR="001C204F">
        <w:t>—</w:t>
      </w:r>
      <w:r w:rsidR="00516B45" w:rsidRPr="008D7E86">
        <w:t>that causes interventions that are supposed to be helpful to people</w:t>
      </w:r>
      <w:r w:rsidR="00A92461">
        <w:t xml:space="preserve"> but so often invert and </w:t>
      </w:r>
      <w:r w:rsidR="00516B45" w:rsidRPr="008D7E86">
        <w:t>bind them</w:t>
      </w:r>
      <w:r w:rsidR="00920995">
        <w:t xml:space="preserve"> instead</w:t>
      </w:r>
      <w:r w:rsidR="00516B45" w:rsidRPr="008D7E86">
        <w:t>.</w:t>
      </w:r>
    </w:p>
    <w:p w14:paraId="66D95879" w14:textId="4F4E827C" w:rsidR="00516B45" w:rsidRPr="008D7E86" w:rsidRDefault="00516B45" w:rsidP="00946123"/>
    <w:p w14:paraId="7E4C59F2" w14:textId="35A11725" w:rsidR="0032391B" w:rsidRDefault="00516B45" w:rsidP="00946123">
      <w:r w:rsidRPr="008D7E86">
        <w:t xml:space="preserve">[Insert photo of </w:t>
      </w:r>
      <w:r w:rsidR="008A6105">
        <w:rPr>
          <w:rFonts w:hint="eastAsia"/>
          <w:lang w:eastAsia="ja-JP"/>
        </w:rPr>
        <w:t>Ui Jun giving a final lecture at the University of Tokyo</w:t>
      </w:r>
      <w:r w:rsidRPr="008D7E86">
        <w:t>]</w:t>
      </w:r>
    </w:p>
    <w:p w14:paraId="16F8F1CF" w14:textId="77777777" w:rsidR="0094548A" w:rsidRDefault="0094548A" w:rsidP="00946123"/>
    <w:p w14:paraId="615C77F7" w14:textId="77777777" w:rsidR="0032391B" w:rsidRDefault="00516B45" w:rsidP="0094548A">
      <w:pPr>
        <w:pStyle w:val="Heading2"/>
      </w:pPr>
      <w:r w:rsidRPr="008D7E86">
        <w:t>The Class System of Knowledge</w:t>
      </w:r>
      <w:r w:rsidR="00CD15ED">
        <w:t xml:space="preserve"> and the “Neutral” Third Party</w:t>
      </w:r>
    </w:p>
    <w:p w14:paraId="5C3F55C6" w14:textId="69684CF0" w:rsidR="00516B45" w:rsidRPr="008D7E86" w:rsidRDefault="00516B45" w:rsidP="00946123">
      <w:r w:rsidRPr="008D7E86">
        <w:t xml:space="preserve">Ui was a bitter critic of Japanese </w:t>
      </w:r>
      <w:r w:rsidR="006E162B">
        <w:t xml:space="preserve">elite </w:t>
      </w:r>
      <w:r w:rsidRPr="008D7E86">
        <w:t xml:space="preserve">society, especially </w:t>
      </w:r>
      <w:r w:rsidR="00D46916">
        <w:t xml:space="preserve">its </w:t>
      </w:r>
      <w:r w:rsidRPr="008D7E86">
        <w:t xml:space="preserve">culture of education and research, which had constantly relied on </w:t>
      </w:r>
      <w:r w:rsidR="00920995">
        <w:t>“</w:t>
      </w:r>
      <w:r w:rsidRPr="008D7E86">
        <w:t>theories thought up by others</w:t>
      </w:r>
      <w:r w:rsidR="00920995">
        <w:t>”</w:t>
      </w:r>
      <w:r w:rsidRPr="008D7E86">
        <w:t xml:space="preserve"> based on the existence of </w:t>
      </w:r>
      <w:r w:rsidR="00920995">
        <w:t>“</w:t>
      </w:r>
      <w:r w:rsidRPr="008D7E86">
        <w:t>precedents.</w:t>
      </w:r>
      <w:r w:rsidR="00920995">
        <w:t>”</w:t>
      </w:r>
      <w:r w:rsidRPr="008D7E86">
        <w:t xml:space="preserve"> </w:t>
      </w:r>
      <w:r w:rsidR="001178BD">
        <w:t xml:space="preserve">He saw the University of Tokyo as sitting at the apex of this system. </w:t>
      </w:r>
    </w:p>
    <w:p w14:paraId="021E5161" w14:textId="7EE40A1A" w:rsidR="00516B45" w:rsidRPr="008D7E86" w:rsidRDefault="001178BD" w:rsidP="00946123">
      <w:r>
        <w:t>T</w:t>
      </w:r>
      <w:r w:rsidR="00516B45" w:rsidRPr="008D7E86">
        <w:t xml:space="preserve">here are three major aspects of </w:t>
      </w:r>
      <w:r w:rsidR="00920995">
        <w:t>“</w:t>
      </w:r>
      <w:r w:rsidR="00D46916">
        <w:t>P</w:t>
      </w:r>
      <w:r w:rsidR="00FC33AC">
        <w:t>rinciple</w:t>
      </w:r>
      <w:r w:rsidR="00D46916">
        <w:t>s</w:t>
      </w:r>
      <w:r w:rsidR="00FC33AC">
        <w:t xml:space="preserve"> of </w:t>
      </w:r>
      <w:r w:rsidR="00D46916">
        <w:t>P</w:t>
      </w:r>
      <w:r w:rsidR="00FC33AC">
        <w:t>ollution</w:t>
      </w:r>
      <w:r w:rsidR="00920995">
        <w:t>”</w:t>
      </w:r>
      <w:r w:rsidR="00516B45" w:rsidRPr="008D7E86">
        <w:t xml:space="preserve"> </w:t>
      </w:r>
      <w:r w:rsidR="00CD15ED">
        <w:t>through which Ui tried to challenge the existing hierarchy of knowledge</w:t>
      </w:r>
      <w:r w:rsidR="00516B45" w:rsidRPr="008D7E86">
        <w:t xml:space="preserve">. The first is that Ui regarded pollution in Japan as an </w:t>
      </w:r>
      <w:r>
        <w:t xml:space="preserve">intellectual </w:t>
      </w:r>
      <w:r w:rsidR="00516B45" w:rsidRPr="008D7E86">
        <w:t xml:space="preserve">opportunity for Japanese people to confront </w:t>
      </w:r>
      <w:r>
        <w:t>a</w:t>
      </w:r>
      <w:r w:rsidRPr="008D7E86">
        <w:t xml:space="preserve"> </w:t>
      </w:r>
      <w:r w:rsidR="00516B45" w:rsidRPr="008D7E86">
        <w:t>problem</w:t>
      </w:r>
      <w:r>
        <w:t>,</w:t>
      </w:r>
      <w:r w:rsidR="00516B45" w:rsidRPr="008D7E86">
        <w:t xml:space="preserve"> </w:t>
      </w:r>
      <w:r>
        <w:t>the damage of which could be seen just by</w:t>
      </w:r>
      <w:r w:rsidR="004C58D0">
        <w:t xml:space="preserve"> observing</w:t>
      </w:r>
      <w:r>
        <w:t xml:space="preserve">, and to address it </w:t>
      </w:r>
      <w:r w:rsidR="00516B45" w:rsidRPr="008D7E86">
        <w:t>on their own terms</w:t>
      </w:r>
      <w:r w:rsidR="005B6328">
        <w:t xml:space="preserve"> rather than </w:t>
      </w:r>
      <w:r w:rsidR="00053CC5">
        <w:t>through</w:t>
      </w:r>
      <w:r w:rsidR="00796C43">
        <w:t xml:space="preserve"> </w:t>
      </w:r>
      <w:r w:rsidR="00053CC5">
        <w:t>imported intellectual tools</w:t>
      </w:r>
      <w:r w:rsidR="00516B45" w:rsidRPr="008D7E86">
        <w:t xml:space="preserve">. </w:t>
      </w:r>
      <w:r w:rsidR="00AC2F28">
        <w:t xml:space="preserve">It was, in his eyes, </w:t>
      </w:r>
      <w:r w:rsidR="00920995">
        <w:t>“</w:t>
      </w:r>
      <w:r w:rsidR="00AC2F28">
        <w:t xml:space="preserve">a challenge that Japan truly </w:t>
      </w:r>
      <w:r w:rsidR="001717E0">
        <w:rPr>
          <w:rFonts w:hint="eastAsia"/>
        </w:rPr>
        <w:t>s</w:t>
      </w:r>
      <w:r w:rsidR="001717E0">
        <w:t>hould welcome</w:t>
      </w:r>
      <w:r w:rsidR="00AC2F28">
        <w:t>”</w:t>
      </w:r>
      <w:r w:rsidR="00AC2F28" w:rsidRPr="008D7E86">
        <w:t xml:space="preserve"> (Ui 1971</w:t>
      </w:r>
      <w:r w:rsidR="00920995">
        <w:t>,</w:t>
      </w:r>
      <w:r w:rsidR="00AC2F28" w:rsidRPr="008D7E86">
        <w:t xml:space="preserve"> 232)</w:t>
      </w:r>
      <w:r w:rsidR="00AC2F28">
        <w:t>.</w:t>
      </w:r>
      <w:r w:rsidR="00AC2F28" w:rsidRPr="008D7E86">
        <w:t xml:space="preserve"> </w:t>
      </w:r>
      <w:r w:rsidR="00516B45" w:rsidRPr="008D7E86">
        <w:t>Ui</w:t>
      </w:r>
      <w:r w:rsidR="00920995">
        <w:t>’</w:t>
      </w:r>
      <w:r w:rsidR="00516B45" w:rsidRPr="008D7E86">
        <w:t xml:space="preserve">s </w:t>
      </w:r>
      <w:r w:rsidR="001717E0">
        <w:t xml:space="preserve">endeavor </w:t>
      </w:r>
      <w:r>
        <w:t xml:space="preserve">held </w:t>
      </w:r>
      <w:r w:rsidR="00793A96">
        <w:t xml:space="preserve">the </w:t>
      </w:r>
      <w:r>
        <w:t xml:space="preserve">potential to </w:t>
      </w:r>
      <w:r w:rsidR="00516B45" w:rsidRPr="008D7E86">
        <w:t>fundamenta</w:t>
      </w:r>
      <w:r w:rsidR="00053CC5">
        <w:t>lly</w:t>
      </w:r>
      <w:r w:rsidR="00516B45" w:rsidRPr="008D7E86">
        <w:t xml:space="preserve"> </w:t>
      </w:r>
      <w:r>
        <w:t xml:space="preserve">challenge </w:t>
      </w:r>
      <w:r w:rsidR="00053CC5">
        <w:t xml:space="preserve">the prevalent </w:t>
      </w:r>
      <w:r w:rsidR="00516B45" w:rsidRPr="008D7E86">
        <w:t xml:space="preserve">decision-making </w:t>
      </w:r>
      <w:r w:rsidR="00FC33AC">
        <w:t>culture</w:t>
      </w:r>
      <w:r w:rsidR="00C8427F">
        <w:t>,</w:t>
      </w:r>
      <w:r w:rsidR="00FC33AC">
        <w:t xml:space="preserve"> </w:t>
      </w:r>
      <w:r>
        <w:t xml:space="preserve">which seemed to </w:t>
      </w:r>
      <w:r w:rsidR="00FC33AC">
        <w:t xml:space="preserve">evade responsibility </w:t>
      </w:r>
      <w:r w:rsidR="00516B45" w:rsidRPr="008D7E86">
        <w:t xml:space="preserve">whenever a disaster </w:t>
      </w:r>
      <w:r w:rsidR="00D47224">
        <w:t>struck</w:t>
      </w:r>
      <w:r>
        <w:t xml:space="preserve"> by </w:t>
      </w:r>
      <w:r w:rsidR="00D47224">
        <w:t>labeling</w:t>
      </w:r>
      <w:r>
        <w:t xml:space="preserve"> the </w:t>
      </w:r>
      <w:r w:rsidR="00C8427F">
        <w:t xml:space="preserve">events </w:t>
      </w:r>
      <w:r>
        <w:t>as “un</w:t>
      </w:r>
      <w:r w:rsidR="00D47224">
        <w:t>precedented</w:t>
      </w:r>
      <w:r w:rsidR="00C8427F">
        <w:t>.</w:t>
      </w:r>
      <w:r>
        <w:t>”</w:t>
      </w:r>
      <w:r w:rsidR="00516B45" w:rsidRPr="008D7E86">
        <w:t xml:space="preserve"> Japan </w:t>
      </w:r>
      <w:r w:rsidR="00CD15ED">
        <w:t>has experienced</w:t>
      </w:r>
      <w:r>
        <w:t xml:space="preserve"> frequent disasters and </w:t>
      </w:r>
      <w:r w:rsidR="00CD15ED">
        <w:t>has</w:t>
      </w:r>
      <w:r>
        <w:t xml:space="preserve"> </w:t>
      </w:r>
      <w:r w:rsidR="00516B45" w:rsidRPr="008D7E86">
        <w:t xml:space="preserve">come to understand firsthand the dangers of relying on </w:t>
      </w:r>
      <w:r w:rsidR="00920995">
        <w:t>“</w:t>
      </w:r>
      <w:r w:rsidR="00516B45" w:rsidRPr="008D7E86">
        <w:t>precedent</w:t>
      </w:r>
      <w:r>
        <w:t>.</w:t>
      </w:r>
      <w:r w:rsidR="00920995">
        <w:t>”</w:t>
      </w:r>
      <w:r w:rsidR="00053CC5">
        <w:t xml:space="preserve"> </w:t>
      </w:r>
      <w:r>
        <w:t>T</w:t>
      </w:r>
      <w:r w:rsidR="00053CC5">
        <w:t xml:space="preserve">his </w:t>
      </w:r>
      <w:r w:rsidR="003424CC">
        <w:t>includ</w:t>
      </w:r>
      <w:r w:rsidR="00053CC5">
        <w:t>es</w:t>
      </w:r>
      <w:r w:rsidR="003424CC">
        <w:t xml:space="preserve"> the </w:t>
      </w:r>
      <w:r w:rsidR="00E27B26">
        <w:t xml:space="preserve">notorious </w:t>
      </w:r>
      <w:r w:rsidR="003424CC">
        <w:t>Fukushima nuclear accident</w:t>
      </w:r>
      <w:r w:rsidR="00516B45" w:rsidRPr="008D7E86">
        <w:t xml:space="preserve">. </w:t>
      </w:r>
      <w:r w:rsidR="00E27B26">
        <w:t xml:space="preserve">Such a high </w:t>
      </w:r>
      <w:r w:rsidR="00516B45" w:rsidRPr="008D7E86">
        <w:t xml:space="preserve">frequency of </w:t>
      </w:r>
      <w:r w:rsidR="00AC2F28">
        <w:t xml:space="preserve">unpredictable </w:t>
      </w:r>
      <w:r w:rsidR="00516B45" w:rsidRPr="008D7E86">
        <w:t xml:space="preserve">disasters </w:t>
      </w:r>
      <w:r w:rsidR="00E27B26">
        <w:t>demands</w:t>
      </w:r>
      <w:r w:rsidR="00516B45" w:rsidRPr="008D7E86">
        <w:t xml:space="preserve"> a different kind of </w:t>
      </w:r>
      <w:r w:rsidR="00E27B26">
        <w:t xml:space="preserve">mindset </w:t>
      </w:r>
      <w:r w:rsidR="00516B45" w:rsidRPr="008D7E86">
        <w:t>from the</w:t>
      </w:r>
      <w:r w:rsidR="00D80618">
        <w:t xml:space="preserve"> one</w:t>
      </w:r>
      <w:r w:rsidR="00516B45" w:rsidRPr="008D7E86">
        <w:t xml:space="preserve"> </w:t>
      </w:r>
      <w:r w:rsidR="00D80618">
        <w:t>centered</w:t>
      </w:r>
      <w:r w:rsidR="00AC2F28">
        <w:t xml:space="preserve"> on </w:t>
      </w:r>
      <w:r w:rsidR="00C8427F">
        <w:t xml:space="preserve">the </w:t>
      </w:r>
      <w:r w:rsidR="004E7AAE">
        <w:t xml:space="preserve">stable and more predictable trajectory of </w:t>
      </w:r>
      <w:r w:rsidR="003424CC">
        <w:t xml:space="preserve">economic </w:t>
      </w:r>
      <w:r w:rsidR="00516B45" w:rsidRPr="008D7E86">
        <w:t>growth.</w:t>
      </w:r>
      <w:r w:rsidR="006804F8">
        <w:t xml:space="preserve"> </w:t>
      </w:r>
    </w:p>
    <w:p w14:paraId="76ECB893" w14:textId="75A7E160" w:rsidR="00516B45" w:rsidRPr="008D7E86" w:rsidRDefault="00516B45" w:rsidP="00946123">
      <w:r w:rsidRPr="008D7E86">
        <w:lastRenderedPageBreak/>
        <w:t xml:space="preserve">Second, Ui describes the pollution movement as </w:t>
      </w:r>
      <w:r w:rsidR="00C8427F">
        <w:t>“</w:t>
      </w:r>
      <w:r w:rsidR="006804F8">
        <w:t xml:space="preserve">the </w:t>
      </w:r>
      <w:r w:rsidRPr="008D7E86">
        <w:t>story of a losing battle</w:t>
      </w:r>
      <w:r w:rsidR="00C8427F">
        <w:t>”</w:t>
      </w:r>
      <w:r w:rsidRPr="008D7E86">
        <w:t xml:space="preserve"> (Ui 1971</w:t>
      </w:r>
      <w:r w:rsidR="00C8427F">
        <w:t>,</w:t>
      </w:r>
      <w:r w:rsidRPr="008D7E86">
        <w:t xml:space="preserve"> 231)</w:t>
      </w:r>
      <w:r w:rsidR="001178BD">
        <w:t xml:space="preserve"> but</w:t>
      </w:r>
      <w:r w:rsidRPr="008D7E86">
        <w:t xml:space="preserve"> </w:t>
      </w:r>
      <w:r w:rsidR="005B6328">
        <w:t xml:space="preserve">posits </w:t>
      </w:r>
      <w:r w:rsidRPr="008D7E86">
        <w:t xml:space="preserve">that the experience of losing is </w:t>
      </w:r>
      <w:r w:rsidR="001178BD">
        <w:t xml:space="preserve">a </w:t>
      </w:r>
      <w:r w:rsidRPr="008D7E86">
        <w:t xml:space="preserve">more </w:t>
      </w:r>
      <w:r w:rsidR="00C8427F">
        <w:t xml:space="preserve">beneficial </w:t>
      </w:r>
      <w:r w:rsidR="001178BD">
        <w:t>learning</w:t>
      </w:r>
      <w:r w:rsidR="00E27B26">
        <w:t xml:space="preserve"> opportunity for Japan as well as other countries. </w:t>
      </w:r>
      <w:r w:rsidRPr="008D7E86">
        <w:t>Japan</w:t>
      </w:r>
      <w:r w:rsidR="00C8427F">
        <w:t>’</w:t>
      </w:r>
      <w:r w:rsidRPr="008D7E86">
        <w:t>s accumulated negative experiences of</w:t>
      </w:r>
      <w:r w:rsidR="00817B4D">
        <w:t xml:space="preserve"> </w:t>
      </w:r>
      <w:r w:rsidR="001178BD">
        <w:t xml:space="preserve">ostensibly failed </w:t>
      </w:r>
      <w:r w:rsidR="00817B4D">
        <w:t>civil</w:t>
      </w:r>
      <w:r w:rsidRPr="008D7E86">
        <w:t xml:space="preserve"> movements </w:t>
      </w:r>
      <w:r w:rsidR="001178BD">
        <w:t xml:space="preserve">provide </w:t>
      </w:r>
      <w:r w:rsidRPr="008D7E86">
        <w:t>a useful reference point for developing countries today, where the dilemma between development and the environment is as acute as it was in Japan during its period of rapid economic growth.</w:t>
      </w:r>
    </w:p>
    <w:p w14:paraId="7FB86876" w14:textId="5D5F9AAF" w:rsidR="00516B45" w:rsidRDefault="00516B45" w:rsidP="00946123">
      <w:r w:rsidRPr="008D7E86">
        <w:t>The third is Ui</w:t>
      </w:r>
      <w:r w:rsidR="00C8427F">
        <w:t>’</w:t>
      </w:r>
      <w:r w:rsidRPr="008D7E86">
        <w:t xml:space="preserve">s experience </w:t>
      </w:r>
      <w:r w:rsidR="00662438">
        <w:t xml:space="preserve">of challenging those in power who wield great scientific </w:t>
      </w:r>
      <w:r w:rsidRPr="008D7E86">
        <w:t xml:space="preserve">knowledge while </w:t>
      </w:r>
      <w:r w:rsidR="00AC2F28">
        <w:t xml:space="preserve">keeping his work </w:t>
      </w:r>
      <w:r w:rsidR="00662438">
        <w:t xml:space="preserve">true to the experience </w:t>
      </w:r>
      <w:r w:rsidRPr="008D7E86">
        <w:t xml:space="preserve">of the victims. </w:t>
      </w:r>
      <w:r w:rsidR="00817B4D">
        <w:t xml:space="preserve">Ui believed that </w:t>
      </w:r>
      <w:r w:rsidR="00C83CC6">
        <w:t xml:space="preserve">the </w:t>
      </w:r>
      <w:r w:rsidR="00817B4D">
        <w:t>general public</w:t>
      </w:r>
      <w:r w:rsidR="00662438">
        <w:t>,</w:t>
      </w:r>
      <w:r w:rsidR="00817B4D">
        <w:t xml:space="preserve"> including the victims of pollution</w:t>
      </w:r>
      <w:r w:rsidR="00662438">
        <w:t>,</w:t>
      </w:r>
      <w:r w:rsidR="00817B4D">
        <w:t xml:space="preserve"> </w:t>
      </w:r>
      <w:r w:rsidR="00973EF7">
        <w:t xml:space="preserve">possessed </w:t>
      </w:r>
      <w:r w:rsidR="00C83CC6">
        <w:t>experiences that should be respected</w:t>
      </w:r>
      <w:r w:rsidR="00973EF7">
        <w:t xml:space="preserve">. </w:t>
      </w:r>
      <w:r w:rsidRPr="008D7E86">
        <w:t xml:space="preserve">Ui described the characteristic of </w:t>
      </w:r>
      <w:r w:rsidR="009C17CF">
        <w:t xml:space="preserve">victims’ </w:t>
      </w:r>
      <w:r w:rsidRPr="008D7E86">
        <w:t xml:space="preserve">systemic and comprehensive awareness as </w:t>
      </w:r>
      <w:r w:rsidR="00C8427F">
        <w:t>“</w:t>
      </w:r>
      <w:r w:rsidRPr="008D7E86">
        <w:t>in</w:t>
      </w:r>
      <w:r w:rsidR="00D1697E">
        <w:t>expressible</w:t>
      </w:r>
      <w:r w:rsidR="009C17CF">
        <w:t>.</w:t>
      </w:r>
      <w:r w:rsidR="00C8427F">
        <w:t>”</w:t>
      </w:r>
      <w:r w:rsidR="009C17CF">
        <w:t xml:space="preserve"> This is what </w:t>
      </w:r>
      <w:r w:rsidR="00FA22F9">
        <w:t xml:space="preserve">Michael </w:t>
      </w:r>
      <w:r w:rsidR="009C17CF">
        <w:t xml:space="preserve">Polanyi called </w:t>
      </w:r>
      <w:r w:rsidR="00C8427F">
        <w:t>“</w:t>
      </w:r>
      <w:r w:rsidRPr="008D7E86">
        <w:t>tacit knowing</w:t>
      </w:r>
      <w:r w:rsidR="00C8427F">
        <w:t>”</w:t>
      </w:r>
      <w:r w:rsidRPr="008D7E86">
        <w:t xml:space="preserve"> (Polanyi 19</w:t>
      </w:r>
      <w:r w:rsidR="00C64FDC">
        <w:t>6</w:t>
      </w:r>
      <w:r w:rsidRPr="008D7E86">
        <w:t xml:space="preserve">6). Polanyi suggested that </w:t>
      </w:r>
      <w:r w:rsidRPr="002C1ED2">
        <w:rPr>
          <w:i/>
          <w:iCs/>
        </w:rPr>
        <w:t>formal</w:t>
      </w:r>
      <w:r w:rsidRPr="008D7E86">
        <w:t xml:space="preserve"> knowledge</w:t>
      </w:r>
      <w:r w:rsidR="00DA5CBA">
        <w:t>,</w:t>
      </w:r>
      <w:r w:rsidRPr="008D7E86">
        <w:t xml:space="preserve"> </w:t>
      </w:r>
      <w:r w:rsidR="00DA5CBA">
        <w:t xml:space="preserve">which </w:t>
      </w:r>
      <w:r w:rsidRPr="008D7E86">
        <w:t>can be put into words</w:t>
      </w:r>
      <w:r w:rsidR="00DA5CBA">
        <w:t>,</w:t>
      </w:r>
      <w:r w:rsidRPr="008D7E86">
        <w:t xml:space="preserve"> is only a small part of our total knowledge</w:t>
      </w:r>
      <w:r w:rsidR="00DA5CBA">
        <w:t>; in contrast</w:t>
      </w:r>
      <w:r w:rsidRPr="008D7E86">
        <w:t xml:space="preserve">, </w:t>
      </w:r>
      <w:r w:rsidR="00C8427F">
        <w:t>“</w:t>
      </w:r>
      <w:r w:rsidRPr="008D7E86">
        <w:t xml:space="preserve">we </w:t>
      </w:r>
      <w:r w:rsidR="009C17CF">
        <w:t xml:space="preserve">can </w:t>
      </w:r>
      <w:r w:rsidRPr="008D7E86">
        <w:t xml:space="preserve">know more than we can </w:t>
      </w:r>
      <w:r w:rsidR="009C17CF">
        <w:t>tell</w:t>
      </w:r>
      <w:r w:rsidR="00C8427F">
        <w:t>”</w:t>
      </w:r>
      <w:r w:rsidRPr="008D7E86">
        <w:t xml:space="preserve"> (Polanyi 1966).</w:t>
      </w:r>
      <w:r w:rsidR="00C64FDC">
        <w:t xml:space="preserve"> </w:t>
      </w:r>
      <w:r w:rsidRPr="008D7E86">
        <w:t xml:space="preserve">What is important here is not that </w:t>
      </w:r>
      <w:r w:rsidR="00DA5CBA">
        <w:t xml:space="preserve">such tacit </w:t>
      </w:r>
      <w:r w:rsidRPr="008D7E86">
        <w:t xml:space="preserve">knowledge </w:t>
      </w:r>
      <w:r w:rsidR="00DA5CBA">
        <w:t xml:space="preserve">exists, </w:t>
      </w:r>
      <w:r w:rsidRPr="008D7E86">
        <w:t xml:space="preserve">but the </w:t>
      </w:r>
      <w:r w:rsidR="00DA5CBA">
        <w:t xml:space="preserve">arbitrariness of elevating one form of knowledge </w:t>
      </w:r>
      <w:r w:rsidR="003D6879">
        <w:t xml:space="preserve">as superior </w:t>
      </w:r>
      <w:r w:rsidR="00DA5CBA">
        <w:t>while marginalizing the other</w:t>
      </w:r>
      <w:r w:rsidR="00AC5DD2">
        <w:t>—a key issue that</w:t>
      </w:r>
      <w:r w:rsidR="00DA5CBA">
        <w:t xml:space="preserve"> </w:t>
      </w:r>
      <w:r w:rsidRPr="008D7E86">
        <w:t xml:space="preserve">Ui </w:t>
      </w:r>
      <w:r w:rsidR="00AC5DD2">
        <w:t>found problematic</w:t>
      </w:r>
      <w:r w:rsidRPr="008D7E86">
        <w:t>.</w:t>
      </w:r>
    </w:p>
    <w:p w14:paraId="1925563F" w14:textId="486A7864" w:rsidR="0094548A" w:rsidRPr="0094548A" w:rsidRDefault="0094548A" w:rsidP="0094548A">
      <w:pPr>
        <w:tabs>
          <w:tab w:val="left" w:pos="3131"/>
        </w:tabs>
      </w:pPr>
      <w:r>
        <w:tab/>
      </w:r>
    </w:p>
    <w:p w14:paraId="45A08B33" w14:textId="794ADB65" w:rsidR="00962CCD" w:rsidRDefault="00AC2F28" w:rsidP="00946123">
      <w:r>
        <w:t xml:space="preserve">Disregarding </w:t>
      </w:r>
      <w:r w:rsidR="00340D5A">
        <w:t xml:space="preserve">what Ui calls </w:t>
      </w:r>
      <w:r w:rsidR="00AC5DD2">
        <w:t>“</w:t>
      </w:r>
      <w:r w:rsidR="00D06901">
        <w:t xml:space="preserve">inexpressive </w:t>
      </w:r>
      <w:r w:rsidR="00516B45" w:rsidRPr="008D7E86">
        <w:t xml:space="preserve">experiential </w:t>
      </w:r>
      <w:r w:rsidR="003D6879">
        <w:t>awareness</w:t>
      </w:r>
      <w:r w:rsidR="00AC5DD2">
        <w:t>”</w:t>
      </w:r>
      <w:r w:rsidR="00516B45" w:rsidRPr="008D7E86">
        <w:t xml:space="preserve"> </w:t>
      </w:r>
      <w:r w:rsidR="00B454A6">
        <w:t xml:space="preserve">(Ui </w:t>
      </w:r>
      <w:r w:rsidR="008A6105">
        <w:rPr>
          <w:rFonts w:hint="eastAsia"/>
          <w:lang w:eastAsia="ja-JP"/>
        </w:rPr>
        <w:t>2000: xx</w:t>
      </w:r>
      <w:r w:rsidR="00B454A6">
        <w:t xml:space="preserve">) </w:t>
      </w:r>
      <w:r w:rsidR="00516B45" w:rsidRPr="008D7E86">
        <w:t>makes it difficult to treat victims</w:t>
      </w:r>
      <w:r w:rsidR="00AC5DD2">
        <w:t>’</w:t>
      </w:r>
      <w:r w:rsidR="00516B45" w:rsidRPr="008D7E86">
        <w:t xml:space="preserve"> voices fairly within the</w:t>
      </w:r>
      <w:r w:rsidR="002674F1">
        <w:t xml:space="preserve"> conventional</w:t>
      </w:r>
      <w:r w:rsidR="00516B45" w:rsidRPr="008D7E86">
        <w:t xml:space="preserve"> framework of benefit/suffering. </w:t>
      </w:r>
      <w:r w:rsidR="00E610BF" w:rsidRPr="00E610BF">
        <w:t>More importantly,</w:t>
      </w:r>
      <w:r w:rsidR="00AC5DD2" w:rsidRPr="00E610BF">
        <w:t xml:space="preserve"> </w:t>
      </w:r>
      <w:r w:rsidR="00AC5DD2">
        <w:t>i</w:t>
      </w:r>
      <w:r w:rsidR="00516B45" w:rsidRPr="008D7E86">
        <w:t xml:space="preserve">t also </w:t>
      </w:r>
      <w:r w:rsidR="00820EB6">
        <w:t xml:space="preserve">wastes </w:t>
      </w:r>
      <w:r w:rsidR="00516B45" w:rsidRPr="008D7E86">
        <w:t xml:space="preserve">knowledge and skills that are </w:t>
      </w:r>
      <w:r w:rsidR="00820EB6">
        <w:t xml:space="preserve">potentially </w:t>
      </w:r>
      <w:r w:rsidR="00516B45" w:rsidRPr="008D7E86">
        <w:t xml:space="preserve">useful </w:t>
      </w:r>
      <w:r w:rsidR="00340D5A">
        <w:t xml:space="preserve">in </w:t>
      </w:r>
      <w:r w:rsidR="00820EB6">
        <w:t>addressing real-world problems on the ground</w:t>
      </w:r>
      <w:r w:rsidR="00516B45" w:rsidRPr="008D7E86">
        <w:t>. In today</w:t>
      </w:r>
      <w:r w:rsidR="00AC5DD2">
        <w:t>’</w:t>
      </w:r>
      <w:r w:rsidR="00516B45" w:rsidRPr="008D7E86">
        <w:t xml:space="preserve">s world, where modern scientific thinking </w:t>
      </w:r>
      <w:r w:rsidR="00B454A6">
        <w:t xml:space="preserve">has become </w:t>
      </w:r>
      <w:r w:rsidR="00516B45" w:rsidRPr="008D7E86">
        <w:t>domina</w:t>
      </w:r>
      <w:r w:rsidR="00B454A6">
        <w:t>nt</w:t>
      </w:r>
      <w:r w:rsidR="00516B45" w:rsidRPr="008D7E86">
        <w:t xml:space="preserve">, tacit knowledge seems to be increasingly devalued. Between privileged </w:t>
      </w:r>
      <w:r w:rsidR="00516B45" w:rsidRPr="008D7E86">
        <w:lastRenderedPageBreak/>
        <w:t>formal knowledge and tacit knowledge</w:t>
      </w:r>
      <w:r w:rsidR="00AC5DD2">
        <w:t xml:space="preserve"> lies </w:t>
      </w:r>
      <w:r w:rsidR="00516B45" w:rsidRPr="008D7E86">
        <w:t xml:space="preserve">a disparity that could be called a </w:t>
      </w:r>
      <w:r w:rsidR="00AC5DD2">
        <w:t>“</w:t>
      </w:r>
      <w:r w:rsidR="00516B45" w:rsidRPr="008D7E86">
        <w:t>class system of knowledge.</w:t>
      </w:r>
      <w:r w:rsidR="00AC5DD2">
        <w:t>”</w:t>
      </w:r>
      <w:r w:rsidR="00516B45" w:rsidRPr="008D7E86">
        <w:t xml:space="preserve"> </w:t>
      </w:r>
    </w:p>
    <w:p w14:paraId="30E7F47B" w14:textId="77777777" w:rsidR="0032391B" w:rsidRDefault="004C58D0" w:rsidP="00946123">
      <w:r w:rsidRPr="00E610BF">
        <w:t xml:space="preserve">Ui’s battle with the establishment led him to </w:t>
      </w:r>
      <w:r w:rsidR="007910BF" w:rsidRPr="00E610BF">
        <w:t xml:space="preserve">the proposition that </w:t>
      </w:r>
      <w:r w:rsidR="00AC5DD2" w:rsidRPr="00E610BF">
        <w:t>“</w:t>
      </w:r>
      <w:r w:rsidR="007910BF" w:rsidRPr="00E610BF">
        <w:t>there is no such thing as a third party to a pollution problem</w:t>
      </w:r>
      <w:r w:rsidR="00AC5DD2" w:rsidRPr="00E610BF">
        <w:t>.</w:t>
      </w:r>
      <w:r w:rsidR="007910BF" w:rsidRPr="00E610BF">
        <w:t>” According to Ui,</w:t>
      </w:r>
      <w:r w:rsidR="00E610BF" w:rsidRPr="00E610BF">
        <w:t xml:space="preserve"> anybody or any organization </w:t>
      </w:r>
      <w:r w:rsidR="007910BF" w:rsidRPr="00E610BF">
        <w:t>claim</w:t>
      </w:r>
      <w:r w:rsidR="00AC5DD2" w:rsidRPr="00E610BF">
        <w:t>ing</w:t>
      </w:r>
      <w:r w:rsidR="007910BF" w:rsidRPr="00E610BF">
        <w:t xml:space="preserve"> to be a </w:t>
      </w:r>
      <w:r w:rsidR="00AC5DD2" w:rsidRPr="00E610BF">
        <w:t>“</w:t>
      </w:r>
      <w:r w:rsidR="007910BF" w:rsidRPr="00E610BF">
        <w:t>third party</w:t>
      </w:r>
      <w:r w:rsidR="00AC5DD2" w:rsidRPr="00E610BF">
        <w:t>”</w:t>
      </w:r>
      <w:r w:rsidR="007910BF" w:rsidRPr="00E610BF">
        <w:t xml:space="preserve"> will necessarily take the side of the perpetrator, regardless of </w:t>
      </w:r>
      <w:r w:rsidR="00AC5DD2" w:rsidRPr="00E610BF">
        <w:t>their</w:t>
      </w:r>
      <w:r w:rsidR="007910BF" w:rsidRPr="00E610BF">
        <w:t xml:space="preserve"> intentions.</w:t>
      </w:r>
      <w:r w:rsidR="007910BF" w:rsidRPr="00E610BF">
        <w:rPr>
          <w:rStyle w:val="FootnoteReference"/>
        </w:rPr>
        <w:footnoteReference w:id="3"/>
      </w:r>
      <w:r w:rsidR="007910BF" w:rsidRPr="00E610BF">
        <w:t xml:space="preserve"> This is because the </w:t>
      </w:r>
      <w:r w:rsidR="00AC5DD2" w:rsidRPr="00E610BF">
        <w:t>“</w:t>
      </w:r>
      <w:r w:rsidR="007910BF" w:rsidRPr="00E610BF">
        <w:t>problem</w:t>
      </w:r>
      <w:r w:rsidR="00AC5DD2" w:rsidRPr="00E610BF">
        <w:t>”</w:t>
      </w:r>
      <w:r w:rsidR="007910BF" w:rsidRPr="00E610BF">
        <w:t xml:space="preserve"> cannot be defined based on objective data</w:t>
      </w:r>
      <w:r w:rsidR="00AC5DD2" w:rsidRPr="00E610BF">
        <w:t>—instead,</w:t>
      </w:r>
      <w:r w:rsidR="007910BF" w:rsidRPr="00E610BF">
        <w:t xml:space="preserve"> </w:t>
      </w:r>
      <w:r w:rsidR="00AC5DD2" w:rsidRPr="00E610BF">
        <w:t>i</w:t>
      </w:r>
      <w:r w:rsidR="007910BF" w:rsidRPr="00E610BF">
        <w:t xml:space="preserve">t is the implicit framing of the problem that dictates what </w:t>
      </w:r>
      <w:r w:rsidR="007910BF" w:rsidRPr="00E610BF">
        <w:rPr>
          <w:i/>
          <w:iCs/>
        </w:rPr>
        <w:t>becomes</w:t>
      </w:r>
      <w:r w:rsidR="007910BF" w:rsidRPr="00E610BF">
        <w:t xml:space="preserve"> the data. The following observation summarizes Ui</w:t>
      </w:r>
      <w:r w:rsidR="00AC5DD2" w:rsidRPr="00E610BF">
        <w:t>’</w:t>
      </w:r>
      <w:r w:rsidR="007910BF" w:rsidRPr="00E610BF">
        <w:t xml:space="preserve">s </w:t>
      </w:r>
      <w:r w:rsidR="00AC5DD2" w:rsidRPr="00E610BF">
        <w:t xml:space="preserve">articulation of the </w:t>
      </w:r>
      <w:r w:rsidR="007910BF" w:rsidRPr="00E610BF">
        <w:t>problem</w:t>
      </w:r>
      <w:r w:rsidR="00AC5DD2" w:rsidRPr="00E610BF">
        <w:t>:</w:t>
      </w:r>
    </w:p>
    <w:p w14:paraId="7DCD3543" w14:textId="77777777" w:rsidR="0032391B" w:rsidRDefault="007910BF" w:rsidP="0094548A">
      <w:pPr>
        <w:pStyle w:val="Quote"/>
      </w:pPr>
      <w:r w:rsidRPr="008D7E86">
        <w:t>When damage is perceived, the victim feels it with</w:t>
      </w:r>
      <w:r>
        <w:t xml:space="preserve"> the</w:t>
      </w:r>
      <w:r w:rsidR="006C13FC">
        <w:t>ir</w:t>
      </w:r>
      <w:r>
        <w:t xml:space="preserve"> </w:t>
      </w:r>
      <w:r w:rsidRPr="008D7E86">
        <w:t>whole body</w:t>
      </w:r>
      <w:r>
        <w:t>. Ob</w:t>
      </w:r>
      <w:r w:rsidRPr="008D7E86">
        <w:t xml:space="preserve">jectifying </w:t>
      </w:r>
      <w:r>
        <w:t xml:space="preserve">such experience </w:t>
      </w:r>
      <w:r w:rsidRPr="008D7E86">
        <w:t>so that it can be communicated to others in words is not an easy task</w:t>
      </w:r>
      <w:r>
        <w:t>, and in</w:t>
      </w:r>
      <w:r w:rsidRPr="008D7E86">
        <w:t xml:space="preserve"> many cases</w:t>
      </w:r>
      <w:r>
        <w:t>,</w:t>
      </w:r>
      <w:r w:rsidRPr="008D7E86">
        <w:t xml:space="preserve"> </w:t>
      </w:r>
      <w:r>
        <w:t xml:space="preserve">the victims </w:t>
      </w:r>
      <w:r w:rsidRPr="008D7E86">
        <w:t>cannot</w:t>
      </w:r>
      <w:r>
        <w:t xml:space="preserve"> </w:t>
      </w:r>
      <w:r w:rsidRPr="008D7E86">
        <w:t xml:space="preserve">adequately </w:t>
      </w:r>
      <w:r>
        <w:t>express it</w:t>
      </w:r>
      <w:r w:rsidRPr="008D7E86">
        <w:t xml:space="preserve">. </w:t>
      </w:r>
      <w:r>
        <w:t>T</w:t>
      </w:r>
      <w:r w:rsidRPr="008D7E86">
        <w:t>he</w:t>
      </w:r>
      <w:r>
        <w:t xml:space="preserve"> victims’</w:t>
      </w:r>
      <w:r w:rsidRPr="008D7E86">
        <w:t xml:space="preserve"> perception of pollution is </w:t>
      </w:r>
      <w:r>
        <w:t xml:space="preserve">thus more </w:t>
      </w:r>
      <w:r w:rsidRPr="008D7E86">
        <w:t xml:space="preserve">systemic and comprehensive. In contrast, </w:t>
      </w:r>
      <w:r w:rsidR="006C13FC">
        <w:t xml:space="preserve">the </w:t>
      </w:r>
      <w:r w:rsidRPr="008D7E86">
        <w:t>perpetrator</w:t>
      </w:r>
      <w:r w:rsidR="006C13FC">
        <w:t>’s</w:t>
      </w:r>
      <w:r w:rsidRPr="008D7E86">
        <w:t xml:space="preserve"> </w:t>
      </w:r>
      <w:r w:rsidR="006C13FC">
        <w:t xml:space="preserve">perspective—limited to quantifiable aspects </w:t>
      </w:r>
      <w:r w:rsidR="006C13FC" w:rsidRPr="008D7E86">
        <w:t>such as the concentration of pollutants or the number of victims</w:t>
      </w:r>
      <w:r w:rsidR="006C13FC">
        <w:t>—</w:t>
      </w:r>
      <w:r w:rsidRPr="008D7E86">
        <w:t xml:space="preserve">is at best partial. </w:t>
      </w:r>
      <w:r w:rsidR="00AC5DD2">
        <w:t>[</w:t>
      </w:r>
      <w:r>
        <w:t>…</w:t>
      </w:r>
      <w:r w:rsidR="00AC5DD2">
        <w:t>]</w:t>
      </w:r>
      <w:r w:rsidRPr="008D7E86">
        <w:t xml:space="preserve"> If there is someone who claims to be an impartial third party and tries to hear both sides equally, the perception </w:t>
      </w:r>
      <w:r>
        <w:t>falls</w:t>
      </w:r>
      <w:r w:rsidRPr="008D7E86">
        <w:t xml:space="preserve"> somewhere between partial and total and will inevitably take on the </w:t>
      </w:r>
      <w:r>
        <w:t xml:space="preserve">side of the </w:t>
      </w:r>
      <w:r w:rsidRPr="008D7E86">
        <w:t>perpetrator (</w:t>
      </w:r>
      <w:r w:rsidRPr="00EB6761">
        <w:t>Ui 2000</w:t>
      </w:r>
      <w:r w:rsidR="006C13FC">
        <w:t>,</w:t>
      </w:r>
      <w:r>
        <w:t xml:space="preserve"> </w:t>
      </w:r>
      <w:r w:rsidRPr="008D7E86">
        <w:t>51).</w:t>
      </w:r>
    </w:p>
    <w:p w14:paraId="722BDF49" w14:textId="77777777" w:rsidR="0032391B" w:rsidRDefault="007910BF" w:rsidP="00946123">
      <w:r w:rsidRPr="008D7E86">
        <w:t xml:space="preserve">Ui pointed out that the </w:t>
      </w:r>
      <w:r w:rsidR="006C13FC">
        <w:t>“</w:t>
      </w:r>
      <w:r w:rsidRPr="008D7E86">
        <w:t>governance of knowledge</w:t>
      </w:r>
      <w:r w:rsidR="006C13FC">
        <w:t>”</w:t>
      </w:r>
      <w:r w:rsidRPr="008D7E86">
        <w:t xml:space="preserve"> lies in the very way we understand pollution</w:t>
      </w:r>
      <w:r>
        <w:t xml:space="preserve"> prior to our action towards addressing </w:t>
      </w:r>
      <w:r w:rsidRPr="008D7E86">
        <w:t xml:space="preserve">pollution. </w:t>
      </w:r>
      <w:r>
        <w:t>We know that</w:t>
      </w:r>
      <w:r w:rsidRPr="008D7E86">
        <w:t xml:space="preserve"> local knowledge</w:t>
      </w:r>
      <w:r>
        <w:t xml:space="preserve">, </w:t>
      </w:r>
      <w:r w:rsidRPr="008D7E86">
        <w:t>despite its practical strength</w:t>
      </w:r>
      <w:r>
        <w:t xml:space="preserve"> backed by a</w:t>
      </w:r>
      <w:r w:rsidRPr="008D7E86">
        <w:t xml:space="preserve"> contextual understanding</w:t>
      </w:r>
      <w:r>
        <w:t xml:space="preserve"> of the problem</w:t>
      </w:r>
      <w:r w:rsidRPr="008D7E86">
        <w:t xml:space="preserve">, has been </w:t>
      </w:r>
      <w:r w:rsidRPr="008D7E86">
        <w:lastRenderedPageBreak/>
        <w:t>over</w:t>
      </w:r>
      <w:r>
        <w:t xml:space="preserve">looked </w:t>
      </w:r>
      <w:r w:rsidRPr="008D7E86">
        <w:t xml:space="preserve">and silenced in many situations by </w:t>
      </w:r>
      <w:r>
        <w:t>theoretical</w:t>
      </w:r>
      <w:r w:rsidRPr="008D7E86">
        <w:t xml:space="preserve"> knowledge, which </w:t>
      </w:r>
      <w:r>
        <w:t>seems to be applicable regardless of the specific location or context.</w:t>
      </w:r>
      <w:r w:rsidRPr="008D7E86">
        <w:rPr>
          <w:rStyle w:val="FootnoteReference"/>
        </w:rPr>
        <w:footnoteReference w:id="4"/>
      </w:r>
    </w:p>
    <w:p w14:paraId="5DE4C96C" w14:textId="77777777" w:rsidR="0094548A" w:rsidRDefault="0094548A" w:rsidP="00946123"/>
    <w:p w14:paraId="14006CDF" w14:textId="77777777" w:rsidR="0032391B" w:rsidRDefault="00DA65E8" w:rsidP="0094548A">
      <w:pPr>
        <w:pStyle w:val="Heading2"/>
      </w:pPr>
      <w:r>
        <w:t xml:space="preserve">How things </w:t>
      </w:r>
      <w:r w:rsidR="00B26341">
        <w:t xml:space="preserve">could </w:t>
      </w:r>
      <w:r>
        <w:t>be done differently</w:t>
      </w:r>
    </w:p>
    <w:p w14:paraId="70E9D478" w14:textId="3E671794" w:rsidR="00516B45" w:rsidRPr="008D7E86" w:rsidRDefault="00516B45" w:rsidP="00946123">
      <w:r w:rsidRPr="008D7E86">
        <w:t xml:space="preserve">The </w:t>
      </w:r>
      <w:r w:rsidR="006C13FC">
        <w:t>“</w:t>
      </w:r>
      <w:r w:rsidRPr="008D7E86">
        <w:t>governance of knowledge</w:t>
      </w:r>
      <w:r w:rsidR="006C13FC">
        <w:t>”—</w:t>
      </w:r>
      <w:r w:rsidRPr="008D7E86">
        <w:t>the process by which particular knowledge acquires legitimacy</w:t>
      </w:r>
      <w:r w:rsidR="006C13FC">
        <w:t>—</w:t>
      </w:r>
      <w:r w:rsidR="00FA4F9C">
        <w:t>is a process that consolidates the class system of knowledge</w:t>
      </w:r>
      <w:r w:rsidRPr="008D7E86">
        <w:t xml:space="preserve">. Looking back on </w:t>
      </w:r>
      <w:r w:rsidR="0022452F">
        <w:t xml:space="preserve">the </w:t>
      </w:r>
      <w:r w:rsidRPr="008D7E86">
        <w:t>history</w:t>
      </w:r>
      <w:r w:rsidR="0022452F">
        <w:t xml:space="preserve"> of the twentieth and early twenty-first centuries</w:t>
      </w:r>
      <w:r w:rsidRPr="008D7E86">
        <w:t xml:space="preserve">, </w:t>
      </w:r>
      <w:r w:rsidR="00A43BC1">
        <w:t xml:space="preserve">the </w:t>
      </w:r>
      <w:r w:rsidRPr="008D7E86">
        <w:t>governance of knowledge has developed with a bias</w:t>
      </w:r>
      <w:r w:rsidR="0022452F">
        <w:t xml:space="preserve"> </w:t>
      </w:r>
      <w:r w:rsidR="00B26341">
        <w:t xml:space="preserve">toward </w:t>
      </w:r>
      <w:r w:rsidR="0022452F">
        <w:t>formal scientific knowledge</w:t>
      </w:r>
      <w:r w:rsidRPr="008D7E86">
        <w:t xml:space="preserve">. However, there was once a time when tacit knowledge was given equal status </w:t>
      </w:r>
      <w:r w:rsidR="00B26341">
        <w:t>to</w:t>
      </w:r>
      <w:r w:rsidRPr="008D7E86">
        <w:t xml:space="preserve"> formal knowledge.</w:t>
      </w:r>
    </w:p>
    <w:p w14:paraId="0CF025D7" w14:textId="1EB3FA5E" w:rsidR="00516B45" w:rsidRPr="008D7E86" w:rsidRDefault="00516B45" w:rsidP="00946123">
      <w:r w:rsidRPr="008D7E86">
        <w:t xml:space="preserve">Aristotle classified knowledge into three categories: </w:t>
      </w:r>
      <w:r w:rsidR="00D83F7E">
        <w:t>episteme</w:t>
      </w:r>
      <w:r w:rsidRPr="008D7E86">
        <w:t xml:space="preserve"> (true knowledge, science), techne (knowledge of </w:t>
      </w:r>
      <w:r w:rsidR="00CA7686">
        <w:t>craft</w:t>
      </w:r>
      <w:r w:rsidR="00632CBC">
        <w:t xml:space="preserve"> and</w:t>
      </w:r>
      <w:r w:rsidRPr="008D7E86">
        <w:t xml:space="preserve"> </w:t>
      </w:r>
      <w:r w:rsidR="00CA7686">
        <w:rPr>
          <w:rFonts w:hint="eastAsia"/>
        </w:rPr>
        <w:t>a</w:t>
      </w:r>
      <w:r w:rsidR="00CA7686">
        <w:t>rt</w:t>
      </w:r>
      <w:r w:rsidRPr="008D7E86">
        <w:t xml:space="preserve">), and phronesis (knowledge of doing, </w:t>
      </w:r>
      <w:r w:rsidR="00CA7686">
        <w:t>ethics and prudence</w:t>
      </w:r>
      <w:r w:rsidRPr="008D7E86">
        <w:t xml:space="preserve">). Among these, </w:t>
      </w:r>
      <w:r w:rsidR="00B26341">
        <w:t>“</w:t>
      </w:r>
      <w:r w:rsidRPr="008D7E86">
        <w:t>science</w:t>
      </w:r>
      <w:r w:rsidR="00B26341">
        <w:t>”</w:t>
      </w:r>
      <w:r w:rsidRPr="008D7E86">
        <w:t xml:space="preserve"> refers to that which can be taught </w:t>
      </w:r>
      <w:r w:rsidR="001034B5">
        <w:t>by</w:t>
      </w:r>
      <w:r w:rsidRPr="008D7E86">
        <w:t xml:space="preserve"> others </w:t>
      </w:r>
      <w:r w:rsidR="001034B5">
        <w:t xml:space="preserve">and </w:t>
      </w:r>
      <w:r w:rsidR="00632CBC">
        <w:t xml:space="preserve">is </w:t>
      </w:r>
      <w:r w:rsidR="00F212F5">
        <w:t>invariable in time and space</w:t>
      </w:r>
      <w:r w:rsidRPr="008D7E86">
        <w:t>. While science</w:t>
      </w:r>
      <w:r w:rsidR="00F212F5">
        <w:t xml:space="preserve"> </w:t>
      </w:r>
      <w:r w:rsidRPr="008D7E86">
        <w:t>is</w:t>
      </w:r>
      <w:r w:rsidR="00F212F5">
        <w:t xml:space="preserve"> in </w:t>
      </w:r>
      <w:r w:rsidRPr="008D7E86">
        <w:t xml:space="preserve">the domain of knowledge that finally converges to one </w:t>
      </w:r>
      <w:r w:rsidR="00F212F5">
        <w:t xml:space="preserve">universal </w:t>
      </w:r>
      <w:r w:rsidRPr="008D7E86">
        <w:t>answer, the other two belong to the domain of tacit knowledge, in which different ways of being are possible without converg</w:t>
      </w:r>
      <w:r w:rsidR="00632CBC">
        <w:t>ence</w:t>
      </w:r>
      <w:r w:rsidRPr="008D7E86">
        <w:t xml:space="preserve"> </w:t>
      </w:r>
      <w:r w:rsidR="00632CBC">
        <w:t>toward a single best way</w:t>
      </w:r>
      <w:r w:rsidRPr="008D7E86">
        <w:t xml:space="preserve">. Techne is the </w:t>
      </w:r>
      <w:r w:rsidR="00B26341">
        <w:t>“</w:t>
      </w:r>
      <w:r w:rsidRPr="008D7E86">
        <w:t>craft involved in making things happen,</w:t>
      </w:r>
      <w:r w:rsidR="00B26341">
        <w:t>”</w:t>
      </w:r>
      <w:r w:rsidRPr="008D7E86">
        <w:t xml:space="preserve"> which we call </w:t>
      </w:r>
      <w:r w:rsidR="00B26341">
        <w:t>“</w:t>
      </w:r>
      <w:r w:rsidRPr="008D7E86">
        <w:t>technology</w:t>
      </w:r>
      <w:r w:rsidR="00B26341">
        <w:t>”</w:t>
      </w:r>
      <w:r w:rsidRPr="008D7E86">
        <w:t xml:space="preserve"> today. The other category is that of knowledge of action and practice, the focus of this chapter, which </w:t>
      </w:r>
      <w:r w:rsidRPr="008D7E86">
        <w:lastRenderedPageBreak/>
        <w:t xml:space="preserve">Aristotle called </w:t>
      </w:r>
      <w:r w:rsidR="00B26341">
        <w:t>“</w:t>
      </w:r>
      <w:r w:rsidRPr="008D7E86">
        <w:t>phronesis</w:t>
      </w:r>
      <w:r w:rsidR="00B26341">
        <w:t>”</w:t>
      </w:r>
      <w:r w:rsidRPr="008D7E86">
        <w:t xml:space="preserve"> (Aristotle 19</w:t>
      </w:r>
      <w:r w:rsidR="00CB1DEF">
        <w:t>54</w:t>
      </w:r>
      <w:r w:rsidRPr="008D7E86">
        <w:t xml:space="preserve">: </w:t>
      </w:r>
      <w:r w:rsidR="00CB1DEF" w:rsidRPr="00CB1DEF">
        <w:rPr>
          <w:highlight w:val="yellow"/>
        </w:rPr>
        <w:t>pp</w:t>
      </w:r>
      <w:r w:rsidRPr="008D7E86">
        <w:t>)</w:t>
      </w:r>
      <w:r w:rsidR="00A37BF8">
        <w:t>.</w:t>
      </w:r>
      <w:r w:rsidR="00353869" w:rsidRPr="008D7E86">
        <w:rPr>
          <w:rStyle w:val="FootnoteReference"/>
        </w:rPr>
        <w:footnoteReference w:id="5"/>
      </w:r>
      <w:r w:rsidRPr="008D7E86">
        <w:t xml:space="preserve"> While the first two types of knowledge have developed to the present day as </w:t>
      </w:r>
      <w:r w:rsidR="00D67152">
        <w:t>“</w:t>
      </w:r>
      <w:r w:rsidRPr="008D7E86">
        <w:t>science</w:t>
      </w:r>
      <w:r w:rsidR="00D67152">
        <w:t>”</w:t>
      </w:r>
      <w:r w:rsidRPr="008D7E86">
        <w:t xml:space="preserve"> and </w:t>
      </w:r>
      <w:r w:rsidR="00D67152">
        <w:t>“</w:t>
      </w:r>
      <w:r w:rsidRPr="008D7E86">
        <w:t>technology,</w:t>
      </w:r>
      <w:r w:rsidR="00D67152">
        <w:t>”</w:t>
      </w:r>
      <w:r w:rsidRPr="008D7E86">
        <w:t xml:space="preserve"> respectively, phronesis</w:t>
      </w:r>
      <w:r w:rsidR="00667A76">
        <w:t>—</w:t>
      </w:r>
      <w:r w:rsidRPr="008D7E86">
        <w:t>often translated as ethics or practical knowledge</w:t>
      </w:r>
      <w:r w:rsidR="00667A76">
        <w:t>—</w:t>
      </w:r>
      <w:r w:rsidRPr="008D7E86">
        <w:t>has not developed a coherent successor concept (Flyvbjerg 2001)</w:t>
      </w:r>
      <w:r w:rsidR="00644672" w:rsidRPr="008D7E86">
        <w:rPr>
          <w:rStyle w:val="FootnoteReference"/>
        </w:rPr>
        <w:footnoteReference w:id="6"/>
      </w:r>
      <w:r w:rsidR="00632CBC">
        <w:t xml:space="preserve"> and has remained almost stagnant since the early decades of the twentieth century</w:t>
      </w:r>
      <w:r w:rsidRPr="008D7E86">
        <w:t>.</w:t>
      </w:r>
    </w:p>
    <w:p w14:paraId="5D055384" w14:textId="0D79E54C" w:rsidR="00516B45" w:rsidRPr="008D7E86" w:rsidRDefault="00B2346C" w:rsidP="00946123">
      <w:r>
        <w:t>What are the major characteristics of t</w:t>
      </w:r>
      <w:r w:rsidR="00516B45" w:rsidRPr="008D7E86">
        <w:t>acit knowledge</w:t>
      </w:r>
      <w:r>
        <w:rPr>
          <w:rFonts w:hint="eastAsia"/>
        </w:rPr>
        <w:t>?</w:t>
      </w:r>
      <w:r>
        <w:t xml:space="preserve"> </w:t>
      </w:r>
      <w:r w:rsidR="00516B45" w:rsidRPr="008D7E86">
        <w:t xml:space="preserve">The first is its integrative nature </w:t>
      </w:r>
      <w:r w:rsidR="00D85A1E">
        <w:t>for</w:t>
      </w:r>
      <w:r>
        <w:t xml:space="preserve"> </w:t>
      </w:r>
      <w:r w:rsidR="00516B45" w:rsidRPr="008D7E86">
        <w:t>practical</w:t>
      </w:r>
      <w:r>
        <w:t xml:space="preserve"> </w:t>
      </w:r>
      <w:r w:rsidR="00D85A1E">
        <w:t>purposes</w:t>
      </w:r>
      <w:r w:rsidR="00516B45" w:rsidRPr="008D7E86">
        <w:t xml:space="preserve">. Formal science </w:t>
      </w:r>
      <w:r>
        <w:t>d</w:t>
      </w:r>
      <w:r w:rsidR="00516B45" w:rsidRPr="008D7E86">
        <w:t xml:space="preserve">ivides the </w:t>
      </w:r>
      <w:r>
        <w:t xml:space="preserve">object of observation </w:t>
      </w:r>
      <w:r w:rsidR="00516B45" w:rsidRPr="008D7E86">
        <w:t>into parts</w:t>
      </w:r>
      <w:r>
        <w:t xml:space="preserve"> for analytical purposes</w:t>
      </w:r>
      <w:r w:rsidR="00516B45" w:rsidRPr="008D7E86">
        <w:t xml:space="preserve">. The results of </w:t>
      </w:r>
      <w:r w:rsidR="00A26D85">
        <w:t xml:space="preserve">its </w:t>
      </w:r>
      <w:r w:rsidR="00516B45" w:rsidRPr="008D7E86">
        <w:t>analys</w:t>
      </w:r>
      <w:r w:rsidR="00A26D85">
        <w:t>es</w:t>
      </w:r>
      <w:r w:rsidR="00516B45" w:rsidRPr="008D7E86">
        <w:t xml:space="preserve"> </w:t>
      </w:r>
      <w:r w:rsidR="00D85A1E">
        <w:t xml:space="preserve">are usually </w:t>
      </w:r>
      <w:r w:rsidR="00516B45" w:rsidRPr="008D7E86">
        <w:t>limited to findings on</w:t>
      </w:r>
      <w:r w:rsidR="00D85A1E">
        <w:t xml:space="preserve"> statistical </w:t>
      </w:r>
      <w:r w:rsidR="00516B45" w:rsidRPr="008D7E86">
        <w:t xml:space="preserve">trends and correlations </w:t>
      </w:r>
      <w:r w:rsidR="00D85A1E">
        <w:t xml:space="preserve">based on </w:t>
      </w:r>
      <w:r w:rsidR="00A26D85">
        <w:t xml:space="preserve">the </w:t>
      </w:r>
      <w:r w:rsidR="00D85A1E">
        <w:t>selective observation of samples</w:t>
      </w:r>
      <w:r w:rsidR="00516B45" w:rsidRPr="008D7E86">
        <w:t xml:space="preserve">. In </w:t>
      </w:r>
      <w:r w:rsidR="00D85A1E">
        <w:t>solving real-world problems</w:t>
      </w:r>
      <w:r w:rsidR="00516B45" w:rsidRPr="008D7E86">
        <w:t xml:space="preserve">, however, integration is </w:t>
      </w:r>
      <w:r w:rsidR="00A26D85">
        <w:t xml:space="preserve">a </w:t>
      </w:r>
      <w:r w:rsidR="00516B45" w:rsidRPr="008D7E86">
        <w:t xml:space="preserve">precondition for usefulness. Integration </w:t>
      </w:r>
      <w:r w:rsidR="0008698F">
        <w:t xml:space="preserve">draws on </w:t>
      </w:r>
      <w:r w:rsidR="00516B45" w:rsidRPr="008D7E86">
        <w:t xml:space="preserve">tacit knowledge </w:t>
      </w:r>
      <w:r w:rsidR="0008698F">
        <w:t xml:space="preserve">to </w:t>
      </w:r>
      <w:r w:rsidR="00134C52">
        <w:t>intuitively</w:t>
      </w:r>
      <w:r w:rsidR="00516B45" w:rsidRPr="008D7E86">
        <w:t xml:space="preserve"> grasp the individual situation at </w:t>
      </w:r>
      <w:r w:rsidR="0008698F">
        <w:t>a</w:t>
      </w:r>
      <w:r w:rsidR="0008698F" w:rsidRPr="008D7E86">
        <w:t xml:space="preserve"> </w:t>
      </w:r>
      <w:r w:rsidR="00134C52">
        <w:t xml:space="preserve">particular </w:t>
      </w:r>
      <w:r w:rsidR="00516B45" w:rsidRPr="008D7E86">
        <w:t xml:space="preserve">place and time. In the case of agriculture, </w:t>
      </w:r>
      <w:r w:rsidR="00BD22D9">
        <w:t xml:space="preserve">for example, </w:t>
      </w:r>
      <w:r w:rsidR="00516B45" w:rsidRPr="008D7E86">
        <w:t xml:space="preserve">crops grow well only when </w:t>
      </w:r>
      <w:r w:rsidR="00134C52">
        <w:t>specific</w:t>
      </w:r>
      <w:r w:rsidR="00516B45" w:rsidRPr="008D7E86">
        <w:t xml:space="preserve"> </w:t>
      </w:r>
      <w:r w:rsidR="00BD22D9">
        <w:t xml:space="preserve">local </w:t>
      </w:r>
      <w:r w:rsidR="00516B45" w:rsidRPr="008D7E86">
        <w:t xml:space="preserve">knowledge about the </w:t>
      </w:r>
      <w:r w:rsidR="00134C52">
        <w:t>soil</w:t>
      </w:r>
      <w:r w:rsidR="00516B45" w:rsidRPr="008D7E86">
        <w:t xml:space="preserve">, climate, and crops </w:t>
      </w:r>
      <w:r w:rsidR="00BD22D9">
        <w:t>themselves are</w:t>
      </w:r>
      <w:r w:rsidR="00516B45" w:rsidRPr="008D7E86">
        <w:t xml:space="preserve"> integrated toward the goal of cultivation.</w:t>
      </w:r>
    </w:p>
    <w:p w14:paraId="7781EE02" w14:textId="7998B3AC" w:rsidR="00516B45" w:rsidRPr="008D7E86" w:rsidRDefault="00516B45" w:rsidP="00946123">
      <w:r w:rsidRPr="008D7E86">
        <w:t xml:space="preserve">The second characteristic is that </w:t>
      </w:r>
      <w:r w:rsidR="0008698F">
        <w:t xml:space="preserve">implicit </w:t>
      </w:r>
      <w:r w:rsidRPr="008D7E86">
        <w:t xml:space="preserve">knowledge </w:t>
      </w:r>
      <w:r w:rsidR="0008698F">
        <w:t xml:space="preserve">is </w:t>
      </w:r>
      <w:r w:rsidRPr="008D7E86">
        <w:t xml:space="preserve">learned </w:t>
      </w:r>
      <w:r w:rsidR="00BD22D9">
        <w:t xml:space="preserve">and </w:t>
      </w:r>
      <w:r w:rsidRPr="008D7E86">
        <w:t xml:space="preserve">acquired through </w:t>
      </w:r>
      <w:r w:rsidR="00BD22D9">
        <w:t xml:space="preserve">one’s own </w:t>
      </w:r>
      <w:r w:rsidRPr="008D7E86">
        <w:t xml:space="preserve">experience. Even those who know how to do everyday activities such as cooking or riding a bicycle, </w:t>
      </w:r>
      <w:r w:rsidR="00BD22D9">
        <w:t xml:space="preserve">or a more professional practice such as </w:t>
      </w:r>
      <w:r w:rsidRPr="008D7E86">
        <w:t>agriculture and medic</w:t>
      </w:r>
      <w:r w:rsidR="00BD22D9">
        <w:t xml:space="preserve">al </w:t>
      </w:r>
      <w:r w:rsidR="00166E5C">
        <w:t>practice</w:t>
      </w:r>
      <w:r w:rsidR="00BD22D9">
        <w:t>,</w:t>
      </w:r>
      <w:r w:rsidRPr="008D7E86">
        <w:t xml:space="preserve"> may be </w:t>
      </w:r>
      <w:r w:rsidR="007F56C6">
        <w:t>un</w:t>
      </w:r>
      <w:r w:rsidRPr="008D7E86">
        <w:t xml:space="preserve">able to explain how they managed to </w:t>
      </w:r>
      <w:r w:rsidR="00BD22D9">
        <w:t>perform them</w:t>
      </w:r>
      <w:r w:rsidRPr="008D7E86">
        <w:t xml:space="preserve">. </w:t>
      </w:r>
    </w:p>
    <w:p w14:paraId="017B78D8" w14:textId="77777777" w:rsidR="0032391B" w:rsidRDefault="00516B45" w:rsidP="00946123">
      <w:r w:rsidRPr="008D7E86">
        <w:lastRenderedPageBreak/>
        <w:t xml:space="preserve">A third characteristic is </w:t>
      </w:r>
      <w:r w:rsidR="00CD75BB">
        <w:t>its</w:t>
      </w:r>
      <w:r w:rsidR="00CD75BB" w:rsidRPr="008D7E86">
        <w:t xml:space="preserve"> </w:t>
      </w:r>
      <w:r w:rsidRPr="008D7E86">
        <w:t xml:space="preserve">orientation toward local-specific contexts and individual cases. Whereas universal formal knowledge discards context, tacit knowledge produces practical effects </w:t>
      </w:r>
      <w:r w:rsidRPr="002C1ED2">
        <w:rPr>
          <w:i/>
          <w:iCs/>
        </w:rPr>
        <w:t>through</w:t>
      </w:r>
      <w:r w:rsidRPr="008D7E86">
        <w:t xml:space="preserve"> its ability to capture context and situation. Because of this characteristic, Aristotle says, </w:t>
      </w:r>
      <w:r w:rsidR="007F56C6">
        <w:t>“</w:t>
      </w:r>
      <w:r w:rsidRPr="008D7E86">
        <w:t>those who do not possess knowledge are more useful in practice than those who do</w:t>
      </w:r>
      <w:r w:rsidR="007F56C6">
        <w:t>”</w:t>
      </w:r>
      <w:r w:rsidR="004E7AAE" w:rsidRPr="004E7AAE">
        <w:t xml:space="preserve"> </w:t>
      </w:r>
      <w:r w:rsidR="004E7AAE" w:rsidRPr="003149C0">
        <w:t>(Aristotle 1954</w:t>
      </w:r>
      <w:r w:rsidR="007F56C6">
        <w:t>,</w:t>
      </w:r>
      <w:r w:rsidR="004E7AAE" w:rsidRPr="003149C0">
        <w:t xml:space="preserve"> 146)</w:t>
      </w:r>
      <w:r w:rsidR="004E7AAE">
        <w:rPr>
          <w:rFonts w:hint="eastAsia"/>
        </w:rPr>
        <w:t>.</w:t>
      </w:r>
      <w:r w:rsidRPr="008D7E86">
        <w:t xml:space="preserve"> The following example is </w:t>
      </w:r>
      <w:r w:rsidR="007F56C6">
        <w:t>illustrative:</w:t>
      </w:r>
    </w:p>
    <w:p w14:paraId="11F6B1BD" w14:textId="77777777" w:rsidR="0032391B" w:rsidRDefault="003149C0" w:rsidP="0094548A">
      <w:pPr>
        <w:pStyle w:val="Quote"/>
      </w:pPr>
      <w:r w:rsidRPr="003149C0">
        <w:t>…for if a man knew that light meats are digestible and whole</w:t>
      </w:r>
      <w:r w:rsidR="00C30B15" w:rsidRPr="003149C0">
        <w:t>some, but d</w:t>
      </w:r>
      <w:r w:rsidRPr="003149C0">
        <w:t>id no</w:t>
      </w:r>
      <w:r w:rsidR="00C30B15" w:rsidRPr="003149C0">
        <w:t xml:space="preserve">t know </w:t>
      </w:r>
      <w:r w:rsidRPr="003149C0">
        <w:t xml:space="preserve">which sorts of meat are </w:t>
      </w:r>
      <w:r w:rsidR="00C30B15" w:rsidRPr="003149C0">
        <w:t>light</w:t>
      </w:r>
      <w:r w:rsidRPr="003149C0">
        <w:t xml:space="preserve">, he </w:t>
      </w:r>
      <w:r>
        <w:t>would</w:t>
      </w:r>
      <w:r w:rsidRPr="003149C0">
        <w:t xml:space="preserve"> not produce health, but the man </w:t>
      </w:r>
      <w:r w:rsidR="00C30B15" w:rsidRPr="003149C0">
        <w:t xml:space="preserve">who </w:t>
      </w:r>
      <w:r w:rsidR="00F10419" w:rsidRPr="003149C0">
        <w:t>knows</w:t>
      </w:r>
      <w:r w:rsidR="00C30B15" w:rsidRPr="003149C0">
        <w:t xml:space="preserve"> that chicken is wholesome</w:t>
      </w:r>
      <w:r w:rsidRPr="003149C0">
        <w:t xml:space="preserve"> is likely to produce health</w:t>
      </w:r>
      <w:r w:rsidR="00516B45" w:rsidRPr="003149C0">
        <w:t xml:space="preserve"> (Aristotle 19</w:t>
      </w:r>
      <w:r w:rsidRPr="003149C0">
        <w:t>54</w:t>
      </w:r>
      <w:r w:rsidR="007F56C6">
        <w:t>,</w:t>
      </w:r>
      <w:r w:rsidRPr="003149C0">
        <w:t xml:space="preserve"> 146</w:t>
      </w:r>
      <w:r w:rsidR="00516B45" w:rsidRPr="003149C0">
        <w:t>).</w:t>
      </w:r>
    </w:p>
    <w:p w14:paraId="2C3E2613" w14:textId="29753ECB" w:rsidR="00516B45" w:rsidRPr="008D7E86" w:rsidRDefault="00D83630" w:rsidP="00946123">
      <w:r>
        <w:t>The knowledge</w:t>
      </w:r>
      <w:r w:rsidR="00516B45" w:rsidRPr="008D7E86">
        <w:t xml:space="preserve"> that chicken is </w:t>
      </w:r>
      <w:r w:rsidR="007F56C6">
        <w:t>healthier</w:t>
      </w:r>
      <w:r w:rsidR="00516B45" w:rsidRPr="008D7E86">
        <w:t xml:space="preserve"> is indeed </w:t>
      </w:r>
      <w:r w:rsidR="00F10419">
        <w:t>particular.</w:t>
      </w:r>
      <w:r w:rsidR="00516B45" w:rsidRPr="008D7E86">
        <w:t xml:space="preserve"> </w:t>
      </w:r>
      <w:r w:rsidR="00E431BF">
        <w:t xml:space="preserve">Aristotle </w:t>
      </w:r>
      <w:r w:rsidR="003149C0">
        <w:t>adds</w:t>
      </w:r>
      <w:r w:rsidR="00E431BF">
        <w:t xml:space="preserve"> </w:t>
      </w:r>
      <w:r w:rsidR="007F56C6">
        <w:t xml:space="preserve">the </w:t>
      </w:r>
      <w:r w:rsidR="00E431BF">
        <w:t>example of a doctor who err</w:t>
      </w:r>
      <w:r w:rsidR="00FB5B18">
        <w:t>s</w:t>
      </w:r>
      <w:r w:rsidR="00E431BF">
        <w:t xml:space="preserve"> in treating a patient: “If then, one </w:t>
      </w:r>
      <w:proofErr w:type="gramStart"/>
      <w:r w:rsidR="00E431BF">
        <w:t>were</w:t>
      </w:r>
      <w:proofErr w:type="gramEnd"/>
      <w:r w:rsidR="00E431BF">
        <w:t xml:space="preserve"> to have a theoretical account of the immediate particular, knowing the universal but being ignorant of the immediate particular, he will often err in his treatment. For it is the particular that must be treated” (Aristotle 2004: 5). </w:t>
      </w:r>
      <w:r w:rsidR="00516B45" w:rsidRPr="008D7E86">
        <w:t xml:space="preserve">We know that in such everyday practice settings, </w:t>
      </w:r>
      <w:r w:rsidR="007F56C6">
        <w:t xml:space="preserve">it is essential to have </w:t>
      </w:r>
      <w:r w:rsidR="00516B45" w:rsidRPr="008D7E86">
        <w:t>the ability to read the unique context that conditions the scene.</w:t>
      </w:r>
    </w:p>
    <w:p w14:paraId="2226F982" w14:textId="72A056ED" w:rsidR="00516B45" w:rsidRPr="008D7E86" w:rsidRDefault="00516B45" w:rsidP="00946123">
      <w:r w:rsidRPr="008D7E86">
        <w:t xml:space="preserve">Tacit knowledge with these characteristics has been neglected and discarded in the process of modernization, </w:t>
      </w:r>
      <w:r w:rsidR="007F56C6">
        <w:t>partly</w:t>
      </w:r>
      <w:r w:rsidRPr="008D7E86">
        <w:t xml:space="preserve"> because, unlike formal </w:t>
      </w:r>
      <w:r w:rsidR="00D83630">
        <w:t xml:space="preserve">scientific </w:t>
      </w:r>
      <w:r w:rsidRPr="008D7E86">
        <w:t xml:space="preserve">knowledge, it has characteristics that are </w:t>
      </w:r>
      <w:r w:rsidR="00FB5B18">
        <w:t xml:space="preserve">difficult to </w:t>
      </w:r>
      <w:r w:rsidRPr="008D7E86">
        <w:t xml:space="preserve">record. It is </w:t>
      </w:r>
      <w:r w:rsidR="00FB5B18">
        <w:t xml:space="preserve">also </w:t>
      </w:r>
      <w:r w:rsidRPr="008D7E86">
        <w:t xml:space="preserve">because the integrative, individual contextual, and practical characteristics of tacit knowledge </w:t>
      </w:r>
      <w:r w:rsidR="00FB5B18">
        <w:t xml:space="preserve">reject </w:t>
      </w:r>
      <w:r w:rsidRPr="008D7E86">
        <w:t xml:space="preserve">three </w:t>
      </w:r>
      <w:r w:rsidR="00FB5B18">
        <w:t xml:space="preserve">of the most essential </w:t>
      </w:r>
      <w:r w:rsidRPr="008D7E86">
        <w:t xml:space="preserve">criteria </w:t>
      </w:r>
      <w:r w:rsidR="00FB5B18">
        <w:t xml:space="preserve">of </w:t>
      </w:r>
      <w:r w:rsidRPr="008D7E86">
        <w:t>modern science: universality, logic</w:t>
      </w:r>
      <w:r w:rsidR="00D83630">
        <w:t>al consistency</w:t>
      </w:r>
      <w:r w:rsidRPr="008D7E86">
        <w:t>, and objectivity (</w:t>
      </w:r>
      <w:r w:rsidRPr="00EB6761">
        <w:t>Nakamura 1992</w:t>
      </w:r>
      <w:r w:rsidRPr="008D7E86">
        <w:t xml:space="preserve">). No matter how comprehensive and dense </w:t>
      </w:r>
      <w:r w:rsidR="00D83630">
        <w:t>a personal</w:t>
      </w:r>
      <w:r w:rsidRPr="008D7E86">
        <w:t xml:space="preserve"> experience may be, from the perspective of aggregation, each case based on unique experiences is at best a</w:t>
      </w:r>
      <w:r w:rsidR="00D83630">
        <w:t xml:space="preserve"> single</w:t>
      </w:r>
      <w:r w:rsidRPr="008D7E86">
        <w:t xml:space="preserve"> data point and at worst </w:t>
      </w:r>
      <w:r w:rsidR="007F56C6">
        <w:t>“</w:t>
      </w:r>
      <w:r w:rsidRPr="008D7E86">
        <w:t>noise</w:t>
      </w:r>
      <w:r w:rsidR="007F56C6">
        <w:t>”</w:t>
      </w:r>
      <w:r w:rsidRPr="008D7E86">
        <w:t xml:space="preserve"> that gets in the way of </w:t>
      </w:r>
      <w:r w:rsidR="00D83630">
        <w:t xml:space="preserve">estimating the </w:t>
      </w:r>
      <w:r w:rsidR="00E124C2">
        <w:t>experience</w:t>
      </w:r>
      <w:r w:rsidR="00E124C2">
        <w:rPr>
          <w:rFonts w:hint="eastAsia"/>
        </w:rPr>
        <w:t xml:space="preserve"> of the </w:t>
      </w:r>
      <w:r w:rsidR="00D83630">
        <w:t xml:space="preserve">whole </w:t>
      </w:r>
      <w:r w:rsidRPr="008D7E86">
        <w:t>population.</w:t>
      </w:r>
    </w:p>
    <w:p w14:paraId="4C2673AD" w14:textId="2A2B348F" w:rsidR="00D83630" w:rsidRDefault="00516B45" w:rsidP="00946123">
      <w:r w:rsidRPr="008D7E86">
        <w:lastRenderedPageBreak/>
        <w:t>On the other hand,</w:t>
      </w:r>
      <w:r w:rsidR="00D83630">
        <w:t xml:space="preserve"> we know that </w:t>
      </w:r>
      <w:r w:rsidRPr="008D7E86">
        <w:t>the knowledge of the people who live</w:t>
      </w:r>
      <w:r w:rsidR="00EA2527">
        <w:t xml:space="preserve"> </w:t>
      </w:r>
      <w:r w:rsidR="004D58BC">
        <w:t>onsite</w:t>
      </w:r>
      <w:r w:rsidRPr="008D7E86">
        <w:t xml:space="preserve"> is indispensable for the management of </w:t>
      </w:r>
      <w:r w:rsidR="00EA2527">
        <w:t xml:space="preserve">local </w:t>
      </w:r>
      <w:r w:rsidRPr="008D7E86">
        <w:t>resources such as forests, land, water, and fish. Considering that the natural environment is an object of practice and a place of experience, this raises question</w:t>
      </w:r>
      <w:r w:rsidR="001A4013">
        <w:t>s</w:t>
      </w:r>
      <w:r w:rsidRPr="008D7E86">
        <w:t xml:space="preserve"> </w:t>
      </w:r>
      <w:r w:rsidR="001A4013">
        <w:t xml:space="preserve">regarding the extent to which </w:t>
      </w:r>
      <w:r w:rsidRPr="008D7E86">
        <w:t xml:space="preserve">we can rely solely on science, which has developed by </w:t>
      </w:r>
      <w:r w:rsidR="00D83630">
        <w:t xml:space="preserve">downplaying individual </w:t>
      </w:r>
      <w:r w:rsidRPr="008D7E86">
        <w:t>context</w:t>
      </w:r>
      <w:r w:rsidR="00350487">
        <w:t>s</w:t>
      </w:r>
      <w:r w:rsidRPr="008D7E86">
        <w:t>. To answer this question, it is not enough to simply criticize science</w:t>
      </w:r>
      <w:r w:rsidR="001A4013">
        <w:t xml:space="preserve">. We must </w:t>
      </w:r>
      <w:r w:rsidRPr="008D7E86">
        <w:t xml:space="preserve">envision a different kind of knowledge that complements it. </w:t>
      </w:r>
      <w:r w:rsidR="00D83630">
        <w:t>A</w:t>
      </w:r>
      <w:r w:rsidRPr="008D7E86">
        <w:t xml:space="preserve">s the debate on climate change and geo-environmental science </w:t>
      </w:r>
      <w:r w:rsidR="001A4013">
        <w:t>escalates</w:t>
      </w:r>
      <w:r w:rsidRPr="008D7E86">
        <w:t xml:space="preserve">, disciplines that seek to capture </w:t>
      </w:r>
      <w:r w:rsidR="00323534">
        <w:t>local</w:t>
      </w:r>
      <w:r w:rsidRPr="008D7E86">
        <w:t xml:space="preserve"> specificity are </w:t>
      </w:r>
      <w:r w:rsidR="00D83630">
        <w:t>increasingly need</w:t>
      </w:r>
      <w:r w:rsidR="001A4013">
        <w:t>ed</w:t>
      </w:r>
      <w:r w:rsidR="00D83630">
        <w:t xml:space="preserve">. </w:t>
      </w:r>
    </w:p>
    <w:p w14:paraId="71385F4E" w14:textId="5AAF5399" w:rsidR="002C6459" w:rsidRDefault="002C6459" w:rsidP="00946123">
      <w:r>
        <w:t>In the Minamata case, an experiment</w:t>
      </w:r>
      <w:r w:rsidR="00350487">
        <w:t xml:space="preserve"> was conducted</w:t>
      </w:r>
      <w:r>
        <w:t xml:space="preserve"> </w:t>
      </w:r>
      <w:r w:rsidR="00C33E0C">
        <w:t xml:space="preserve">to see whether </w:t>
      </w:r>
      <w:r>
        <w:t xml:space="preserve">Minamata-like </w:t>
      </w:r>
      <w:r w:rsidR="00F951B6">
        <w:t>symptoms</w:t>
      </w:r>
      <w:r>
        <w:t xml:space="preserve"> would occur </w:t>
      </w:r>
      <w:r w:rsidR="00C33E0C">
        <w:t xml:space="preserve">in </w:t>
      </w:r>
      <w:r>
        <w:t>cat</w:t>
      </w:r>
      <w:r w:rsidR="00C33E0C">
        <w:t>s</w:t>
      </w:r>
      <w:r>
        <w:t xml:space="preserve"> injected with </w:t>
      </w:r>
      <w:r w:rsidR="00F951B6">
        <w:t>wastewater</w:t>
      </w:r>
      <w:r>
        <w:t xml:space="preserve"> from the factory. On July 21, 1959, </w:t>
      </w:r>
      <w:r w:rsidR="008D29A8">
        <w:t xml:space="preserve">a medical doctor of </w:t>
      </w:r>
      <w:proofErr w:type="spellStart"/>
      <w:r w:rsidR="008D29A8">
        <w:t>Chisso</w:t>
      </w:r>
      <w:proofErr w:type="spellEnd"/>
      <w:r w:rsidR="008D29A8">
        <w:t xml:space="preserve"> Hospital, Dr. Hosokawa Hajime, confirmed that “Cat No.</w:t>
      </w:r>
      <w:r w:rsidR="00C33E0C">
        <w:t xml:space="preserve"> </w:t>
      </w:r>
      <w:r w:rsidR="008D29A8">
        <w:t xml:space="preserve">400” </w:t>
      </w:r>
      <w:r w:rsidR="00C33E0C">
        <w:t xml:space="preserve">exhibited </w:t>
      </w:r>
      <w:r w:rsidR="008D29A8">
        <w:t xml:space="preserve">the </w:t>
      </w:r>
      <w:r w:rsidR="00C33E0C">
        <w:t xml:space="preserve">same </w:t>
      </w:r>
      <w:r w:rsidR="008D29A8">
        <w:t>symptom</w:t>
      </w:r>
      <w:r w:rsidR="00C33E0C">
        <w:t>s</w:t>
      </w:r>
      <w:r w:rsidR="008D29A8">
        <w:t xml:space="preserve">. However, Dr. Hosokawa, upon consultation with factory management, decided not to disclose this information on the </w:t>
      </w:r>
      <w:r w:rsidR="008D29A8">
        <w:rPr>
          <w:rFonts w:hint="eastAsia"/>
        </w:rPr>
        <w:t>b</w:t>
      </w:r>
      <w:r w:rsidR="008D29A8">
        <w:t>asis that it was “only one sample</w:t>
      </w:r>
      <w:r w:rsidR="00C33E0C">
        <w:t>,</w:t>
      </w:r>
      <w:r w:rsidR="008D29A8">
        <w:t xml:space="preserve">” </w:t>
      </w:r>
      <w:r w:rsidR="00C33E0C">
        <w:t xml:space="preserve">which is not </w:t>
      </w:r>
      <w:r w:rsidR="008D29A8">
        <w:t>enough to claim scientific validity</w:t>
      </w:r>
      <w:r w:rsidR="00D03E21" w:rsidRPr="00CB1DEF">
        <w:t xml:space="preserve"> (</w:t>
      </w:r>
      <w:r w:rsidR="00CB1DEF" w:rsidRPr="00EB6761">
        <w:t>Kobayashi 2021</w:t>
      </w:r>
      <w:r w:rsidR="00350487">
        <w:t>,</w:t>
      </w:r>
      <w:r w:rsidR="00CB1DEF" w:rsidRPr="00CB1DEF">
        <w:t xml:space="preserve"> 73</w:t>
      </w:r>
      <w:r w:rsidR="00D03E21" w:rsidRPr="00CB1DEF">
        <w:t>)</w:t>
      </w:r>
      <w:r w:rsidR="008D29A8" w:rsidRPr="00CB1DEF">
        <w:t>.</w:t>
      </w:r>
      <w:r w:rsidR="008D29A8">
        <w:t xml:space="preserve">  </w:t>
      </w:r>
    </w:p>
    <w:p w14:paraId="22E8E768" w14:textId="5D93B1FB" w:rsidR="002C6459" w:rsidRPr="00DC1E5A" w:rsidRDefault="00C33E0C" w:rsidP="00946123">
      <w:r>
        <w:t>Leaving a</w:t>
      </w:r>
      <w:r w:rsidR="00B34DD7">
        <w:t xml:space="preserve">side </w:t>
      </w:r>
      <w:r w:rsidR="00DC1E5A">
        <w:t xml:space="preserve">the </w:t>
      </w:r>
      <w:r w:rsidR="00B34DD7">
        <w:t xml:space="preserve">probable factor </w:t>
      </w:r>
      <w:r>
        <w:t xml:space="preserve">of </w:t>
      </w:r>
      <w:r w:rsidR="008C4026">
        <w:t>self-interest</w:t>
      </w:r>
      <w:r>
        <w:t xml:space="preserve"> among the </w:t>
      </w:r>
      <w:proofErr w:type="spellStart"/>
      <w:r>
        <w:t>Chisso</w:t>
      </w:r>
      <w:proofErr w:type="spellEnd"/>
      <w:r w:rsidR="00350487" w:rsidRPr="00350487">
        <w:t xml:space="preserve"> </w:t>
      </w:r>
      <w:r w:rsidR="00350487">
        <w:t>employees</w:t>
      </w:r>
      <w:r w:rsidR="00DC1E5A">
        <w:t xml:space="preserve">, </w:t>
      </w:r>
      <w:r>
        <w:t>it is important to acknowledge the deploy</w:t>
      </w:r>
      <w:r w:rsidR="00166E5C">
        <w:t xml:space="preserve">ment of science </w:t>
      </w:r>
      <w:r>
        <w:t xml:space="preserve">to </w:t>
      </w:r>
      <w:r w:rsidR="00DC1E5A">
        <w:t>justif</w:t>
      </w:r>
      <w:r>
        <w:t>y</w:t>
      </w:r>
      <w:r w:rsidR="00DC1E5A">
        <w:t xml:space="preserve"> </w:t>
      </w:r>
      <w:r>
        <w:t xml:space="preserve">the </w:t>
      </w:r>
      <w:r w:rsidR="00DC1E5A">
        <w:t>dismissal</w:t>
      </w:r>
      <w:r>
        <w:t xml:space="preserve"> of the information</w:t>
      </w:r>
      <w:r w:rsidR="00DC1E5A">
        <w:t xml:space="preserve">. </w:t>
      </w:r>
      <w:r>
        <w:t xml:space="preserve">Data </w:t>
      </w:r>
      <w:r w:rsidR="008C4026">
        <w:t>that</w:t>
      </w:r>
      <w:r>
        <w:t xml:space="preserve"> does not </w:t>
      </w:r>
      <w:r w:rsidR="00166E5C">
        <w:t xml:space="preserve">have a large enough sample size </w:t>
      </w:r>
      <w:r>
        <w:t xml:space="preserve">(the N-number) is a well-established scientific principle, but its application could justify discarding </w:t>
      </w:r>
      <w:r w:rsidR="00350487">
        <w:t xml:space="preserve">any </w:t>
      </w:r>
      <w:r>
        <w:t>result</w:t>
      </w:r>
      <w:r w:rsidR="00350487">
        <w:t>s</w:t>
      </w:r>
      <w:r>
        <w:t xml:space="preserve"> or</w:t>
      </w:r>
      <w:r w:rsidR="00350487">
        <w:t>—</w:t>
      </w:r>
      <w:r>
        <w:t>what should have happened but did</w:t>
      </w:r>
      <w:r w:rsidR="00350487">
        <w:t xml:space="preserve"> not—</w:t>
      </w:r>
      <w:r>
        <w:t xml:space="preserve">it could justify </w:t>
      </w:r>
      <w:r w:rsidR="00B73934">
        <w:t xml:space="preserve">postponing </w:t>
      </w:r>
      <w:r>
        <w:t xml:space="preserve">any </w:t>
      </w:r>
      <w:r w:rsidR="00B73934">
        <w:t>policy judgment until “enough</w:t>
      </w:r>
      <w:r>
        <w:t xml:space="preserve"> cases</w:t>
      </w:r>
      <w:r w:rsidR="00B73934">
        <w:t xml:space="preserve">” </w:t>
      </w:r>
      <w:r>
        <w:lastRenderedPageBreak/>
        <w:t xml:space="preserve">became </w:t>
      </w:r>
      <w:r w:rsidR="00B73934">
        <w:t>available (</w:t>
      </w:r>
      <w:r w:rsidR="00B73934" w:rsidRPr="00495F23">
        <w:t>Matsubara 2000</w:t>
      </w:r>
      <w:r w:rsidR="00350487">
        <w:t>,</w:t>
      </w:r>
      <w:r w:rsidR="00B73934">
        <w:t xml:space="preserve"> 191). The critical </w:t>
      </w:r>
      <w:r>
        <w:t>question is whether</w:t>
      </w:r>
      <w:r w:rsidR="008C4026">
        <w:t xml:space="preserve"> </w:t>
      </w:r>
      <w:r>
        <w:t xml:space="preserve">the </w:t>
      </w:r>
      <w:r w:rsidR="00D62595">
        <w:t xml:space="preserve">appropriate </w:t>
      </w:r>
      <w:r w:rsidR="00B73934">
        <w:t xml:space="preserve">incentive </w:t>
      </w:r>
      <w:r>
        <w:t xml:space="preserve">existed </w:t>
      </w:r>
      <w:r w:rsidR="00B73934">
        <w:t xml:space="preserve">to increase the sample </w:t>
      </w:r>
      <w:r>
        <w:t>size.</w:t>
      </w:r>
      <w:r w:rsidR="00B73934">
        <w:rPr>
          <w:rStyle w:val="FootnoteReference"/>
        </w:rPr>
        <w:footnoteReference w:id="7"/>
      </w:r>
    </w:p>
    <w:p w14:paraId="604DD4AE" w14:textId="77777777" w:rsidR="0032391B" w:rsidRDefault="00516B45" w:rsidP="00946123">
      <w:r w:rsidRPr="008D7E86">
        <w:t>The issue of tacit knowledge not only prompts reflection on the science</w:t>
      </w:r>
      <w:r w:rsidR="00323534">
        <w:t xml:space="preserve"> </w:t>
      </w:r>
      <w:r w:rsidRPr="008D7E86">
        <w:t xml:space="preserve">we have relied on as a way to </w:t>
      </w:r>
      <w:r w:rsidR="00323534">
        <w:t>understand</w:t>
      </w:r>
      <w:r w:rsidRPr="008D7E86">
        <w:t xml:space="preserve"> environmental issues but also leads us to </w:t>
      </w:r>
      <w:r w:rsidR="008C4026">
        <w:t>more advanced questions</w:t>
      </w:r>
      <w:r w:rsidR="00BD1AE3">
        <w:t xml:space="preserve"> on the structure of the state</w:t>
      </w:r>
      <w:r w:rsidRPr="008D7E86">
        <w:t xml:space="preserve">. Modern science was the intellectual foundation of the developmental state and has </w:t>
      </w:r>
      <w:r w:rsidR="00B166E7">
        <w:t xml:space="preserve">now </w:t>
      </w:r>
      <w:r w:rsidRPr="008D7E86">
        <w:t xml:space="preserve">been inherited as the foundation of the environmental state. If </w:t>
      </w:r>
      <w:r w:rsidR="006064F9">
        <w:t>“</w:t>
      </w:r>
      <w:r w:rsidRPr="008D7E86">
        <w:t>environmental problems have emerged as a result of the contradictions of modern science</w:t>
      </w:r>
      <w:r w:rsidR="006064F9">
        <w:t>”</w:t>
      </w:r>
      <w:r w:rsidRPr="008D7E86">
        <w:t xml:space="preserve"> (</w:t>
      </w:r>
      <w:r w:rsidRPr="00147B64">
        <w:t>Torigoe 1989</w:t>
      </w:r>
      <w:r w:rsidR="006064F9" w:rsidRPr="00147B64">
        <w:t>,</w:t>
      </w:r>
      <w:r w:rsidRPr="008D7E86">
        <w:t xml:space="preserve"> 18), </w:t>
      </w:r>
      <w:r w:rsidR="006064F9">
        <w:t xml:space="preserve">then </w:t>
      </w:r>
      <w:r w:rsidR="00BD1AE3" w:rsidRPr="00A532F8">
        <w:t xml:space="preserve">it is important to examine the </w:t>
      </w:r>
      <w:r w:rsidRPr="00A532F8">
        <w:t xml:space="preserve">process by which </w:t>
      </w:r>
      <w:r w:rsidR="00323534" w:rsidRPr="00A532F8">
        <w:t xml:space="preserve">scientific </w:t>
      </w:r>
      <w:r w:rsidRPr="00A532F8">
        <w:t xml:space="preserve">knowledge is privileged </w:t>
      </w:r>
      <w:r w:rsidR="006064F9">
        <w:t>with</w:t>
      </w:r>
      <w:r w:rsidRPr="00A532F8">
        <w:t>in the environmental state</w:t>
      </w:r>
      <w:r w:rsidRPr="008D7E86">
        <w:t xml:space="preserve">. </w:t>
      </w:r>
    </w:p>
    <w:p w14:paraId="6F0F5BEB" w14:textId="77777777" w:rsidR="0094548A" w:rsidRDefault="0094548A" w:rsidP="00946123"/>
    <w:p w14:paraId="249CA664" w14:textId="3855339A" w:rsidR="0032391B" w:rsidRDefault="00483A5E" w:rsidP="0094548A">
      <w:pPr>
        <w:pStyle w:val="Heading1"/>
      </w:pPr>
      <w:r>
        <w:rPr>
          <w:rFonts w:hint="eastAsia"/>
          <w:lang w:eastAsia="ja-JP"/>
        </w:rPr>
        <w:t>5.</w:t>
      </w:r>
      <w:r w:rsidR="0094548A">
        <w:rPr>
          <w:rFonts w:hint="eastAsia"/>
          <w:lang w:eastAsia="ja-JP"/>
        </w:rPr>
        <w:t>3</w:t>
      </w:r>
      <w:r w:rsidR="00B37EC4">
        <w:t xml:space="preserve"> </w:t>
      </w:r>
      <w:r w:rsidR="00516B45" w:rsidRPr="008D7E86">
        <w:t xml:space="preserve">The </w:t>
      </w:r>
      <w:r w:rsidR="00CB1DEF">
        <w:t xml:space="preserve">Politics of </w:t>
      </w:r>
      <w:r w:rsidR="00516B45" w:rsidRPr="008D7E86">
        <w:t>Knowledge</w:t>
      </w:r>
    </w:p>
    <w:p w14:paraId="00BB799D" w14:textId="77777777" w:rsidR="0032391B" w:rsidRDefault="00A532F8" w:rsidP="0094548A">
      <w:pPr>
        <w:pStyle w:val="Heading2"/>
      </w:pPr>
      <w:r>
        <w:t xml:space="preserve">The </w:t>
      </w:r>
      <w:r w:rsidR="00516B45" w:rsidRPr="008D7E86">
        <w:t xml:space="preserve">Privilege </w:t>
      </w:r>
      <w:r>
        <w:t xml:space="preserve">of </w:t>
      </w:r>
      <w:r w:rsidR="00CB1DEF">
        <w:t>Scientific Knowledge</w:t>
      </w:r>
    </w:p>
    <w:p w14:paraId="199611D3" w14:textId="33C752AD" w:rsidR="00516B45" w:rsidRPr="008D7E86" w:rsidRDefault="00C5255B" w:rsidP="00946123">
      <w:r>
        <w:t>Throughout h</w:t>
      </w:r>
      <w:r w:rsidR="00516B45" w:rsidRPr="008D7E86">
        <w:t>istor</w:t>
      </w:r>
      <w:r>
        <w:t>y</w:t>
      </w:r>
      <w:r w:rsidR="00516B45" w:rsidRPr="008D7E86">
        <w:t xml:space="preserve">, </w:t>
      </w:r>
      <w:r w:rsidR="004D58BC">
        <w:t xml:space="preserve">political judgments and </w:t>
      </w:r>
      <w:r w:rsidR="00516B45" w:rsidRPr="008D7E86">
        <w:t xml:space="preserve">governance in many countries </w:t>
      </w:r>
      <w:r w:rsidR="004D58BC">
        <w:t>have</w:t>
      </w:r>
      <w:r w:rsidR="00516B45" w:rsidRPr="008D7E86">
        <w:t xml:space="preserve"> </w:t>
      </w:r>
      <w:r>
        <w:t>relied</w:t>
      </w:r>
      <w:r w:rsidR="00516B45" w:rsidRPr="008D7E86">
        <w:t xml:space="preserve"> on </w:t>
      </w:r>
      <w:r w:rsidRPr="008D7E86">
        <w:t xml:space="preserve">highly personal </w:t>
      </w:r>
      <w:r w:rsidR="00516B45" w:rsidRPr="008D7E86">
        <w:t>tacit knowledge, such as the intuition and connections of a limited number of rulers</w:t>
      </w:r>
      <w:r w:rsidR="004D58BC">
        <w:t xml:space="preserve"> (Berlin 1996). T</w:t>
      </w:r>
      <w:r w:rsidR="00516B45" w:rsidRPr="008D7E86">
        <w:t xml:space="preserve">he process of democratization has </w:t>
      </w:r>
      <w:r w:rsidR="00A532F8">
        <w:t xml:space="preserve">sought to invite </w:t>
      </w:r>
      <w:r w:rsidR="00516B45" w:rsidRPr="008D7E86">
        <w:t xml:space="preserve">as many people as possible </w:t>
      </w:r>
      <w:r w:rsidR="00A532F8">
        <w:t xml:space="preserve">into </w:t>
      </w:r>
      <w:r w:rsidR="00516B45" w:rsidRPr="008D7E86">
        <w:t xml:space="preserve">decision-making. Conversely, </w:t>
      </w:r>
      <w:r w:rsidR="00A532F8">
        <w:t xml:space="preserve">the ruling class must have </w:t>
      </w:r>
      <w:r>
        <w:t xml:space="preserve">perceived </w:t>
      </w:r>
      <w:r w:rsidR="00516B45" w:rsidRPr="008D7E86">
        <w:t>the very diverse and difficult-to-grasp tacit knowledge among the governed as a threat to th</w:t>
      </w:r>
      <w:r w:rsidR="00A532F8">
        <w:t xml:space="preserve">eir </w:t>
      </w:r>
      <w:r w:rsidR="00516B45" w:rsidRPr="008D7E86">
        <w:t xml:space="preserve">power. </w:t>
      </w:r>
      <w:r w:rsidR="00A532F8">
        <w:t xml:space="preserve">Understanding the </w:t>
      </w:r>
      <w:r w:rsidR="00516B45" w:rsidRPr="008D7E86">
        <w:t>process</w:t>
      </w:r>
      <w:r w:rsidR="00A532F8">
        <w:t>es</w:t>
      </w:r>
      <w:r w:rsidR="00516B45" w:rsidRPr="008D7E86">
        <w:t xml:space="preserve"> </w:t>
      </w:r>
      <w:r w:rsidR="00A532F8">
        <w:t xml:space="preserve">that </w:t>
      </w:r>
      <w:r w:rsidR="00CB1DEF">
        <w:t>transform</w:t>
      </w:r>
      <w:r w:rsidR="004D58BC">
        <w:t xml:space="preserve"> </w:t>
      </w:r>
      <w:r w:rsidR="00516B45" w:rsidRPr="008D7E86">
        <w:t>experience</w:t>
      </w:r>
      <w:r w:rsidR="004648D6">
        <w:t xml:space="preserve"> into data</w:t>
      </w:r>
      <w:r w:rsidR="00516B45" w:rsidRPr="008D7E86">
        <w:t xml:space="preserve"> is an important strategy for </w:t>
      </w:r>
      <w:r w:rsidR="00516B45" w:rsidRPr="008D7E86">
        <w:lastRenderedPageBreak/>
        <w:t xml:space="preserve">preventing </w:t>
      </w:r>
      <w:r w:rsidR="007E7642">
        <w:t xml:space="preserve">the </w:t>
      </w:r>
      <w:r w:rsidR="004D58BC">
        <w:t xml:space="preserve">inversion </w:t>
      </w:r>
      <w:r w:rsidR="0083476F">
        <w:t xml:space="preserve">of </w:t>
      </w:r>
      <w:r w:rsidR="00516B45" w:rsidRPr="008D7E86">
        <w:t xml:space="preserve">environmental </w:t>
      </w:r>
      <w:r w:rsidR="004D58BC">
        <w:t>states that use scientific data as justification for their action</w:t>
      </w:r>
      <w:r w:rsidR="00B166E7">
        <w:t>.</w:t>
      </w:r>
      <w:r w:rsidR="00644672" w:rsidRPr="008D7E86">
        <w:rPr>
          <w:rStyle w:val="FootnoteReference"/>
        </w:rPr>
        <w:footnoteReference w:id="8"/>
      </w:r>
    </w:p>
    <w:p w14:paraId="0E12B99E" w14:textId="1793B47B" w:rsidR="00516B45" w:rsidRPr="008D7E86" w:rsidRDefault="00A532F8" w:rsidP="00946123">
      <w:r>
        <w:t xml:space="preserve">James C. </w:t>
      </w:r>
      <w:r w:rsidR="00516B45" w:rsidRPr="008D7E86">
        <w:t xml:space="preserve">Scott </w:t>
      </w:r>
      <w:r>
        <w:t xml:space="preserve">discussed the harm done by </w:t>
      </w:r>
      <w:r w:rsidR="007C444E">
        <w:t xml:space="preserve">viewing matters in the same way as </w:t>
      </w:r>
      <w:r w:rsidR="007E7642">
        <w:t>a state</w:t>
      </w:r>
      <w:r>
        <w:t xml:space="preserve">, </w:t>
      </w:r>
      <w:r w:rsidR="007C444E">
        <w:t xml:space="preserve">with the </w:t>
      </w:r>
      <w:r w:rsidR="00166E5C">
        <w:t>tend</w:t>
      </w:r>
      <w:r w:rsidR="007C444E">
        <w:t>ency</w:t>
      </w:r>
      <w:r w:rsidR="00166E5C">
        <w:t xml:space="preserve"> to </w:t>
      </w:r>
      <w:r w:rsidR="007E7642">
        <w:t xml:space="preserve">marginalize </w:t>
      </w:r>
      <w:r>
        <w:t xml:space="preserve">local knowledge </w:t>
      </w:r>
      <w:r w:rsidR="007E7642">
        <w:t>(Scott 1998)</w:t>
      </w:r>
      <w:r w:rsidR="00516B45" w:rsidRPr="008D7E86">
        <w:t xml:space="preserve">. Scott described the process of </w:t>
      </w:r>
      <w:r w:rsidR="007E7642">
        <w:t xml:space="preserve">shaping </w:t>
      </w:r>
      <w:r w:rsidR="00516B45" w:rsidRPr="008D7E86">
        <w:t xml:space="preserve">reality through </w:t>
      </w:r>
      <w:r w:rsidR="007E7642">
        <w:t xml:space="preserve">various </w:t>
      </w:r>
      <w:r w:rsidR="007E7642">
        <w:rPr>
          <w:rFonts w:hint="eastAsia"/>
        </w:rPr>
        <w:t>s</w:t>
      </w:r>
      <w:r w:rsidR="007E7642">
        <w:t xml:space="preserve">implification </w:t>
      </w:r>
      <w:r w:rsidR="00516B45" w:rsidRPr="008D7E86">
        <w:t>procedures</w:t>
      </w:r>
      <w:r w:rsidR="007E7642">
        <w:t xml:space="preserve"> allowing </w:t>
      </w:r>
      <w:r w:rsidR="00516B45" w:rsidRPr="008D7E86">
        <w:t xml:space="preserve">the central government </w:t>
      </w:r>
      <w:r>
        <w:t xml:space="preserve">to </w:t>
      </w:r>
      <w:r w:rsidR="00516B45" w:rsidRPr="008D7E86">
        <w:t xml:space="preserve">operate from a distance. Focusing on the process by which the idea of modernization explicitly and legibly transformed the objects of governance, Scott drew on such materials as the household registration system, language, weights and measures, and property rights to illustrate the process by which rural and urban spaces were </w:t>
      </w:r>
      <w:r w:rsidR="007E7642">
        <w:t>made subjects of state control</w:t>
      </w:r>
      <w:r w:rsidR="00516B45" w:rsidRPr="008D7E86">
        <w:t xml:space="preserve"> (Scott 1998). As it became possible to gather and manipulate information from across the country from the comfort of office</w:t>
      </w:r>
      <w:r w:rsidR="0061232D">
        <w:t>s</w:t>
      </w:r>
      <w:r w:rsidR="00516B45" w:rsidRPr="008D7E86">
        <w:t xml:space="preserve"> in the capital, local knowledge was reduced in status and overwritten by </w:t>
      </w:r>
      <w:r w:rsidR="002900C7">
        <w:t xml:space="preserve">legible </w:t>
      </w:r>
      <w:r w:rsidR="00516B45" w:rsidRPr="008D7E86">
        <w:t>uniformity</w:t>
      </w:r>
      <w:r w:rsidR="00036579">
        <w:t>.</w:t>
      </w:r>
      <w:r w:rsidR="00EE6926" w:rsidRPr="008D7E86">
        <w:rPr>
          <w:rStyle w:val="FootnoteReference"/>
        </w:rPr>
        <w:footnoteReference w:id="9"/>
      </w:r>
      <w:r w:rsidR="00516B45" w:rsidRPr="008D7E86">
        <w:t xml:space="preserve"> </w:t>
      </w:r>
      <w:r w:rsidR="0061232D">
        <w:t>In the Asian context,</w:t>
      </w:r>
      <w:r w:rsidR="00516B45" w:rsidRPr="008D7E86">
        <w:t xml:space="preserve"> slash-and-burn cultivation</w:t>
      </w:r>
      <w:r w:rsidR="0061232D">
        <w:t xml:space="preserve"> </w:t>
      </w:r>
      <w:r w:rsidR="00516B45" w:rsidRPr="008D7E86">
        <w:t xml:space="preserve">is extremely </w:t>
      </w:r>
      <w:r w:rsidR="007C444E">
        <w:t>“</w:t>
      </w:r>
      <w:r w:rsidR="002900C7">
        <w:t>illegible</w:t>
      </w:r>
      <w:r w:rsidR="007C444E">
        <w:t>”</w:t>
      </w:r>
      <w:r w:rsidR="00516B45" w:rsidRPr="008D7E86">
        <w:t xml:space="preserve"> from the perspective of </w:t>
      </w:r>
      <w:r w:rsidR="002900C7">
        <w:t>the government</w:t>
      </w:r>
      <w:r w:rsidR="00516B45" w:rsidRPr="008D7E86">
        <w:t xml:space="preserve">, </w:t>
      </w:r>
      <w:r w:rsidR="00CB1DEF">
        <w:t xml:space="preserve">which </w:t>
      </w:r>
      <w:r w:rsidR="0061232D">
        <w:t xml:space="preserve">often results in </w:t>
      </w:r>
      <w:r w:rsidR="00CB1DEF">
        <w:t xml:space="preserve">its </w:t>
      </w:r>
      <w:r w:rsidR="0061232D" w:rsidRPr="008D7E86">
        <w:t>prohibition</w:t>
      </w:r>
      <w:r w:rsidR="00CB1DEF">
        <w:t xml:space="preserve"> in the legal system</w:t>
      </w:r>
      <w:r w:rsidR="00516B45" w:rsidRPr="008D7E86">
        <w:t>.</w:t>
      </w:r>
    </w:p>
    <w:p w14:paraId="3B2F76D8" w14:textId="5AF1AD07" w:rsidR="00516B45" w:rsidRPr="008D7E86" w:rsidRDefault="00516B45" w:rsidP="00946123">
      <w:r w:rsidRPr="008D7E86">
        <w:t xml:space="preserve">The current and projected status of vegetation and yields according to the land are aggregated into a stylized table, and the </w:t>
      </w:r>
      <w:r w:rsidR="007C444E">
        <w:t>“</w:t>
      </w:r>
      <w:r w:rsidRPr="008D7E86">
        <w:t>success</w:t>
      </w:r>
      <w:r w:rsidR="007C444E">
        <w:t>”</w:t>
      </w:r>
      <w:r w:rsidRPr="008D7E86">
        <w:t xml:space="preserve"> of governance </w:t>
      </w:r>
      <w:r w:rsidR="0061232D">
        <w:t xml:space="preserve">becomes </w:t>
      </w:r>
      <w:r w:rsidRPr="008D7E86">
        <w:t xml:space="preserve">measurable in terms of differences in expected yields. Through these representations, the </w:t>
      </w:r>
      <w:r w:rsidR="007C444E">
        <w:t>“</w:t>
      </w:r>
      <w:r w:rsidRPr="008D7E86">
        <w:t>forest</w:t>
      </w:r>
      <w:r w:rsidR="007C444E">
        <w:t>”</w:t>
      </w:r>
      <w:r w:rsidRPr="008D7E86">
        <w:t xml:space="preserve"> becomes a reality in the minds of the rulers for the first time. The quantification of forests as converging </w:t>
      </w:r>
      <w:r w:rsidRPr="008D7E86">
        <w:lastRenderedPageBreak/>
        <w:t>yields and revenues was useful in explicitly targeting barriers to governance</w:t>
      </w:r>
      <w:r w:rsidR="007C444E">
        <w:t>,</w:t>
      </w:r>
      <w:r w:rsidRPr="008D7E86">
        <w:t xml:space="preserve"> such as fire, pests, and grazing by local people (Agrawal 2005</w:t>
      </w:r>
      <w:r w:rsidR="00BF7212">
        <w:t>,</w:t>
      </w:r>
      <w:r w:rsidRPr="008D7E86">
        <w:t xml:space="preserve"> 59)</w:t>
      </w:r>
      <w:r w:rsidR="0061232D">
        <w:t xml:space="preserve">, but </w:t>
      </w:r>
      <w:r w:rsidR="00BF7212">
        <w:t xml:space="preserve">it </w:t>
      </w:r>
      <w:r w:rsidR="0061232D">
        <w:t xml:space="preserve">also permanently rendered the forests objects of government manipulation. </w:t>
      </w:r>
      <w:r w:rsidR="007C444E">
        <w:t>In other words, i</w:t>
      </w:r>
      <w:r w:rsidR="0061232D">
        <w:t>t made them governable</w:t>
      </w:r>
      <w:r w:rsidRPr="008D7E86">
        <w:t>.</w:t>
      </w:r>
    </w:p>
    <w:p w14:paraId="4C939851" w14:textId="0487D723" w:rsidR="00516B45" w:rsidRPr="008D7E86" w:rsidRDefault="00516B45" w:rsidP="00946123">
      <w:r w:rsidRPr="008D7E86">
        <w:t xml:space="preserve">The new </w:t>
      </w:r>
      <w:r w:rsidR="0061232D">
        <w:t xml:space="preserve">governability </w:t>
      </w:r>
      <w:r w:rsidRPr="008D7E86">
        <w:t xml:space="preserve">of </w:t>
      </w:r>
      <w:r w:rsidR="0061232D">
        <w:t xml:space="preserve">forests and other </w:t>
      </w:r>
      <w:r w:rsidRPr="008D7E86">
        <w:t xml:space="preserve">resources entailed a twofold </w:t>
      </w:r>
      <w:r w:rsidR="00C76CBF">
        <w:t>rep</w:t>
      </w:r>
      <w:r w:rsidRPr="008D7E86">
        <w:t>lacement. First, the traditional view of forests was replaced by a statistical one</w:t>
      </w:r>
      <w:r w:rsidR="0061232D">
        <w:t>;</w:t>
      </w:r>
      <w:r w:rsidRPr="008D7E86">
        <w:t xml:space="preserve"> and second, the concept of subsistence </w:t>
      </w:r>
      <w:r w:rsidR="0061232D">
        <w:t>cultivation of the land</w:t>
      </w:r>
      <w:r w:rsidR="0061232D" w:rsidRPr="008D7E86">
        <w:t xml:space="preserve"> </w:t>
      </w:r>
      <w:r w:rsidRPr="008D7E86">
        <w:t xml:space="preserve">and the like, which had no commercial value, was seriously </w:t>
      </w:r>
      <w:r w:rsidR="0061232D">
        <w:t xml:space="preserve">devalued </w:t>
      </w:r>
      <w:r w:rsidRPr="008D7E86">
        <w:t xml:space="preserve">and replaced by commodity-oriented </w:t>
      </w:r>
      <w:r w:rsidR="0061232D">
        <w:t>activities and lifestyles</w:t>
      </w:r>
      <w:r w:rsidR="0061232D" w:rsidRPr="008D7E86">
        <w:t xml:space="preserve"> </w:t>
      </w:r>
      <w:r w:rsidRPr="008D7E86">
        <w:t>(Agrawal 2005</w:t>
      </w:r>
      <w:r w:rsidR="007C444E">
        <w:t>,</w:t>
      </w:r>
      <w:r w:rsidRPr="008D7E86">
        <w:t xml:space="preserve"> 34). </w:t>
      </w:r>
      <w:r w:rsidR="0061232D">
        <w:t>T</w:t>
      </w:r>
      <w:r w:rsidRPr="008D7E86">
        <w:t>he new technology of statistics</w:t>
      </w:r>
      <w:r w:rsidR="0061232D">
        <w:t xml:space="preserve"> re</w:t>
      </w:r>
      <w:r w:rsidR="00C76CBF">
        <w:t>de</w:t>
      </w:r>
      <w:r w:rsidR="0061232D">
        <w:t xml:space="preserve">fined </w:t>
      </w:r>
      <w:r w:rsidRPr="008D7E86">
        <w:t xml:space="preserve">forests. From a </w:t>
      </w:r>
      <w:r w:rsidR="0061232D">
        <w:t xml:space="preserve">broader </w:t>
      </w:r>
      <w:r w:rsidRPr="008D7E86">
        <w:t>perspective, th</w:t>
      </w:r>
      <w:r w:rsidR="0061232D">
        <w:t>is</w:t>
      </w:r>
      <w:r w:rsidRPr="008D7E86">
        <w:t xml:space="preserve"> rationalization was also a process of removing one of the </w:t>
      </w:r>
      <w:r w:rsidR="00C76CBF">
        <w:t>elements</w:t>
      </w:r>
      <w:r w:rsidRPr="008D7E86">
        <w:t xml:space="preserve"> of tacit knowledge: individuality. </w:t>
      </w:r>
    </w:p>
    <w:p w14:paraId="347260CB" w14:textId="77777777" w:rsidR="0032391B" w:rsidRDefault="00166E5C" w:rsidP="00946123">
      <w:r>
        <w:t>T</w:t>
      </w:r>
      <w:r w:rsidR="00516B45" w:rsidRPr="008D7E86">
        <w:t xml:space="preserve">he neglect of tacit knowledge can be mitigated by efforts to formalize tacit knowledge. However, </w:t>
      </w:r>
      <w:r w:rsidR="002900C7">
        <w:t>we shou</w:t>
      </w:r>
      <w:r w:rsidR="00516B45" w:rsidRPr="008D7E86">
        <w:t xml:space="preserve">ld not </w:t>
      </w:r>
      <w:r w:rsidR="002900C7">
        <w:t>o</w:t>
      </w:r>
      <w:r w:rsidR="00516B45" w:rsidRPr="008D7E86">
        <w:t>verlook</w:t>
      </w:r>
      <w:r w:rsidR="002900C7">
        <w:t xml:space="preserve"> the possibility </w:t>
      </w:r>
      <w:r w:rsidR="00516B45" w:rsidRPr="008D7E86">
        <w:t xml:space="preserve">that those who do not want their tacit knowledge to be </w:t>
      </w:r>
      <w:r w:rsidR="002900C7">
        <w:t>legible may resist.</w:t>
      </w:r>
      <w:r w:rsidR="00516B45" w:rsidRPr="008D7E86">
        <w:t xml:space="preserve"> The history of governance is </w:t>
      </w:r>
      <w:r w:rsidR="00FB1040">
        <w:t>the</w:t>
      </w:r>
      <w:r w:rsidR="00FB1040" w:rsidRPr="008D7E86">
        <w:t xml:space="preserve"> </w:t>
      </w:r>
      <w:r w:rsidR="00516B45" w:rsidRPr="008D7E86">
        <w:t xml:space="preserve">history of deception between rulers and </w:t>
      </w:r>
      <w:r w:rsidR="005A1442">
        <w:t xml:space="preserve">the </w:t>
      </w:r>
      <w:r w:rsidR="00516B45" w:rsidRPr="008D7E86">
        <w:t>ruled (</w:t>
      </w:r>
      <w:r w:rsidR="00516B45" w:rsidRPr="00EB6761">
        <w:t>Sato 2016</w:t>
      </w:r>
      <w:r w:rsidR="00516B45" w:rsidRPr="008D7E86">
        <w:t xml:space="preserve">). </w:t>
      </w:r>
      <w:r w:rsidR="00FD383D">
        <w:t>S</w:t>
      </w:r>
      <w:r w:rsidR="00516B45" w:rsidRPr="008D7E86">
        <w:t xml:space="preserve">cott describes how people living in the mountains away from the centers of civilization in the Southeast Asian region were not </w:t>
      </w:r>
      <w:r w:rsidR="003247D4">
        <w:t xml:space="preserve">relics </w:t>
      </w:r>
      <w:r w:rsidR="002900C7">
        <w:t>of barbaric natives</w:t>
      </w:r>
      <w:r w:rsidR="003247D4">
        <w:t xml:space="preserve"> but rather those who chose to live in a </w:t>
      </w:r>
      <w:r w:rsidR="003247D4" w:rsidRPr="002900C7">
        <w:rPr>
          <w:i/>
          <w:iCs/>
        </w:rPr>
        <w:t>post</w:t>
      </w:r>
      <w:r w:rsidR="003247D4">
        <w:t>-civilization world</w:t>
      </w:r>
      <w:r w:rsidR="00516B45" w:rsidRPr="008D7E86">
        <w:t xml:space="preserve"> (Scott 20</w:t>
      </w:r>
      <w:r w:rsidR="00FD383D">
        <w:t>09</w:t>
      </w:r>
      <w:r w:rsidR="00516B45" w:rsidRPr="008D7E86">
        <w:t xml:space="preserve">). </w:t>
      </w:r>
      <w:r w:rsidR="00C52CC3">
        <w:t xml:space="preserve">Along with physical distances, mountain people have </w:t>
      </w:r>
      <w:r w:rsidR="00D80618">
        <w:t>discarded</w:t>
      </w:r>
      <w:r w:rsidR="00C52CC3">
        <w:t xml:space="preserve"> their writing, the very foundation of formal knowledge in our civilization. If writing and record keeping </w:t>
      </w:r>
      <w:r w:rsidR="00833241">
        <w:t xml:space="preserve">were </w:t>
      </w:r>
      <w:r w:rsidR="00C52CC3">
        <w:t>central to state control</w:t>
      </w:r>
      <w:r w:rsidR="00833241">
        <w:t xml:space="preserve">—in the form of </w:t>
      </w:r>
      <w:r w:rsidR="00C52CC3">
        <w:t>conscription and taxation</w:t>
      </w:r>
      <w:r w:rsidR="00833241">
        <w:t>—</w:t>
      </w:r>
      <w:r w:rsidR="00C52CC3">
        <w:t xml:space="preserve"> </w:t>
      </w:r>
      <w:r w:rsidR="00266ACA">
        <w:t xml:space="preserve">abandoning such </w:t>
      </w:r>
      <w:r w:rsidR="00833241">
        <w:t xml:space="preserve">a </w:t>
      </w:r>
      <w:r w:rsidR="00266ACA">
        <w:t>system could be seen as a</w:t>
      </w:r>
      <w:r w:rsidR="00C52CC3">
        <w:t xml:space="preserve"> means to</w:t>
      </w:r>
      <w:r w:rsidR="00516B45" w:rsidRPr="008D7E86">
        <w:t xml:space="preserve"> resis</w:t>
      </w:r>
      <w:r w:rsidR="00266ACA">
        <w:t>t</w:t>
      </w:r>
      <w:r w:rsidR="00516B45" w:rsidRPr="008D7E86">
        <w:t xml:space="preserve"> </w:t>
      </w:r>
      <w:r w:rsidR="00C76CBF">
        <w:t>state power</w:t>
      </w:r>
      <w:r w:rsidR="00DB1120">
        <w:t>.</w:t>
      </w:r>
      <w:r w:rsidR="003E568B" w:rsidRPr="008D7E86">
        <w:rPr>
          <w:rStyle w:val="FootnoteReference"/>
        </w:rPr>
        <w:footnoteReference w:id="10"/>
      </w:r>
    </w:p>
    <w:p w14:paraId="2E23CBE5" w14:textId="77777777" w:rsidR="0094548A" w:rsidRDefault="0094548A" w:rsidP="00946123"/>
    <w:p w14:paraId="4F96DE05" w14:textId="77777777" w:rsidR="0032391B" w:rsidRDefault="00516B45" w:rsidP="0094548A">
      <w:pPr>
        <w:pStyle w:val="Heading2"/>
      </w:pPr>
      <w:r w:rsidRPr="008D7E86">
        <w:t xml:space="preserve">The </w:t>
      </w:r>
      <w:r w:rsidR="00833241">
        <w:t>“</w:t>
      </w:r>
      <w:r w:rsidRPr="008D7E86">
        <w:t>Technological Advantage</w:t>
      </w:r>
      <w:r w:rsidR="00833241">
        <w:t>”</w:t>
      </w:r>
      <w:r w:rsidRPr="008D7E86">
        <w:t xml:space="preserve"> that Neutralizes Experience</w:t>
      </w:r>
    </w:p>
    <w:p w14:paraId="24F91EA0" w14:textId="2168E145" w:rsidR="00516B45" w:rsidRPr="008D7E86" w:rsidRDefault="00516B45" w:rsidP="00946123">
      <w:r w:rsidRPr="008D7E86">
        <w:t>As noted above, centralized government favors the transformation of govern</w:t>
      </w:r>
      <w:r w:rsidR="009A51D1">
        <w:t>ed</w:t>
      </w:r>
      <w:r w:rsidRPr="008D7E86">
        <w:t xml:space="preserve"> </w:t>
      </w:r>
      <w:r w:rsidR="009A51D1">
        <w:t xml:space="preserve">“resources” </w:t>
      </w:r>
      <w:r w:rsidRPr="008D7E86">
        <w:t>into a standardized and manipulable object.</w:t>
      </w:r>
      <w:r w:rsidR="00015FF1">
        <w:t xml:space="preserve"> </w:t>
      </w:r>
      <w:r w:rsidR="009A51D1">
        <w:t xml:space="preserve">This </w:t>
      </w:r>
      <w:r w:rsidRPr="008D7E86">
        <w:t xml:space="preserve">transformation </w:t>
      </w:r>
      <w:r w:rsidR="00833241">
        <w:t>is</w:t>
      </w:r>
      <w:r w:rsidR="00E00BF1">
        <w:t xml:space="preserve"> </w:t>
      </w:r>
      <w:r w:rsidR="009A51D1">
        <w:t>spurred on by</w:t>
      </w:r>
      <w:r w:rsidR="00E00BF1">
        <w:t xml:space="preserve"> the</w:t>
      </w:r>
      <w:r w:rsidR="009A51D1">
        <w:t xml:space="preserve"> increasingly </w:t>
      </w:r>
      <w:r w:rsidR="009A51D1" w:rsidRPr="00833241">
        <w:t xml:space="preserve">dogmatic principles </w:t>
      </w:r>
      <w:r w:rsidRPr="00833241">
        <w:t xml:space="preserve">of efficiency. Efficiency in economics </w:t>
      </w:r>
      <w:r w:rsidR="009A51D1" w:rsidRPr="00833241">
        <w:t xml:space="preserve">aims toward </w:t>
      </w:r>
      <w:r w:rsidRPr="00833241">
        <w:t xml:space="preserve">a concept known as </w:t>
      </w:r>
      <w:r w:rsidR="00833241" w:rsidRPr="00833241">
        <w:t>“</w:t>
      </w:r>
      <w:r w:rsidRPr="00833241">
        <w:t xml:space="preserve">Pareto </w:t>
      </w:r>
      <w:r w:rsidR="00EB6E49" w:rsidRPr="00833241">
        <w:t>efficiency</w:t>
      </w:r>
      <w:r w:rsidR="00833241">
        <w:t>,</w:t>
      </w:r>
      <w:r w:rsidR="00833241" w:rsidRPr="00833241">
        <w:t>”</w:t>
      </w:r>
      <w:r w:rsidR="008F04D1" w:rsidRPr="00833241">
        <w:t xml:space="preserve"> where </w:t>
      </w:r>
      <w:r w:rsidR="00CF61DB" w:rsidRPr="0036292B">
        <w:rPr>
          <w:color w:val="202122"/>
          <w:shd w:val="clear" w:color="auto" w:fill="FFFFFF"/>
        </w:rPr>
        <w:t xml:space="preserve">no </w:t>
      </w:r>
      <w:r w:rsidR="009A51D1" w:rsidRPr="0036292B">
        <w:rPr>
          <w:color w:val="202122"/>
          <w:shd w:val="clear" w:color="auto" w:fill="FFFFFF"/>
        </w:rPr>
        <w:t xml:space="preserve">change to the allocation of any resource can </w:t>
      </w:r>
      <w:r w:rsidR="00015FF1" w:rsidRPr="0036292B">
        <w:rPr>
          <w:color w:val="202122"/>
          <w:shd w:val="clear" w:color="auto" w:fill="FFFFFF"/>
        </w:rPr>
        <w:t>make</w:t>
      </w:r>
      <w:r w:rsidR="00CF61DB" w:rsidRPr="0036292B">
        <w:rPr>
          <w:color w:val="202122"/>
          <w:shd w:val="clear" w:color="auto" w:fill="FFFFFF"/>
        </w:rPr>
        <w:t xml:space="preserve"> </w:t>
      </w:r>
      <w:r w:rsidR="009A51D1" w:rsidRPr="0036292B">
        <w:rPr>
          <w:color w:val="202122"/>
          <w:shd w:val="clear" w:color="auto" w:fill="FFFFFF"/>
        </w:rPr>
        <w:t xml:space="preserve">any </w:t>
      </w:r>
      <w:r w:rsidR="00CF61DB" w:rsidRPr="0036292B">
        <w:rPr>
          <w:color w:val="202122"/>
          <w:shd w:val="clear" w:color="auto" w:fill="FFFFFF"/>
        </w:rPr>
        <w:t>individual better off without making another worse off</w:t>
      </w:r>
      <w:r w:rsidR="00833241">
        <w:t>—i</w:t>
      </w:r>
      <w:r w:rsidRPr="00833241">
        <w:t xml:space="preserve">n short, </w:t>
      </w:r>
      <w:r w:rsidR="009A51D1" w:rsidRPr="00833241">
        <w:t xml:space="preserve">when </w:t>
      </w:r>
      <w:r w:rsidRPr="00833241">
        <w:t>there is no waste in resource allocation</w:t>
      </w:r>
      <w:r w:rsidRPr="008D7E86">
        <w:t xml:space="preserve">. The strength of the efficiency logic is that </w:t>
      </w:r>
      <w:r w:rsidR="00833241">
        <w:t>“</w:t>
      </w:r>
      <w:r w:rsidRPr="008D7E86">
        <w:t>everyone benefits</w:t>
      </w:r>
      <w:r w:rsidR="00833241">
        <w:t>”</w:t>
      </w:r>
      <w:r w:rsidRPr="008D7E86">
        <w:t xml:space="preserve"> and distracts us from political disputes over distribution. Even if unfair distribution arouses discontent, it can be </w:t>
      </w:r>
      <w:r w:rsidR="009A51D1">
        <w:t xml:space="preserve">argued </w:t>
      </w:r>
      <w:r w:rsidRPr="008D7E86">
        <w:t xml:space="preserve">that </w:t>
      </w:r>
      <w:r w:rsidR="009A51D1">
        <w:t xml:space="preserve">the reduction of waste can make way for a later </w:t>
      </w:r>
      <w:r w:rsidRPr="008D7E86">
        <w:t xml:space="preserve">redistribution </w:t>
      </w:r>
      <w:r w:rsidR="009A51D1">
        <w:t>that</w:t>
      </w:r>
      <w:r w:rsidRPr="008D7E86">
        <w:t xml:space="preserve"> will </w:t>
      </w:r>
      <w:r w:rsidR="009A51D1">
        <w:t xml:space="preserve">produce the most </w:t>
      </w:r>
      <w:r w:rsidR="000051BA">
        <w:t>aggregate</w:t>
      </w:r>
      <w:r w:rsidR="009A51D1">
        <w:t xml:space="preserve"> </w:t>
      </w:r>
      <w:r w:rsidRPr="008D7E86">
        <w:t>satisf</w:t>
      </w:r>
      <w:r w:rsidR="009A51D1">
        <w:t>action</w:t>
      </w:r>
      <w:r w:rsidRPr="008D7E86">
        <w:t>.</w:t>
      </w:r>
    </w:p>
    <w:p w14:paraId="653C4478" w14:textId="21BD4D63" w:rsidR="00516B45" w:rsidRPr="008D7E86" w:rsidRDefault="008F04D1" w:rsidP="00946123">
      <w:r>
        <w:t>The logic of e</w:t>
      </w:r>
      <w:r w:rsidR="00516B45" w:rsidRPr="008D7E86">
        <w:t xml:space="preserve">fficiency </w:t>
      </w:r>
      <w:r w:rsidR="00CE04B2">
        <w:t xml:space="preserve">has </w:t>
      </w:r>
      <w:r w:rsidR="00CF61DB">
        <w:t xml:space="preserve">a </w:t>
      </w:r>
      <w:r w:rsidR="00CE04B2">
        <w:t>strong</w:t>
      </w:r>
      <w:r w:rsidR="00516B45" w:rsidRPr="008D7E86">
        <w:t xml:space="preserve"> affinity with </w:t>
      </w:r>
      <w:r w:rsidR="00CF61DB">
        <w:t xml:space="preserve">scientific </w:t>
      </w:r>
      <w:r w:rsidR="00516B45" w:rsidRPr="008D7E86">
        <w:t xml:space="preserve">knowledge, which is oriented toward universality. Hence, the logic of efficiency relegates the process of individual </w:t>
      </w:r>
      <w:r w:rsidR="00EB6E49">
        <w:t xml:space="preserve">struggle </w:t>
      </w:r>
      <w:r w:rsidR="00516B45" w:rsidRPr="008D7E86">
        <w:t>to the background</w:t>
      </w:r>
      <w:r w:rsidR="009A51D1">
        <w:t xml:space="preserve"> </w:t>
      </w:r>
      <w:r w:rsidR="007703E8">
        <w:t>in</w:t>
      </w:r>
      <w:r w:rsidR="00833241">
        <w:t xml:space="preserve"> the process </w:t>
      </w:r>
      <w:r w:rsidR="009A51D1">
        <w:t>of reducing waste</w:t>
      </w:r>
      <w:r w:rsidR="00516B45" w:rsidRPr="008D7E86">
        <w:t xml:space="preserve">. This absolute legitimacy of the principle of efficiency has the effect of shutting off the search for </w:t>
      </w:r>
      <w:r w:rsidR="00EB6E49">
        <w:t xml:space="preserve">individual </w:t>
      </w:r>
      <w:r w:rsidR="00516B45" w:rsidRPr="008D7E86">
        <w:t>experience as the basis of choice (Torigoe 1989)</w:t>
      </w:r>
      <w:r w:rsidR="009A51D1">
        <w:t>,</w:t>
      </w:r>
      <w:r w:rsidR="00516B45" w:rsidRPr="008D7E86">
        <w:t xml:space="preserve"> </w:t>
      </w:r>
      <w:r w:rsidR="00EB6E49">
        <w:t xml:space="preserve">also </w:t>
      </w:r>
      <w:r w:rsidR="009A51D1">
        <w:t xml:space="preserve">foreclosing discussion on </w:t>
      </w:r>
      <w:r w:rsidR="00EB6E49">
        <w:t>how costs and benefits could be allocated differently</w:t>
      </w:r>
      <w:r w:rsidR="00516B45" w:rsidRPr="008D7E86">
        <w:t xml:space="preserve">. Efficiency avoids the issue of value </w:t>
      </w:r>
      <w:r w:rsidR="00EB6E49">
        <w:t xml:space="preserve">judgment </w:t>
      </w:r>
      <w:r w:rsidR="00516B45" w:rsidRPr="008D7E86">
        <w:t xml:space="preserve">by distracting </w:t>
      </w:r>
      <w:r w:rsidR="00EB6E49">
        <w:t xml:space="preserve">us </w:t>
      </w:r>
      <w:r w:rsidR="00516B45" w:rsidRPr="008D7E86">
        <w:t>from context</w:t>
      </w:r>
      <w:r w:rsidR="00EB6E49">
        <w:t>,</w:t>
      </w:r>
      <w:r w:rsidR="00516B45" w:rsidRPr="008D7E86">
        <w:t xml:space="preserve"> making us obsessed with the means </w:t>
      </w:r>
      <w:r w:rsidR="00EB6E49">
        <w:t xml:space="preserve">to achieve </w:t>
      </w:r>
      <w:r w:rsidR="007703E8">
        <w:t>maximum benefit for</w:t>
      </w:r>
      <w:r w:rsidR="007703E8" w:rsidRPr="008D7E86">
        <w:t xml:space="preserve"> </w:t>
      </w:r>
      <w:r w:rsidR="00516B45" w:rsidRPr="008D7E86">
        <w:t xml:space="preserve">the </w:t>
      </w:r>
      <w:r w:rsidR="009A51D1">
        <w:t>least effort</w:t>
      </w:r>
      <w:r w:rsidR="00516B45" w:rsidRPr="008D7E86">
        <w:t>.</w:t>
      </w:r>
    </w:p>
    <w:p w14:paraId="1F35A329" w14:textId="77777777" w:rsidR="0032391B" w:rsidRDefault="00B6642F" w:rsidP="00946123">
      <w:r>
        <w:t>The strict</w:t>
      </w:r>
      <w:r w:rsidR="009A51D1">
        <w:t xml:space="preserve"> application of the principle of </w:t>
      </w:r>
      <w:r w:rsidR="00516B45" w:rsidRPr="008D7E86">
        <w:t>efficiency</w:t>
      </w:r>
      <w:r w:rsidR="009A51D1">
        <w:t xml:space="preserve"> tends to favor</w:t>
      </w:r>
      <w:r w:rsidR="00516B45" w:rsidRPr="008D7E86">
        <w:t xml:space="preserve"> ecological modernization</w:t>
      </w:r>
      <w:r w:rsidR="00C537CC">
        <w:t xml:space="preserve"> through the search for better technology</w:t>
      </w:r>
      <w:r w:rsidR="00516B45" w:rsidRPr="008D7E86">
        <w:t xml:space="preserve">. Ecological modernization is based on the idea that </w:t>
      </w:r>
      <w:r w:rsidR="00516B45" w:rsidRPr="008D7E86">
        <w:lastRenderedPageBreak/>
        <w:t>modernization and technological progress can overcome various environmental problems (</w:t>
      </w:r>
      <w:r w:rsidR="00516B45" w:rsidRPr="002E6D21">
        <w:t>Korhonen 2008</w:t>
      </w:r>
      <w:r w:rsidR="00516B45" w:rsidRPr="008D7E86">
        <w:t xml:space="preserve">). </w:t>
      </w:r>
      <w:r w:rsidR="00167802">
        <w:t xml:space="preserve">This modernization </w:t>
      </w:r>
      <w:r w:rsidR="00C537CC">
        <w:t xml:space="preserve">is not craft </w:t>
      </w:r>
      <w:r w:rsidR="00167802">
        <w:t xml:space="preserve">or </w:t>
      </w:r>
      <w:r w:rsidR="00C537CC">
        <w:t>art</w:t>
      </w:r>
      <w:r w:rsidR="00167802">
        <w:t xml:space="preserve"> in the sense </w:t>
      </w:r>
      <w:r w:rsidR="007703E8">
        <w:t>Aristotle intended or used</w:t>
      </w:r>
      <w:r w:rsidR="00C537CC">
        <w:t xml:space="preserve">. </w:t>
      </w:r>
      <w:r w:rsidR="00167802">
        <w:t xml:space="preserve">And it is even further from phronesis, virtually forgetting </w:t>
      </w:r>
      <w:r w:rsidR="00167802" w:rsidRPr="008D7E86">
        <w:t xml:space="preserve">the purpose of the intervention in the first place. </w:t>
      </w:r>
      <w:r w:rsidR="00167802">
        <w:t>T</w:t>
      </w:r>
      <w:r w:rsidR="00C537CC">
        <w:t xml:space="preserve">echnology </w:t>
      </w:r>
      <w:r w:rsidR="00167802">
        <w:t xml:space="preserve">is applied </w:t>
      </w:r>
      <w:r w:rsidR="007703E8">
        <w:t xml:space="preserve">purely </w:t>
      </w:r>
      <w:r w:rsidR="00167802">
        <w:t xml:space="preserve">for scientific </w:t>
      </w:r>
      <w:r w:rsidR="007703E8">
        <w:t>“</w:t>
      </w:r>
      <w:r w:rsidR="00516B45" w:rsidRPr="008D7E86">
        <w:t>efficiency</w:t>
      </w:r>
      <w:r w:rsidR="007703E8">
        <w:t>”—</w:t>
      </w:r>
      <w:r w:rsidR="00C537CC">
        <w:t>making the largest pie with the least waste.</w:t>
      </w:r>
      <w:r w:rsidR="00516B45" w:rsidRPr="008D7E86">
        <w:t xml:space="preserve"> </w:t>
      </w:r>
      <w:r w:rsidR="00C537CC">
        <w:t xml:space="preserve">As </w:t>
      </w:r>
      <w:r w:rsidR="00516B45" w:rsidRPr="008D7E86">
        <w:t>Winner</w:t>
      </w:r>
      <w:r w:rsidR="00C537CC">
        <w:t xml:space="preserve"> puts it</w:t>
      </w:r>
      <w:r w:rsidR="007703E8">
        <w:t>,</w:t>
      </w:r>
    </w:p>
    <w:p w14:paraId="2A73FEC9" w14:textId="77777777" w:rsidR="0032391B" w:rsidRDefault="00C30B15" w:rsidP="00B939A1">
      <w:pPr>
        <w:ind w:leftChars="177" w:left="425" w:rightChars="157" w:right="377"/>
      </w:pPr>
      <w:r w:rsidRPr="008D7E86">
        <w:t xml:space="preserve">It is characteristic of societies based on large, complex technological systems, however, that moral reasons other than those of practical necessity appear increasingly obsolete, </w:t>
      </w:r>
      <w:r w:rsidR="007703E8">
        <w:t>“</w:t>
      </w:r>
      <w:r w:rsidRPr="008D7E86">
        <w:t>idealistic,</w:t>
      </w:r>
      <w:r w:rsidR="007703E8">
        <w:t>”</w:t>
      </w:r>
      <w:r w:rsidRPr="008D7E86">
        <w:t xml:space="preserve"> and irrelevant. Whatever claims one may wish to make on behalf of liberty, justice, or equality can be immediately neutralized when confronted with arguments to the effect: </w:t>
      </w:r>
      <w:r w:rsidR="007703E8">
        <w:t>“</w:t>
      </w:r>
      <w:r w:rsidRPr="008D7E86">
        <w:t>Fine, but that</w:t>
      </w:r>
      <w:r w:rsidR="007703E8">
        <w:t>’</w:t>
      </w:r>
      <w:r w:rsidRPr="008D7E86">
        <w:t>s no way to run a railroad</w:t>
      </w:r>
      <w:r w:rsidR="007703E8">
        <w:t>”</w:t>
      </w:r>
      <w:r w:rsidRPr="008D7E86">
        <w:t xml:space="preserve"> (or steel mill, or airline, or communications system, and so on) (Winner 1980</w:t>
      </w:r>
      <w:r w:rsidR="007703E8">
        <w:t>,</w:t>
      </w:r>
      <w:r w:rsidRPr="008D7E86">
        <w:t xml:space="preserve"> 133).</w:t>
      </w:r>
    </w:p>
    <w:p w14:paraId="7E1777AD" w14:textId="38EE565D" w:rsidR="00516B45" w:rsidRPr="008D7E86" w:rsidRDefault="00C23FC0" w:rsidP="00946123">
      <w:r w:rsidRPr="008D7E86">
        <w:t>Th</w:t>
      </w:r>
      <w:r>
        <w:t>is</w:t>
      </w:r>
      <w:r w:rsidRPr="008D7E86">
        <w:t xml:space="preserve"> </w:t>
      </w:r>
      <w:r w:rsidR="00C537CC">
        <w:t>unassailable</w:t>
      </w:r>
      <w:r w:rsidR="00C537CC" w:rsidRPr="008D7E86">
        <w:t xml:space="preserve"> </w:t>
      </w:r>
      <w:r w:rsidR="00516B45" w:rsidRPr="008D7E86">
        <w:t xml:space="preserve">logic of efficiency and </w:t>
      </w:r>
      <w:r w:rsidR="00C537CC">
        <w:t xml:space="preserve">narrow view of </w:t>
      </w:r>
      <w:r w:rsidR="00516B45" w:rsidRPr="008D7E86">
        <w:t>technolog</w:t>
      </w:r>
      <w:r w:rsidR="00C537CC">
        <w:t>y</w:t>
      </w:r>
      <w:r w:rsidR="00516B45" w:rsidRPr="008D7E86">
        <w:t xml:space="preserve"> makes </w:t>
      </w:r>
      <w:r w:rsidR="00C537CC">
        <w:t>examin</w:t>
      </w:r>
      <w:r>
        <w:t>ing</w:t>
      </w:r>
      <w:r w:rsidR="00C537CC">
        <w:t xml:space="preserve"> </w:t>
      </w:r>
      <w:r w:rsidR="00516B45" w:rsidRPr="008D7E86">
        <w:t>the human experience preced</w:t>
      </w:r>
      <w:r>
        <w:t>ing</w:t>
      </w:r>
      <w:r w:rsidR="00516B45" w:rsidRPr="008D7E86">
        <w:t xml:space="preserve"> any particular choice </w:t>
      </w:r>
      <w:r>
        <w:t xml:space="preserve">difficult </w:t>
      </w:r>
      <w:r w:rsidR="00516B45" w:rsidRPr="008D7E86">
        <w:t xml:space="preserve">and shuts off the imagination </w:t>
      </w:r>
      <w:r>
        <w:t>toward</w:t>
      </w:r>
      <w:r w:rsidRPr="008D7E86">
        <w:t xml:space="preserve"> </w:t>
      </w:r>
      <w:r w:rsidR="000B34CE">
        <w:t>alternatives</w:t>
      </w:r>
      <w:r w:rsidR="00516B45" w:rsidRPr="008D7E86">
        <w:t xml:space="preserve">. </w:t>
      </w:r>
      <w:r w:rsidR="00C537CC">
        <w:t xml:space="preserve">Realizing this, I </w:t>
      </w:r>
      <w:r w:rsidR="00516B45" w:rsidRPr="008D7E86">
        <w:t xml:space="preserve">see </w:t>
      </w:r>
      <w:r w:rsidR="000B34CE">
        <w:t xml:space="preserve">great potential for </w:t>
      </w:r>
      <w:r w:rsidR="00516B45" w:rsidRPr="008D7E86">
        <w:t xml:space="preserve">social science in </w:t>
      </w:r>
      <w:r w:rsidRPr="00C23FC0">
        <w:t>exploring</w:t>
      </w:r>
      <w:r w:rsidR="000B34CE">
        <w:t xml:space="preserve"> other </w:t>
      </w:r>
      <w:r w:rsidR="00516B45" w:rsidRPr="008D7E86">
        <w:t>path</w:t>
      </w:r>
      <w:r w:rsidR="000B34CE">
        <w:t xml:space="preserve">s that could have been taken in </w:t>
      </w:r>
      <w:r w:rsidR="00516B45" w:rsidRPr="008D7E86">
        <w:t>history</w:t>
      </w:r>
      <w:r w:rsidR="000B34CE">
        <w:t xml:space="preserve"> but fell under the</w:t>
      </w:r>
      <w:r w:rsidR="00E610BF">
        <w:t xml:space="preserve"> domination</w:t>
      </w:r>
      <w:r w:rsidR="000B34CE">
        <w:t xml:space="preserve"> of a seeming </w:t>
      </w:r>
      <w:r w:rsidR="00516B45" w:rsidRPr="008D7E86">
        <w:t xml:space="preserve">technical inevitability. </w:t>
      </w:r>
      <w:r w:rsidR="000B34CE">
        <w:t>G</w:t>
      </w:r>
      <w:r w:rsidR="00516B45" w:rsidRPr="008D7E86">
        <w:t xml:space="preserve">overnance </w:t>
      </w:r>
      <w:r w:rsidR="000B34CE">
        <w:t xml:space="preserve">has long </w:t>
      </w:r>
      <w:r w:rsidR="00516B45" w:rsidRPr="008D7E86">
        <w:t>involve</w:t>
      </w:r>
      <w:r w:rsidR="000B34CE">
        <w:t>d</w:t>
      </w:r>
      <w:r w:rsidR="00516B45" w:rsidRPr="008D7E86">
        <w:t xml:space="preserve"> a process of taming the subject</w:t>
      </w:r>
      <w:r w:rsidR="00B605C5">
        <w:t xml:space="preserve">, </w:t>
      </w:r>
      <w:r w:rsidR="00516B45" w:rsidRPr="008D7E86">
        <w:t>justifi</w:t>
      </w:r>
      <w:r w:rsidR="00B605C5">
        <w:t xml:space="preserve">ed by the logic of scientific </w:t>
      </w:r>
      <w:r w:rsidR="00516B45" w:rsidRPr="008D7E86">
        <w:t>efficiency</w:t>
      </w:r>
      <w:r w:rsidR="000B34CE">
        <w:t xml:space="preserve">. Rediscovering the </w:t>
      </w:r>
      <w:r w:rsidR="00516B45" w:rsidRPr="008D7E86">
        <w:t>values of diversity and uniqueness lost in this process</w:t>
      </w:r>
      <w:r w:rsidR="000B34CE">
        <w:t xml:space="preserve"> may even signal new directions for different ways of being</w:t>
      </w:r>
      <w:r w:rsidR="00516B45" w:rsidRPr="008D7E86">
        <w:t>.</w:t>
      </w:r>
    </w:p>
    <w:p w14:paraId="51E934A5" w14:textId="39396065" w:rsidR="0032391B" w:rsidRDefault="00516B45" w:rsidP="00946123">
      <w:r w:rsidRPr="008D7E86">
        <w:t xml:space="preserve">The concept of efficiency is a logic that prioritizes the function of the entire system based on the relationship between means and ends. In other words, it is also a logic that considers the sacrifice of the few to be unavoidable. Ui formulates this problem as a conflict between </w:t>
      </w:r>
      <w:r w:rsidR="00C23FC0">
        <w:t>“</w:t>
      </w:r>
      <w:r w:rsidRPr="008D7E86">
        <w:t>a very small convenience for a large number of people and a very large disadvantage for a small number of people</w:t>
      </w:r>
      <w:r w:rsidR="00CB6708">
        <w:t>”</w:t>
      </w:r>
      <w:r w:rsidR="00CB1DEF">
        <w:t xml:space="preserve"> (</w:t>
      </w:r>
      <w:r w:rsidR="00CB1DEF" w:rsidRPr="00B939A1">
        <w:t xml:space="preserve">Ui </w:t>
      </w:r>
      <w:r w:rsidR="00B939A1" w:rsidRPr="00B939A1">
        <w:rPr>
          <w:rFonts w:hint="eastAsia"/>
          <w:lang w:eastAsia="ja-JP"/>
        </w:rPr>
        <w:t>2000: xx</w:t>
      </w:r>
      <w:r w:rsidR="00CB1DEF" w:rsidRPr="00B939A1">
        <w:t>)</w:t>
      </w:r>
      <w:r w:rsidRPr="008D7E86">
        <w:t xml:space="preserve">. Of course, the nature of the </w:t>
      </w:r>
      <w:r w:rsidR="00034A7F">
        <w:t>advantages</w:t>
      </w:r>
      <w:r w:rsidRPr="008D7E86">
        <w:t xml:space="preserve"> and </w:t>
      </w:r>
      <w:r w:rsidR="00034A7F">
        <w:t>disadvantages</w:t>
      </w:r>
      <w:r w:rsidRPr="008D7E86">
        <w:t xml:space="preserve"> </w:t>
      </w:r>
      <w:r w:rsidRPr="008D7E86">
        <w:lastRenderedPageBreak/>
        <w:t xml:space="preserve">will change </w:t>
      </w:r>
      <w:r w:rsidR="00C23FC0">
        <w:t xml:space="preserve">over </w:t>
      </w:r>
      <w:r w:rsidR="00034A7F">
        <w:t>time</w:t>
      </w:r>
      <w:r w:rsidRPr="008D7E86">
        <w:t xml:space="preserve">. However, it is a fact that we have become accustomed to the idea of prioritizing </w:t>
      </w:r>
      <w:r w:rsidR="00C23FC0">
        <w:t>“</w:t>
      </w:r>
      <w:r w:rsidRPr="008D7E86">
        <w:t>convenience for the many</w:t>
      </w:r>
      <w:r w:rsidR="00C23FC0">
        <w:t>”</w:t>
      </w:r>
      <w:r w:rsidRPr="008D7E86">
        <w:t xml:space="preserve"> as the logic of </w:t>
      </w:r>
      <w:r w:rsidR="00D86390">
        <w:t>government</w:t>
      </w:r>
      <w:r w:rsidRPr="008D7E86">
        <w:t>.</w:t>
      </w:r>
    </w:p>
    <w:p w14:paraId="0F145A7B" w14:textId="77777777" w:rsidR="0094548A" w:rsidRDefault="0094548A" w:rsidP="00946123"/>
    <w:p w14:paraId="6F53E955" w14:textId="77777777" w:rsidR="0032391B" w:rsidRDefault="00516B45" w:rsidP="0094548A">
      <w:pPr>
        <w:pStyle w:val="Heading2"/>
      </w:pPr>
      <w:r w:rsidRPr="008D7E86">
        <w:t>The hedgehog and the fox</w:t>
      </w:r>
    </w:p>
    <w:p w14:paraId="6099DD48" w14:textId="2BBC3BEE" w:rsidR="00516B45" w:rsidRPr="0006255F" w:rsidRDefault="00CC0B15" w:rsidP="00946123">
      <w:r w:rsidRPr="0006255F">
        <w:t>“</w:t>
      </w:r>
      <w:r w:rsidR="00516B45" w:rsidRPr="0006255F">
        <w:t>The fox knows many things, but the hedgehog knows only one big thing.</w:t>
      </w:r>
      <w:r w:rsidRPr="0006255F">
        <w:t>”</w:t>
      </w:r>
      <w:r w:rsidR="00516B45" w:rsidRPr="0006255F">
        <w:t xml:space="preserve"> The British political philosopher Isaiah Berlin (1909</w:t>
      </w:r>
      <w:r w:rsidR="00C23FC0">
        <w:t>–</w:t>
      </w:r>
      <w:r w:rsidR="00516B45" w:rsidRPr="0006255F">
        <w:t>1997), quoting this poem by the ancient Greek poet Archilo</w:t>
      </w:r>
      <w:r w:rsidRPr="0006255F">
        <w:t>chus</w:t>
      </w:r>
      <w:r w:rsidR="00516B45" w:rsidRPr="0006255F">
        <w:t xml:space="preserve">, </w:t>
      </w:r>
      <w:r w:rsidR="00034A7F">
        <w:t>divided</w:t>
      </w:r>
      <w:r w:rsidR="00516B45" w:rsidRPr="0006255F">
        <w:t xml:space="preserve"> </w:t>
      </w:r>
      <w:r w:rsidR="0006255F">
        <w:t>authors</w:t>
      </w:r>
      <w:r w:rsidR="00516B45" w:rsidRPr="0006255F">
        <w:t xml:space="preserve"> into two categories</w:t>
      </w:r>
      <w:r w:rsidR="00D86390">
        <w:t>: those</w:t>
      </w:r>
      <w:r w:rsidR="00034A7F">
        <w:t xml:space="preserve"> </w:t>
      </w:r>
      <w:r w:rsidR="0006255F" w:rsidRPr="0006255F">
        <w:rPr>
          <w:rFonts w:eastAsia="Meiryo"/>
          <w:color w:val="0F1111"/>
          <w:shd w:val="clear" w:color="auto" w:fill="FFFFFF"/>
        </w:rPr>
        <w:t xml:space="preserve">fascinated by </w:t>
      </w:r>
      <w:r w:rsidR="00D86390">
        <w:rPr>
          <w:rFonts w:eastAsia="Meiryo"/>
          <w:color w:val="0F1111"/>
          <w:shd w:val="clear" w:color="auto" w:fill="FFFFFF"/>
        </w:rPr>
        <w:t xml:space="preserve">examining a plethora of very small </w:t>
      </w:r>
      <w:r w:rsidR="0006255F" w:rsidRPr="0006255F">
        <w:rPr>
          <w:rFonts w:eastAsia="Meiryo"/>
          <w:color w:val="0F1111"/>
          <w:shd w:val="clear" w:color="auto" w:fill="FFFFFF"/>
        </w:rPr>
        <w:t>things</w:t>
      </w:r>
      <w:r w:rsidR="00D86390">
        <w:rPr>
          <w:rFonts w:eastAsia="Meiryo"/>
          <w:color w:val="0F1111"/>
          <w:shd w:val="clear" w:color="auto" w:fill="FFFFFF"/>
        </w:rPr>
        <w:t>;</w:t>
      </w:r>
      <w:r w:rsidR="0006255F" w:rsidRPr="0006255F">
        <w:rPr>
          <w:rFonts w:eastAsia="Meiryo"/>
          <w:color w:val="0F1111"/>
          <w:shd w:val="clear" w:color="auto" w:fill="FFFFFF"/>
        </w:rPr>
        <w:t xml:space="preserve"> and those who </w:t>
      </w:r>
      <w:r w:rsidR="00D86390">
        <w:rPr>
          <w:rFonts w:eastAsia="Meiryo"/>
          <w:color w:val="0F1111"/>
          <w:shd w:val="clear" w:color="auto" w:fill="FFFFFF"/>
        </w:rPr>
        <w:t xml:space="preserve">attempt to </w:t>
      </w:r>
      <w:r w:rsidR="0006255F" w:rsidRPr="0006255F">
        <w:rPr>
          <w:rFonts w:eastAsia="Meiryo"/>
          <w:color w:val="0F1111"/>
          <w:shd w:val="clear" w:color="auto" w:fill="FFFFFF"/>
        </w:rPr>
        <w:t xml:space="preserve">relate everything to </w:t>
      </w:r>
      <w:r w:rsidR="00D86390">
        <w:rPr>
          <w:rFonts w:eastAsia="Meiryo"/>
          <w:color w:val="0F1111"/>
          <w:shd w:val="clear" w:color="auto" w:fill="FFFFFF"/>
        </w:rPr>
        <w:t>grand overarching theories</w:t>
      </w:r>
      <w:r w:rsidR="0006255F">
        <w:rPr>
          <w:rFonts w:eastAsia="Meiryo"/>
          <w:color w:val="0F1111"/>
          <w:shd w:val="clear" w:color="auto" w:fill="FFFFFF"/>
        </w:rPr>
        <w:t>.</w:t>
      </w:r>
    </w:p>
    <w:p w14:paraId="09CAF863" w14:textId="4E3BCBF5" w:rsidR="00516B45" w:rsidRPr="008D7E86" w:rsidRDefault="00516B45" w:rsidP="00946123">
      <w:r w:rsidRPr="008D7E86">
        <w:t xml:space="preserve">Looking at the behavior of the environmental state, it appears </w:t>
      </w:r>
      <w:r w:rsidR="00D86390">
        <w:t xml:space="preserve">as </w:t>
      </w:r>
      <w:r w:rsidR="00034A7F">
        <w:t>though</w:t>
      </w:r>
      <w:r w:rsidR="00D86390">
        <w:t xml:space="preserve"> the central government acts as a </w:t>
      </w:r>
      <w:r w:rsidRPr="008D7E86">
        <w:t>hedgehog, set</w:t>
      </w:r>
      <w:r w:rsidR="00D86390">
        <w:t>ting</w:t>
      </w:r>
      <w:r w:rsidRPr="008D7E86">
        <w:t xml:space="preserve"> </w:t>
      </w:r>
      <w:r w:rsidR="00D86390">
        <w:t xml:space="preserve">the </w:t>
      </w:r>
      <w:r w:rsidRPr="008D7E86">
        <w:t xml:space="preserve">policy direction for </w:t>
      </w:r>
      <w:r w:rsidR="00D86390">
        <w:t xml:space="preserve">a myriad of </w:t>
      </w:r>
      <w:r w:rsidRPr="008D7E86">
        <w:t>fox</w:t>
      </w:r>
      <w:r w:rsidR="00D86390">
        <w:t>es</w:t>
      </w:r>
      <w:r w:rsidRPr="008D7E86">
        <w:t>, the people, who have a</w:t>
      </w:r>
      <w:r w:rsidR="00D86390">
        <w:t>n</w:t>
      </w:r>
      <w:r w:rsidRPr="008D7E86">
        <w:t xml:space="preserve"> </w:t>
      </w:r>
      <w:r w:rsidR="00D86390">
        <w:t xml:space="preserve">immense range and diversity </w:t>
      </w:r>
      <w:r w:rsidRPr="008D7E86">
        <w:t>of local knowledge depending on their location</w:t>
      </w:r>
      <w:r w:rsidR="00D86390">
        <w:t>s, relations and interactions with others</w:t>
      </w:r>
      <w:r w:rsidRPr="008D7E86">
        <w:t xml:space="preserve">. </w:t>
      </w:r>
      <w:r w:rsidR="00830E0F">
        <w:t>T</w:t>
      </w:r>
      <w:r w:rsidR="00D86390">
        <w:t>he government</w:t>
      </w:r>
      <w:r w:rsidR="00830E0F">
        <w:t xml:space="preserve">, due to </w:t>
      </w:r>
      <w:r w:rsidR="00D86390">
        <w:t>the nature of the scientific advice it receives</w:t>
      </w:r>
      <w:r w:rsidR="00830E0F">
        <w:t>,</w:t>
      </w:r>
      <w:r w:rsidR="00D86390">
        <w:t xml:space="preserve"> has a </w:t>
      </w:r>
      <w:r w:rsidRPr="008D7E86">
        <w:t xml:space="preserve">tendency to take full control of the process of </w:t>
      </w:r>
      <w:r w:rsidR="003C36B6">
        <w:t>resource allocations</w:t>
      </w:r>
      <w:r w:rsidRPr="008D7E86">
        <w:t xml:space="preserve">, hazardous materials, and so on. This path toward centralization grants the state a powerful authority, which, if left unchecked, </w:t>
      </w:r>
      <w:r w:rsidR="00830E0F" w:rsidRPr="008D7E86">
        <w:t>c</w:t>
      </w:r>
      <w:r w:rsidR="00830E0F">
        <w:t>an</w:t>
      </w:r>
      <w:r w:rsidR="00830E0F" w:rsidRPr="008D7E86">
        <w:t xml:space="preserve"> </w:t>
      </w:r>
      <w:r w:rsidRPr="008D7E86">
        <w:t>become irreversible.</w:t>
      </w:r>
    </w:p>
    <w:p w14:paraId="4AA7B0A7" w14:textId="682823A4" w:rsidR="00516B45" w:rsidRPr="008D7E86" w:rsidRDefault="00516B45" w:rsidP="00946123">
      <w:r w:rsidRPr="008D7E86">
        <w:t xml:space="preserve">The knowledge that sprouted in the era of modernization and </w:t>
      </w:r>
      <w:r w:rsidR="001E0C41">
        <w:t>flourished in</w:t>
      </w:r>
      <w:r w:rsidRPr="008D7E86">
        <w:t xml:space="preserve"> the developmental state was a formal </w:t>
      </w:r>
      <w:r w:rsidR="001E0C41">
        <w:t xml:space="preserve">kind of </w:t>
      </w:r>
      <w:r w:rsidRPr="008D7E86">
        <w:t>knowledge</w:t>
      </w:r>
      <w:r w:rsidR="001E0C41">
        <w:t xml:space="preserve">, made valuable by becoming </w:t>
      </w:r>
      <w:r w:rsidRPr="008D7E86">
        <w:t>impersonal. This was inherited by the environmental state</w:t>
      </w:r>
      <w:r w:rsidR="00830E0F">
        <w:t xml:space="preserve"> with t</w:t>
      </w:r>
      <w:r w:rsidRPr="008D7E86">
        <w:t xml:space="preserve">he idea that </w:t>
      </w:r>
      <w:r w:rsidR="00830E0F">
        <w:t>by using</w:t>
      </w:r>
      <w:r w:rsidR="00830E0F" w:rsidRPr="008D7E86">
        <w:t xml:space="preserve"> </w:t>
      </w:r>
      <w:r w:rsidRPr="008D7E86">
        <w:t>science and manuals, resources and the environment can be managed. However, the effects of this approach are manifested in different ways</w:t>
      </w:r>
      <w:r w:rsidR="00830E0F">
        <w:t xml:space="preserve"> than</w:t>
      </w:r>
      <w:r w:rsidRPr="008D7E86">
        <w:t xml:space="preserve"> in the developmental state. </w:t>
      </w:r>
    </w:p>
    <w:p w14:paraId="1E30C379" w14:textId="7A14B6CA" w:rsidR="00516B45" w:rsidRPr="008D7E86" w:rsidRDefault="00516B45" w:rsidP="00946123">
      <w:r w:rsidRPr="008D7E86">
        <w:lastRenderedPageBreak/>
        <w:t>Formalization has progressed in a way that leaves important matters</w:t>
      </w:r>
      <w:r w:rsidR="00ED16BA">
        <w:t xml:space="preserve"> to experts</w:t>
      </w:r>
      <w:r w:rsidR="001E0C41">
        <w:t xml:space="preserve"> </w:t>
      </w:r>
      <w:r w:rsidR="00666E11">
        <w:t>t</w:t>
      </w:r>
      <w:r w:rsidR="001E0C41">
        <w:t xml:space="preserve">o </w:t>
      </w:r>
      <w:r w:rsidR="00ED16BA">
        <w:t xml:space="preserve">identify </w:t>
      </w:r>
      <w:r w:rsidRPr="008D7E86">
        <w:t>problem</w:t>
      </w:r>
      <w:r w:rsidR="00ED16BA">
        <w:t>s and solutions</w:t>
      </w:r>
      <w:r w:rsidRPr="008D7E86">
        <w:t xml:space="preserve">. The effect, however, has been the empowerment of the state to </w:t>
      </w:r>
      <w:r w:rsidR="001E0C41">
        <w:t xml:space="preserve">select </w:t>
      </w:r>
      <w:r w:rsidR="00681DA9">
        <w:t>specific</w:t>
      </w:r>
      <w:r w:rsidR="00681DA9" w:rsidRPr="008D7E86">
        <w:t xml:space="preserve"> </w:t>
      </w:r>
      <w:r w:rsidRPr="008D7E86">
        <w:t xml:space="preserve">experts and scientific findings. </w:t>
      </w:r>
      <w:r w:rsidR="00B605C5">
        <w:t xml:space="preserve">It governs the people partly through the governance of knowledge. </w:t>
      </w:r>
      <w:r w:rsidRPr="008D7E86">
        <w:t xml:space="preserve">As we have already pointed out, this does not mean that civil society, NGOs, and others who resist are powerless. However, </w:t>
      </w:r>
      <w:r w:rsidR="00BE7B64">
        <w:t>few nongovernmental organizations oppose</w:t>
      </w:r>
      <w:r w:rsidRPr="008D7E86">
        <w:t xml:space="preserve"> environmental protection itself. Resistance to the state, especially in the environmental field, has been </w:t>
      </w:r>
      <w:r w:rsidR="001E0C41">
        <w:t xml:space="preserve">virtually </w:t>
      </w:r>
      <w:r w:rsidRPr="008D7E86">
        <w:t>subsumed into the state</w:t>
      </w:r>
      <w:r w:rsidR="00432074">
        <w:t>.</w:t>
      </w:r>
      <w:r w:rsidR="001C57BD" w:rsidRPr="008D7E86">
        <w:rPr>
          <w:rStyle w:val="FootnoteReference"/>
        </w:rPr>
        <w:footnoteReference w:id="11"/>
      </w:r>
    </w:p>
    <w:p w14:paraId="6EEA10C0" w14:textId="77777777" w:rsidR="0032391B" w:rsidRDefault="00516B45" w:rsidP="00946123">
      <w:r w:rsidRPr="008D7E86">
        <w:t xml:space="preserve">If we replace the conflict with the axis of </w:t>
      </w:r>
      <w:r w:rsidR="00830E0F">
        <w:t>“</w:t>
      </w:r>
      <w:r w:rsidRPr="008D7E86">
        <w:t>those who govern</w:t>
      </w:r>
      <w:r w:rsidR="00830E0F">
        <w:t>”</w:t>
      </w:r>
      <w:r w:rsidRPr="008D7E86">
        <w:t xml:space="preserve"> and </w:t>
      </w:r>
      <w:r w:rsidR="00830E0F">
        <w:t>“</w:t>
      </w:r>
      <w:r w:rsidRPr="008D7E86">
        <w:t>those who are governed,</w:t>
      </w:r>
      <w:r w:rsidR="00830E0F">
        <w:t>”</w:t>
      </w:r>
      <w:r w:rsidRPr="008D7E86">
        <w:t xml:space="preserve"> we find a deeper problem in the relationship between the two than the coexistence of the two intelligences</w:t>
      </w:r>
      <w:r w:rsidR="00681DA9">
        <w:t>:</w:t>
      </w:r>
      <w:r w:rsidRPr="00D13A7E">
        <w:t xml:space="preserve"> the forgetfulness of people. </w:t>
      </w:r>
      <w:r w:rsidR="00D13A7E">
        <w:t xml:space="preserve">If we forget the issue </w:t>
      </w:r>
      <w:r w:rsidR="002265F9">
        <w:t>entirely</w:t>
      </w:r>
      <w:r w:rsidR="00D13A7E">
        <w:t xml:space="preserve">, the debate </w:t>
      </w:r>
      <w:r w:rsidR="001E0C41">
        <w:t xml:space="preserve">between </w:t>
      </w:r>
      <w:r w:rsidR="00D13A7E">
        <w:t>scientific vs</w:t>
      </w:r>
      <w:r w:rsidR="00681DA9">
        <w:t>.</w:t>
      </w:r>
      <w:r w:rsidR="00D13A7E">
        <w:t xml:space="preserve"> tacit knowledge </w:t>
      </w:r>
      <w:r w:rsidR="002265F9">
        <w:t>loses</w:t>
      </w:r>
      <w:r w:rsidR="00D13A7E">
        <w:t xml:space="preserve"> its relevance</w:t>
      </w:r>
      <w:r w:rsidR="001E0C41">
        <w:t>, and knowledge becomes stratified</w:t>
      </w:r>
      <w:r w:rsidR="00D13A7E">
        <w:t xml:space="preserve">. </w:t>
      </w:r>
    </w:p>
    <w:p w14:paraId="666A8BC9" w14:textId="77777777" w:rsidR="0094548A" w:rsidRDefault="0094548A" w:rsidP="00946123"/>
    <w:p w14:paraId="09F27D80" w14:textId="346DFB03" w:rsidR="0032391B" w:rsidRDefault="00483A5E" w:rsidP="0094548A">
      <w:pPr>
        <w:pStyle w:val="Heading1"/>
      </w:pPr>
      <w:r>
        <w:rPr>
          <w:rFonts w:hint="eastAsia"/>
          <w:lang w:eastAsia="ja-JP"/>
        </w:rPr>
        <w:t>5.</w:t>
      </w:r>
      <w:r w:rsidR="0094548A">
        <w:rPr>
          <w:rFonts w:hint="eastAsia"/>
          <w:lang w:eastAsia="ja-JP"/>
        </w:rPr>
        <w:t>4</w:t>
      </w:r>
      <w:r w:rsidR="009569BB">
        <w:t xml:space="preserve"> </w:t>
      </w:r>
      <w:r w:rsidR="00D13A7E">
        <w:t>Four Stages of Problematization and Forgetting</w:t>
      </w:r>
    </w:p>
    <w:p w14:paraId="59CDB76E" w14:textId="7ECC980F" w:rsidR="00516B45" w:rsidRPr="008D7E86" w:rsidRDefault="00681DA9" w:rsidP="00946123">
      <w:r>
        <w:lastRenderedPageBreak/>
        <w:t>U</w:t>
      </w:r>
      <w:r w:rsidR="00516B45" w:rsidRPr="008D7E86">
        <w:t>p to this point</w:t>
      </w:r>
      <w:r>
        <w:t>, the discussion</w:t>
      </w:r>
      <w:r w:rsidR="00516B45" w:rsidRPr="008D7E86">
        <w:t xml:space="preserve"> has assumed that knowledge is always there, waiting to be used. </w:t>
      </w:r>
      <w:r w:rsidR="00CB05B8">
        <w:t>However, a</w:t>
      </w:r>
      <w:r w:rsidR="00516B45" w:rsidRPr="008D7E86">
        <w:t xml:space="preserve"> major factor that makes environmental issues a governance challenge is </w:t>
      </w:r>
      <w:r w:rsidR="00CB05B8">
        <w:t xml:space="preserve">our </w:t>
      </w:r>
      <w:r w:rsidR="00516B45" w:rsidRPr="008D7E86">
        <w:t>habit of neglecting the lessons of the past, even when they are available.</w:t>
      </w:r>
    </w:p>
    <w:p w14:paraId="09F4CD78" w14:textId="4B70610C" w:rsidR="00516B45" w:rsidRDefault="00516B45" w:rsidP="00946123">
      <w:r w:rsidRPr="008D7E86">
        <w:t xml:space="preserve">Everyday environmental risks, </w:t>
      </w:r>
      <w:r w:rsidR="002D603B">
        <w:t xml:space="preserve">like </w:t>
      </w:r>
      <w:r w:rsidRPr="008D7E86">
        <w:t xml:space="preserve">air pollution in </w:t>
      </w:r>
      <w:r w:rsidR="00C06140">
        <w:t xml:space="preserve">major cities such as </w:t>
      </w:r>
      <w:r w:rsidRPr="008D7E86">
        <w:t xml:space="preserve">Beijing, are more easily recognized as </w:t>
      </w:r>
      <w:r w:rsidR="00681DA9">
        <w:t>“</w:t>
      </w:r>
      <w:r w:rsidRPr="008D7E86">
        <w:t>problems</w:t>
      </w:r>
      <w:r w:rsidR="00681DA9">
        <w:t>”</w:t>
      </w:r>
      <w:r w:rsidRPr="008D7E86">
        <w:t xml:space="preserve"> than natural disasters that occur once in a thousand years. Conversely, the less frequently they occur, the more people forget their existence and pain. </w:t>
      </w:r>
      <w:r w:rsidR="002D603B">
        <w:t xml:space="preserve">In the longer frame of evolutionary history, the ability </w:t>
      </w:r>
      <w:r w:rsidRPr="008D7E86">
        <w:t xml:space="preserve">to forget </w:t>
      </w:r>
      <w:r w:rsidR="00526AF9">
        <w:t>traumatic</w:t>
      </w:r>
      <w:r w:rsidR="00526AF9" w:rsidRPr="008D7E86">
        <w:t xml:space="preserve"> </w:t>
      </w:r>
      <w:r w:rsidR="00526AF9">
        <w:t>experiences</w:t>
      </w:r>
      <w:r w:rsidR="002D603B">
        <w:t xml:space="preserve"> has been a great strength for humans</w:t>
      </w:r>
      <w:r w:rsidR="00681DA9">
        <w:t>.</w:t>
      </w:r>
      <w:r w:rsidR="004224CE">
        <w:rPr>
          <w:rStyle w:val="FootnoteReference"/>
        </w:rPr>
        <w:footnoteReference w:id="12"/>
      </w:r>
      <w:r w:rsidR="002D603B">
        <w:t xml:space="preserve"> This remains the case to the extent that any </w:t>
      </w:r>
      <w:r w:rsidR="00C76CBF">
        <w:t>individual</w:t>
      </w:r>
      <w:r w:rsidR="002D603B">
        <w:t xml:space="preserve"> cannot influence their social or material environment. However</w:t>
      </w:r>
      <w:r w:rsidRPr="008D7E86">
        <w:t xml:space="preserve">, it </w:t>
      </w:r>
      <w:r w:rsidR="00C06140">
        <w:t xml:space="preserve">becomes a </w:t>
      </w:r>
      <w:r w:rsidRPr="008D7E86">
        <w:t xml:space="preserve">weakness </w:t>
      </w:r>
      <w:r w:rsidR="00C06140">
        <w:t xml:space="preserve">if we fail to apply </w:t>
      </w:r>
      <w:r w:rsidRPr="008D7E86">
        <w:t xml:space="preserve">the lessons learned from </w:t>
      </w:r>
      <w:r w:rsidR="00C06140">
        <w:t>past calamities</w:t>
      </w:r>
      <w:r w:rsidR="002D603B">
        <w:t xml:space="preserve"> in an age when humans can</w:t>
      </w:r>
      <w:r w:rsidR="00681DA9">
        <w:t>—</w:t>
      </w:r>
      <w:r w:rsidR="002D603B">
        <w:t xml:space="preserve"> especially collectively</w:t>
      </w:r>
      <w:r w:rsidR="00681DA9">
        <w:t>—</w:t>
      </w:r>
      <w:r w:rsidR="002D603B">
        <w:t>shape our environment</w:t>
      </w:r>
      <w:r w:rsidRPr="008D7E86">
        <w:t>.</w:t>
      </w:r>
    </w:p>
    <w:p w14:paraId="3877D743" w14:textId="36B94596" w:rsidR="007102BF" w:rsidRPr="007102BF" w:rsidRDefault="004224CE" w:rsidP="00946123">
      <w:pPr>
        <w:rPr>
          <w:rStyle w:val="Strong"/>
          <w:rFonts w:ascii="Arial" w:hAnsi="Arial" w:cs="Arial"/>
          <w:color w:val="333333"/>
          <w:shd w:val="clear" w:color="auto" w:fill="FFFFFF"/>
        </w:rPr>
      </w:pPr>
      <w:r>
        <w:t>Despite all the efforts to learn the lessons from the experience of pollution through textbooks, museums, documentary films, and story-telling to the site visitors, the problem of acknowledging the victims remains today</w:t>
      </w:r>
      <w:r w:rsidR="00681DA9">
        <w:t>.</w:t>
      </w:r>
      <w:r>
        <w:t xml:space="preserve"> </w:t>
      </w:r>
      <w:r w:rsidR="00681DA9">
        <w:t xml:space="preserve">Moreover, </w:t>
      </w:r>
      <w:r>
        <w:t>new issues of water pollution continue to be discovered</w:t>
      </w:r>
      <w:r w:rsidR="00681DA9">
        <w:t>,</w:t>
      </w:r>
      <w:r>
        <w:t xml:space="preserve"> </w:t>
      </w:r>
      <w:r w:rsidR="00681DA9">
        <w:t>including</w:t>
      </w:r>
      <w:r>
        <w:t xml:space="preserve"> </w:t>
      </w:r>
      <w:r w:rsidR="001739CE" w:rsidRPr="001739CE">
        <w:t>carcinogenic</w:t>
      </w:r>
      <w:r w:rsidR="001739CE">
        <w:t xml:space="preserve"> </w:t>
      </w:r>
      <w:r w:rsidR="007102BF">
        <w:t>chemicals</w:t>
      </w:r>
      <w:r w:rsidR="007102BF" w:rsidRPr="007102BF">
        <w:t xml:space="preserve"> such as </w:t>
      </w:r>
      <w:r w:rsidRPr="007102BF">
        <w:rPr>
          <w:rStyle w:val="Strong"/>
          <w:b w:val="0"/>
          <w:bCs w:val="0"/>
          <w:color w:val="333333"/>
          <w:shd w:val="clear" w:color="auto" w:fill="FFFFFF"/>
        </w:rPr>
        <w:t>PFOS and PFOA that can impact human health in significant way</w:t>
      </w:r>
      <w:r w:rsidR="002666A3">
        <w:rPr>
          <w:rStyle w:val="Strong"/>
          <w:b w:val="0"/>
          <w:bCs w:val="0"/>
          <w:color w:val="333333"/>
          <w:shd w:val="clear" w:color="auto" w:fill="FFFFFF"/>
        </w:rPr>
        <w:t>s</w:t>
      </w:r>
      <w:r w:rsidR="007102BF" w:rsidRPr="007102BF">
        <w:rPr>
          <w:rStyle w:val="Strong"/>
          <w:b w:val="0"/>
          <w:bCs w:val="0"/>
          <w:color w:val="333333"/>
          <w:shd w:val="clear" w:color="auto" w:fill="FFFFFF"/>
        </w:rPr>
        <w:t xml:space="preserve"> (</w:t>
      </w:r>
      <w:r w:rsidR="007102BF" w:rsidRPr="00B939A1">
        <w:rPr>
          <w:rStyle w:val="Strong"/>
          <w:b w:val="0"/>
          <w:bCs w:val="0"/>
          <w:color w:val="333333"/>
          <w:shd w:val="clear" w:color="auto" w:fill="FFFFFF"/>
        </w:rPr>
        <w:t>Tang et al</w:t>
      </w:r>
      <w:r w:rsidR="00681DA9" w:rsidRPr="00B939A1">
        <w:rPr>
          <w:rStyle w:val="Strong"/>
          <w:b w:val="0"/>
          <w:bCs w:val="0"/>
          <w:color w:val="333333"/>
          <w:shd w:val="clear" w:color="auto" w:fill="FFFFFF"/>
        </w:rPr>
        <w:t>.</w:t>
      </w:r>
      <w:r w:rsidR="007102BF" w:rsidRPr="00B939A1">
        <w:rPr>
          <w:rStyle w:val="Strong"/>
          <w:b w:val="0"/>
          <w:bCs w:val="0"/>
          <w:color w:val="333333"/>
          <w:shd w:val="clear" w:color="auto" w:fill="FFFFFF"/>
        </w:rPr>
        <w:t xml:space="preserve"> 2023</w:t>
      </w:r>
      <w:r w:rsidR="007102BF" w:rsidRPr="007102BF">
        <w:rPr>
          <w:rStyle w:val="Strong"/>
          <w:b w:val="0"/>
          <w:bCs w:val="0"/>
          <w:color w:val="333333"/>
          <w:shd w:val="clear" w:color="auto" w:fill="FFFFFF"/>
        </w:rPr>
        <w:t xml:space="preserve">). </w:t>
      </w:r>
      <w:r w:rsidR="007102BF" w:rsidRPr="007102BF">
        <w:rPr>
          <w:rStyle w:val="Strong"/>
          <w:rFonts w:ascii="Arial" w:hAnsi="Arial" w:cs="Arial"/>
          <w:color w:val="333333"/>
          <w:shd w:val="clear" w:color="auto" w:fill="FFFFFF"/>
        </w:rPr>
        <w:t xml:space="preserve"> </w:t>
      </w:r>
    </w:p>
    <w:p w14:paraId="1469F678" w14:textId="02EAE189" w:rsidR="00F666E7" w:rsidRPr="008D7E86" w:rsidRDefault="00F666E7" w:rsidP="00946123">
      <w:r w:rsidRPr="008D7E86">
        <w:lastRenderedPageBreak/>
        <w:t>Scientific knowledge of the warning signs of disasters has improved, and the accuracy of predicting the time between an earthquake and a tsunami has increased dramatically. However, the degree to which human society, the recipient of such information, has advanced is another matter, and in this sense, the risk of natural disasters exists only as a probability.</w:t>
      </w:r>
      <w:r w:rsidR="00D06901">
        <w:t xml:space="preserve"> While science serves as </w:t>
      </w:r>
      <w:r w:rsidR="007102BF">
        <w:t xml:space="preserve">a </w:t>
      </w:r>
      <w:r w:rsidR="00D06901">
        <w:t>helpful reminder of past experiences</w:t>
      </w:r>
      <w:r w:rsidR="007339C8">
        <w:t>,</w:t>
      </w:r>
      <w:r w:rsidR="00D06901">
        <w:t xml:space="preserve"> it can also </w:t>
      </w:r>
      <w:r w:rsidR="007339C8">
        <w:t xml:space="preserve">be a source of </w:t>
      </w:r>
      <w:r w:rsidR="00D06901">
        <w:t>complicat</w:t>
      </w:r>
      <w:r w:rsidR="007339C8">
        <w:t>ion</w:t>
      </w:r>
      <w:r w:rsidR="00D06901">
        <w:t xml:space="preserve"> when </w:t>
      </w:r>
      <w:r w:rsidR="007339C8">
        <w:t xml:space="preserve">relied upon </w:t>
      </w:r>
      <w:r w:rsidR="00D06901">
        <w:t>to attribut</w:t>
      </w:r>
      <w:r w:rsidR="007339C8">
        <w:t>e</w:t>
      </w:r>
      <w:r w:rsidR="00D06901">
        <w:t xml:space="preserve"> responsibilities and </w:t>
      </w:r>
      <w:r w:rsidR="007339C8">
        <w:t xml:space="preserve">compensation </w:t>
      </w:r>
      <w:r w:rsidR="00D06901">
        <w:t xml:space="preserve">in the aftermath of such disasters. </w:t>
      </w:r>
    </w:p>
    <w:p w14:paraId="15E4C6D2" w14:textId="3421FA23" w:rsidR="00516B45" w:rsidRPr="008D7E86" w:rsidRDefault="00516B45" w:rsidP="00946123">
      <w:r w:rsidRPr="008D7E86">
        <w:t xml:space="preserve">It is not merely the limitations of human memory or lack of ability to record that drives past lessons into oblivion. There are many cases in which experts have </w:t>
      </w:r>
      <w:r w:rsidR="00526AF9">
        <w:t>actively “</w:t>
      </w:r>
      <w:r w:rsidRPr="008D7E86">
        <w:t>helped</w:t>
      </w:r>
      <w:r w:rsidR="00526AF9">
        <w:t>”</w:t>
      </w:r>
      <w:r w:rsidRPr="008D7E86">
        <w:t xml:space="preserve"> people to forget. Ui, reflecting on his own experience of dealing with </w:t>
      </w:r>
      <w:r w:rsidR="00C437EA">
        <w:t>pollution problems</w:t>
      </w:r>
      <w:r w:rsidRPr="008D7E86">
        <w:t xml:space="preserve">, sums up the </w:t>
      </w:r>
      <w:r w:rsidR="00C437EA">
        <w:t xml:space="preserve">common </w:t>
      </w:r>
      <w:r w:rsidRPr="008D7E86">
        <w:t xml:space="preserve">path </w:t>
      </w:r>
      <w:r w:rsidR="00C437EA">
        <w:t xml:space="preserve">in almost all incidences of </w:t>
      </w:r>
      <w:r w:rsidRPr="008D7E86">
        <w:t>pollution</w:t>
      </w:r>
      <w:r w:rsidR="00C437EA">
        <w:t xml:space="preserve">. </w:t>
      </w:r>
      <w:r w:rsidRPr="008D7E86">
        <w:t>The story goes like this</w:t>
      </w:r>
      <w:r w:rsidR="00526AF9">
        <w:t>:</w:t>
      </w:r>
      <w:r w:rsidRPr="008D7E86">
        <w:t xml:space="preserve"> </w:t>
      </w:r>
      <w:r w:rsidR="00681DA9">
        <w:t>w</w:t>
      </w:r>
      <w:r w:rsidRPr="008D7E86">
        <w:t>hen pollution is discovered and its cause is about to be found</w:t>
      </w:r>
      <w:r w:rsidRPr="00A136F4">
        <w:rPr>
          <w:szCs w:val="21"/>
        </w:rPr>
        <w:t>,</w:t>
      </w:r>
      <w:r w:rsidRPr="008D7E86">
        <w:t xml:space="preserve"> a </w:t>
      </w:r>
      <w:r w:rsidR="00681DA9">
        <w:t>“</w:t>
      </w:r>
      <w:r w:rsidRPr="008D7E86">
        <w:t>neutral third party</w:t>
      </w:r>
      <w:r w:rsidR="00681DA9">
        <w:t>”</w:t>
      </w:r>
      <w:r w:rsidRPr="008D7E86">
        <w:t xml:space="preserve"> appears who claims that </w:t>
      </w:r>
      <w:r w:rsidR="00681DA9">
        <w:t>“</w:t>
      </w:r>
      <w:r w:rsidRPr="008D7E86">
        <w:t>the real cause exists elsewhere,</w:t>
      </w:r>
      <w:r w:rsidR="00681DA9">
        <w:t>”</w:t>
      </w:r>
      <w:r w:rsidRPr="008D7E86">
        <w:t xml:space="preserve"> which leads to the true cause being lost in the maze and the problem itself being forgotten. The important point here is that the forgetting of past lessons does not </w:t>
      </w:r>
      <w:r w:rsidR="00526AF9">
        <w:t xml:space="preserve">always </w:t>
      </w:r>
      <w:r w:rsidRPr="008D7E86">
        <w:t xml:space="preserve">stem from </w:t>
      </w:r>
      <w:r w:rsidR="007339C8">
        <w:t xml:space="preserve">poor </w:t>
      </w:r>
      <w:r w:rsidRPr="008D7E86">
        <w:t xml:space="preserve">human memory of things but is often actively and consciously </w:t>
      </w:r>
      <w:r w:rsidR="00526AF9">
        <w:t>discouraged</w:t>
      </w:r>
      <w:r w:rsidRPr="008D7E86">
        <w:t>.</w:t>
      </w:r>
      <w:r w:rsidR="007102BF">
        <w:t xml:space="preserve"> </w:t>
      </w:r>
    </w:p>
    <w:p w14:paraId="2C343683" w14:textId="77777777" w:rsidR="0032391B" w:rsidRDefault="00A136F4" w:rsidP="00946123">
      <w:r>
        <w:t xml:space="preserve">In </w:t>
      </w:r>
      <w:r w:rsidR="00F666E7">
        <w:t>each</w:t>
      </w:r>
      <w:r w:rsidR="00F666E7" w:rsidRPr="008D7E86">
        <w:t xml:space="preserve"> </w:t>
      </w:r>
      <w:r>
        <w:t>time period</w:t>
      </w:r>
      <w:r w:rsidR="00516B45" w:rsidRPr="008D7E86">
        <w:t xml:space="preserve">, </w:t>
      </w:r>
      <w:r>
        <w:t>certain people have</w:t>
      </w:r>
      <w:r w:rsidR="00516B45" w:rsidRPr="008D7E86">
        <w:t xml:space="preserve"> foresight and are one step ahead of the times. This does not mean that the findings of such people are reflected in policy, or that their findings are empirically valid. Historically, however, the majority of so-called environmental damage has been caused by too much time between discovery and action. </w:t>
      </w:r>
      <w:r w:rsidR="003056E9">
        <w:t>Yet</w:t>
      </w:r>
      <w:r w:rsidR="0089340D">
        <w:t>,</w:t>
      </w:r>
      <w:r w:rsidR="003056E9">
        <w:t xml:space="preserve"> t</w:t>
      </w:r>
      <w:r w:rsidR="00516B45" w:rsidRPr="008D7E86">
        <w:t xml:space="preserve">he problem was perceived </w:t>
      </w:r>
      <w:r w:rsidR="0089340D" w:rsidRPr="008D7E86">
        <w:t xml:space="preserve">clearly </w:t>
      </w:r>
      <w:r w:rsidR="00516B45" w:rsidRPr="008D7E86">
        <w:t xml:space="preserve">by some. </w:t>
      </w:r>
      <w:r w:rsidR="003056E9">
        <w:t>The question of h</w:t>
      </w:r>
      <w:r w:rsidR="00516B45" w:rsidRPr="008D7E86">
        <w:t xml:space="preserve">ow to shorten the time between the discovery of </w:t>
      </w:r>
      <w:r w:rsidR="007339C8">
        <w:t>a</w:t>
      </w:r>
      <w:r w:rsidR="007339C8" w:rsidRPr="008D7E86">
        <w:t xml:space="preserve"> </w:t>
      </w:r>
      <w:r w:rsidR="00516B45" w:rsidRPr="008D7E86">
        <w:t>problem by people (many of whom are vulnerable and must bear the risk in the first place) and the action by those who have the power to solve it is no less important than developing technologies to reduce environmental risk</w:t>
      </w:r>
      <w:r w:rsidR="003056E9">
        <w:t>s</w:t>
      </w:r>
      <w:r w:rsidR="00516B45" w:rsidRPr="008D7E86">
        <w:t xml:space="preserve"> </w:t>
      </w:r>
      <w:r w:rsidR="003056E9">
        <w:t>them</w:t>
      </w:r>
      <w:r w:rsidR="00516B45" w:rsidRPr="008D7E86">
        <w:t>sel</w:t>
      </w:r>
      <w:r w:rsidR="003056E9">
        <w:t>ves.</w:t>
      </w:r>
    </w:p>
    <w:p w14:paraId="5649CC18" w14:textId="77777777" w:rsidR="0094548A" w:rsidRDefault="0094548A" w:rsidP="00946123"/>
    <w:p w14:paraId="7CA91A80" w14:textId="7A437422" w:rsidR="0032391B" w:rsidRDefault="0094548A" w:rsidP="0094548A">
      <w:pPr>
        <w:pStyle w:val="Heading1"/>
      </w:pPr>
      <w:r>
        <w:rPr>
          <w:rFonts w:hint="eastAsia"/>
          <w:lang w:eastAsia="ja-JP"/>
        </w:rPr>
        <w:t>5.</w:t>
      </w:r>
      <w:r w:rsidR="00483A5E">
        <w:rPr>
          <w:rFonts w:hint="eastAsia"/>
          <w:lang w:eastAsia="ja-JP"/>
        </w:rPr>
        <w:t>5</w:t>
      </w:r>
      <w:r w:rsidR="00516B45" w:rsidRPr="008D7E86">
        <w:t xml:space="preserve"> </w:t>
      </w:r>
      <w:r w:rsidR="00520998">
        <w:t>L</w:t>
      </w:r>
      <w:r w:rsidR="00516B45" w:rsidRPr="008D7E86">
        <w:t xml:space="preserve">essons from </w:t>
      </w:r>
      <w:r w:rsidR="004402F4" w:rsidRPr="009A4032">
        <w:rPr>
          <w:i/>
          <w:iCs/>
        </w:rPr>
        <w:t xml:space="preserve">Kogai </w:t>
      </w:r>
      <w:proofErr w:type="spellStart"/>
      <w:r w:rsidR="004402F4" w:rsidRPr="009A4032">
        <w:rPr>
          <w:i/>
          <w:iCs/>
        </w:rPr>
        <w:t>Genron</w:t>
      </w:r>
      <w:proofErr w:type="spellEnd"/>
    </w:p>
    <w:p w14:paraId="5C675EB3" w14:textId="77777777" w:rsidR="0032391B" w:rsidRDefault="00516B45" w:rsidP="0094548A">
      <w:pPr>
        <w:pStyle w:val="Heading2"/>
      </w:pPr>
      <w:r w:rsidRPr="008D7E86">
        <w:t xml:space="preserve">Changing the </w:t>
      </w:r>
      <w:r w:rsidR="009A4032">
        <w:t xml:space="preserve">Direction </w:t>
      </w:r>
      <w:r w:rsidRPr="008D7E86">
        <w:t>of Learning</w:t>
      </w:r>
    </w:p>
    <w:p w14:paraId="0C51B833" w14:textId="74FB0122" w:rsidR="0065226F" w:rsidRPr="008D7E86" w:rsidRDefault="006B2992" w:rsidP="00946123">
      <w:r>
        <w:t>It has been a long time since t</w:t>
      </w:r>
      <w:r w:rsidR="00516B45" w:rsidRPr="008D7E86">
        <w:t xml:space="preserve">acit knowledge has been given its proper place in academic discourse, even though it has a wider base of practical utility than formal </w:t>
      </w:r>
      <w:r w:rsidR="00F8040B">
        <w:t xml:space="preserve">scientific </w:t>
      </w:r>
      <w:r w:rsidR="00516B45" w:rsidRPr="008D7E86">
        <w:t xml:space="preserve">knowledge. What </w:t>
      </w:r>
      <w:r>
        <w:t xml:space="preserve">lessons </w:t>
      </w:r>
      <w:r w:rsidR="0089340D">
        <w:t>can</w:t>
      </w:r>
      <w:r w:rsidR="0089340D" w:rsidRPr="008D7E86">
        <w:t xml:space="preserve"> </w:t>
      </w:r>
      <w:r w:rsidR="00920995">
        <w:t>“</w:t>
      </w:r>
      <w:proofErr w:type="spellStart"/>
      <w:r w:rsidR="00F8040B" w:rsidRPr="00397E37">
        <w:t>K</w:t>
      </w:r>
      <w:r w:rsidR="00397E37" w:rsidRPr="00397E37">
        <w:t>ō</w:t>
      </w:r>
      <w:r w:rsidR="00F8040B">
        <w:t>gai</w:t>
      </w:r>
      <w:proofErr w:type="spellEnd"/>
      <w:r w:rsidR="00F8040B">
        <w:t xml:space="preserve"> </w:t>
      </w:r>
      <w:proofErr w:type="spellStart"/>
      <w:r w:rsidR="00F8040B">
        <w:t>Genron</w:t>
      </w:r>
      <w:proofErr w:type="spellEnd"/>
      <w:r w:rsidR="00920995">
        <w:t>”</w:t>
      </w:r>
      <w:r w:rsidR="00516B45" w:rsidRPr="008D7E86">
        <w:t xml:space="preserve"> </w:t>
      </w:r>
      <w:r>
        <w:t xml:space="preserve">teach </w:t>
      </w:r>
      <w:r w:rsidR="00516B45" w:rsidRPr="008D7E86">
        <w:t>us about restoring the status of tacit knowledge and responding to individual environmental problems, especially as we confront the environmental state?</w:t>
      </w:r>
    </w:p>
    <w:p w14:paraId="7274A4A6" w14:textId="655B819D" w:rsidR="0026666F" w:rsidRPr="008D7E86" w:rsidRDefault="00516B45" w:rsidP="00946123">
      <w:r w:rsidRPr="008D7E86">
        <w:t xml:space="preserve">The first is to </w:t>
      </w:r>
      <w:r w:rsidR="007B619A">
        <w:t>shift</w:t>
      </w:r>
      <w:r w:rsidR="007B619A" w:rsidRPr="008D7E86">
        <w:t xml:space="preserve"> </w:t>
      </w:r>
      <w:r w:rsidRPr="008D7E86">
        <w:t xml:space="preserve">the </w:t>
      </w:r>
      <w:r w:rsidR="007B619A">
        <w:t>overarching focus</w:t>
      </w:r>
      <w:r w:rsidR="007B619A" w:rsidRPr="008D7E86">
        <w:t xml:space="preserve"> </w:t>
      </w:r>
      <w:r w:rsidRPr="008D7E86">
        <w:t xml:space="preserve">of academia </w:t>
      </w:r>
      <w:r w:rsidR="002E4E93">
        <w:t xml:space="preserve">away </w:t>
      </w:r>
      <w:r w:rsidRPr="008D7E86">
        <w:t>from</w:t>
      </w:r>
      <w:r w:rsidR="0084103E">
        <w:t xml:space="preserve"> mere</w:t>
      </w:r>
      <w:r w:rsidR="002E4E93">
        <w:t>ly</w:t>
      </w:r>
      <w:r w:rsidR="0084103E">
        <w:t xml:space="preserve"> </w:t>
      </w:r>
      <w:r w:rsidRPr="008D7E86">
        <w:t>reproduci</w:t>
      </w:r>
      <w:r w:rsidR="002E4E93">
        <w:t>ng</w:t>
      </w:r>
      <w:r w:rsidRPr="008D7E86">
        <w:t xml:space="preserve"> individual sciences to </w:t>
      </w:r>
      <w:r w:rsidR="007B619A">
        <w:t xml:space="preserve">becoming </w:t>
      </w:r>
      <w:r w:rsidRPr="008D7E86">
        <w:t xml:space="preserve">a </w:t>
      </w:r>
      <w:r w:rsidR="007B619A">
        <w:t xml:space="preserve">more </w:t>
      </w:r>
      <w:r w:rsidRPr="008D7E86">
        <w:t xml:space="preserve">problem-oriented </w:t>
      </w:r>
      <w:r w:rsidR="00F8040B">
        <w:t>endeavor</w:t>
      </w:r>
      <w:r w:rsidRPr="008D7E86">
        <w:t xml:space="preserve">. </w:t>
      </w:r>
      <w:r w:rsidR="004A22C8">
        <w:t xml:space="preserve">Ui reminds us that the </w:t>
      </w:r>
      <w:r w:rsidR="002E4E93">
        <w:t xml:space="preserve">stratification </w:t>
      </w:r>
      <w:r w:rsidR="004A22C8">
        <w:t xml:space="preserve">of knowledge was not </w:t>
      </w:r>
      <w:r w:rsidR="00D6597C">
        <w:rPr>
          <w:rFonts w:hint="eastAsia"/>
        </w:rPr>
        <w:t>a</w:t>
      </w:r>
      <w:r w:rsidR="00D6597C">
        <w:t xml:space="preserve"> </w:t>
      </w:r>
      <w:r w:rsidR="004A22C8">
        <w:t>sudden</w:t>
      </w:r>
      <w:r w:rsidR="00D6597C">
        <w:t xml:space="preserve"> creation </w:t>
      </w:r>
      <w:r w:rsidR="004A22C8">
        <w:t>by those in elected or bureaucratic positions in government. The whole of society, and particularly the education system</w:t>
      </w:r>
      <w:r w:rsidR="002E4E93">
        <w:t>,</w:t>
      </w:r>
      <w:r w:rsidR="004A22C8">
        <w:t xml:space="preserve"> is connected, and the knowledge that </w:t>
      </w:r>
      <w:r w:rsidR="0042323E">
        <w:t xml:space="preserve">the </w:t>
      </w:r>
      <w:r w:rsidR="004A22C8">
        <w:t xml:space="preserve">government draws upon is provided by universities. </w:t>
      </w:r>
      <w:r w:rsidRPr="008D7E86">
        <w:t>The fragmentation of knowledge</w:t>
      </w:r>
      <w:r w:rsidR="004A22C8">
        <w:t>, starting in the academy,</w:t>
      </w:r>
      <w:r w:rsidRPr="008D7E86">
        <w:t xml:space="preserve"> is one </w:t>
      </w:r>
      <w:r w:rsidR="0084103E">
        <w:t xml:space="preserve">cause </w:t>
      </w:r>
      <w:r w:rsidR="009F3515">
        <w:t xml:space="preserve">of </w:t>
      </w:r>
      <w:r w:rsidR="0084103E">
        <w:t>inversion</w:t>
      </w:r>
      <w:r w:rsidRPr="008D7E86">
        <w:t xml:space="preserve">. </w:t>
      </w:r>
      <w:r w:rsidR="006B2992">
        <w:t>P</w:t>
      </w:r>
      <w:r w:rsidRPr="008D7E86">
        <w:t>roblem-oriented knowledge</w:t>
      </w:r>
      <w:r w:rsidR="007B619A">
        <w:t>—</w:t>
      </w:r>
      <w:r w:rsidR="00071B96">
        <w:t>or problem-discovery</w:t>
      </w:r>
      <w:r w:rsidR="007B619A">
        <w:t>-</w:t>
      </w:r>
      <w:r w:rsidR="00071B96">
        <w:t>oriented</w:t>
      </w:r>
      <w:r w:rsidR="007B619A">
        <w:t>—</w:t>
      </w:r>
      <w:r w:rsidR="00071B96">
        <w:t xml:space="preserve">to be more precise, </w:t>
      </w:r>
      <w:r w:rsidRPr="008D7E86">
        <w:t xml:space="preserve">can be evaluated not in terms of the number of </w:t>
      </w:r>
      <w:r w:rsidR="002E4E93">
        <w:t xml:space="preserve">scientific papers </w:t>
      </w:r>
      <w:r w:rsidR="0091112E">
        <w:t>publi</w:t>
      </w:r>
      <w:r w:rsidR="002E4E93">
        <w:t>shed</w:t>
      </w:r>
      <w:r w:rsidR="0091112E">
        <w:t xml:space="preserve"> in </w:t>
      </w:r>
      <w:r w:rsidRPr="008D7E86">
        <w:t xml:space="preserve">prestigious journals but in terms of its concrete contribution </w:t>
      </w:r>
      <w:r w:rsidR="009F3515">
        <w:t>to</w:t>
      </w:r>
      <w:r w:rsidRPr="008D7E86">
        <w:t xml:space="preserve"> </w:t>
      </w:r>
      <w:r w:rsidR="006B2992">
        <w:t xml:space="preserve">the </w:t>
      </w:r>
      <w:r w:rsidR="006401DA" w:rsidRPr="008D7E86">
        <w:t>diagno</w:t>
      </w:r>
      <w:r w:rsidR="006401DA">
        <w:t>sis and solutions to real-world problems</w:t>
      </w:r>
      <w:r w:rsidR="007B619A">
        <w:t>.</w:t>
      </w:r>
      <w:r w:rsidR="00D6597C">
        <w:rPr>
          <w:rStyle w:val="FootnoteReference"/>
        </w:rPr>
        <w:footnoteReference w:id="13"/>
      </w:r>
      <w:r w:rsidRPr="008D7E86">
        <w:t xml:space="preserve"> </w:t>
      </w:r>
      <w:r w:rsidR="007B619A">
        <w:t>However, w</w:t>
      </w:r>
      <w:r w:rsidR="00071B96">
        <w:t xml:space="preserve">e </w:t>
      </w:r>
      <w:r w:rsidR="007B619A">
        <w:t xml:space="preserve">also </w:t>
      </w:r>
      <w:r w:rsidR="00071B96">
        <w:t>know</w:t>
      </w:r>
      <w:r w:rsidR="004224CE">
        <w:t xml:space="preserve"> </w:t>
      </w:r>
      <w:r w:rsidR="0042323E">
        <w:t>that</w:t>
      </w:r>
      <w:r w:rsidR="00071B96">
        <w:t xml:space="preserve"> much of the “problem-oriented research” </w:t>
      </w:r>
      <w:r w:rsidR="008220AC">
        <w:t xml:space="preserve">overwrites what has been identified as “problems” which tend to </w:t>
      </w:r>
      <w:r w:rsidR="00071B96">
        <w:t>serv</w:t>
      </w:r>
      <w:r w:rsidR="008220AC">
        <w:t xml:space="preserve">e the </w:t>
      </w:r>
      <w:r w:rsidR="00071B96">
        <w:t xml:space="preserve">industry that already </w:t>
      </w:r>
      <w:r w:rsidR="0042323E">
        <w:t>has</w:t>
      </w:r>
      <w:r w:rsidR="00071B96">
        <w:t xml:space="preserve"> solutions</w:t>
      </w:r>
      <w:r w:rsidR="008220AC">
        <w:t xml:space="preserve"> to offer</w:t>
      </w:r>
      <w:r w:rsidR="00071B96">
        <w:t xml:space="preserve">. It is thus </w:t>
      </w:r>
      <w:r w:rsidR="000B5C85">
        <w:t xml:space="preserve">essential </w:t>
      </w:r>
      <w:r w:rsidR="006B2992">
        <w:t xml:space="preserve">to ensure that such problem-oriented knowledge is not restricted to </w:t>
      </w:r>
      <w:r w:rsidR="006B2992">
        <w:lastRenderedPageBreak/>
        <w:t xml:space="preserve">the </w:t>
      </w:r>
      <w:r w:rsidR="000B5C85">
        <w:t xml:space="preserve">resolution </w:t>
      </w:r>
      <w:r w:rsidR="006B2992">
        <w:t>of technical problem</w:t>
      </w:r>
      <w:r w:rsidR="002E4E93">
        <w:t>s</w:t>
      </w:r>
      <w:r w:rsidR="006B2992">
        <w:t>. P</w:t>
      </w:r>
      <w:r w:rsidRPr="008D7E86">
        <w:t xml:space="preserve">ractical </w:t>
      </w:r>
      <w:r w:rsidR="006401DA">
        <w:t>wisdom</w:t>
      </w:r>
      <w:r w:rsidR="006B2992">
        <w:t xml:space="preserve"> is also needed, as is consideration of</w:t>
      </w:r>
      <w:r w:rsidRPr="008D7E86">
        <w:t xml:space="preserve"> </w:t>
      </w:r>
      <w:r w:rsidR="006401DA">
        <w:t xml:space="preserve">the </w:t>
      </w:r>
      <w:r w:rsidRPr="008D7E86">
        <w:t xml:space="preserve">vulnerable groups </w:t>
      </w:r>
      <w:r w:rsidR="0042323E">
        <w:t xml:space="preserve">that </w:t>
      </w:r>
      <w:r w:rsidRPr="008D7E86">
        <w:t xml:space="preserve">suffer </w:t>
      </w:r>
      <w:r w:rsidR="006401DA">
        <w:t>the most</w:t>
      </w:r>
      <w:r w:rsidRPr="008D7E86">
        <w:t xml:space="preserve">. To </w:t>
      </w:r>
      <w:r w:rsidR="006401DA">
        <w:t>guide</w:t>
      </w:r>
      <w:r w:rsidRPr="008D7E86">
        <w:t xml:space="preserve"> academia toward such issues, we </w:t>
      </w:r>
      <w:r w:rsidR="000B5C85">
        <w:t>need</w:t>
      </w:r>
      <w:r w:rsidRPr="008D7E86">
        <w:t xml:space="preserve"> to look at modifying the entire reward system in academi</w:t>
      </w:r>
      <w:r w:rsidR="006401DA">
        <w:t>a</w:t>
      </w:r>
      <w:r w:rsidRPr="008D7E86">
        <w:t>.</w:t>
      </w:r>
    </w:p>
    <w:p w14:paraId="37A3B437" w14:textId="64FAD332" w:rsidR="0026666F" w:rsidRPr="008D7E86" w:rsidRDefault="00516B45" w:rsidP="00946123">
      <w:r w:rsidRPr="008D7E86">
        <w:t xml:space="preserve">Second, we must actively </w:t>
      </w:r>
      <w:r w:rsidR="004A22C8">
        <w:t>recognize</w:t>
      </w:r>
      <w:r w:rsidR="004A22C8" w:rsidRPr="008D7E86">
        <w:t xml:space="preserve"> </w:t>
      </w:r>
      <w:r w:rsidRPr="008D7E86">
        <w:t xml:space="preserve">the domain of tacit knowledge and establish institutions that support its </w:t>
      </w:r>
      <w:r w:rsidR="00397E37">
        <w:rPr>
          <w:rFonts w:hint="eastAsia"/>
        </w:rPr>
        <w:t>r</w:t>
      </w:r>
      <w:r w:rsidR="00397E37">
        <w:t xml:space="preserve">epresentation, communication, and </w:t>
      </w:r>
      <w:r w:rsidRPr="008D7E86">
        <w:t>utilization</w:t>
      </w:r>
      <w:r w:rsidR="00397E37">
        <w:t xml:space="preserve"> (Meisch et al. 2022)</w:t>
      </w:r>
      <w:r w:rsidRPr="008D7E86">
        <w:t xml:space="preserve">. Since tacit knowledge is knowledge inherent in individuals, it is difficult to reproduce it systematically in the form of written manuals. </w:t>
      </w:r>
      <w:r w:rsidR="002064B6">
        <w:t>T</w:t>
      </w:r>
      <w:r w:rsidRPr="008D7E86">
        <w:t xml:space="preserve">acit knowledge can </w:t>
      </w:r>
      <w:r w:rsidR="00C67490">
        <w:t xml:space="preserve">be </w:t>
      </w:r>
      <w:r w:rsidR="002064B6">
        <w:t>strengthened by establishing a connecting platform</w:t>
      </w:r>
      <w:r w:rsidRPr="008D7E86">
        <w:t xml:space="preserve">. For example, </w:t>
      </w:r>
      <w:r w:rsidR="000B5C85">
        <w:t>“</w:t>
      </w:r>
      <w:r w:rsidR="004A22C8">
        <w:t xml:space="preserve">crowd-sourced </w:t>
      </w:r>
      <w:r w:rsidRPr="008D7E86">
        <w:t>knowledge,</w:t>
      </w:r>
      <w:r w:rsidR="000B5C85">
        <w:t>”</w:t>
      </w:r>
      <w:r w:rsidRPr="008D7E86">
        <w:t xml:space="preserve"> in which a specific problem is posed on the Internet and knowledge useful for solving the problem is gathered from all angles, has the potential to solidify the knowledge of the weak, </w:t>
      </w:r>
      <w:r w:rsidR="00255184">
        <w:t xml:space="preserve">which </w:t>
      </w:r>
      <w:r w:rsidRPr="008D7E86">
        <w:t>includ</w:t>
      </w:r>
      <w:r w:rsidR="00255184">
        <w:t>es</w:t>
      </w:r>
      <w:r w:rsidRPr="008D7E86">
        <w:t xml:space="preserve"> tacit knowledge in a new form of solidarity, even though it contains noise. </w:t>
      </w:r>
      <w:r w:rsidR="004A22C8">
        <w:t xml:space="preserve">Its usage seems particularly well-suited to </w:t>
      </w:r>
      <w:r w:rsidRPr="008D7E86">
        <w:t>rural villages in developing countries</w:t>
      </w:r>
      <w:r w:rsidR="004A22C8">
        <w:t>, where the usage of smartphones is rapidly increasing</w:t>
      </w:r>
      <w:r w:rsidRPr="008D7E86">
        <w:t>.</w:t>
      </w:r>
    </w:p>
    <w:p w14:paraId="694A79D0" w14:textId="77777777" w:rsidR="0032391B" w:rsidRDefault="004A22C8" w:rsidP="00946123">
      <w:r>
        <w:t>The t</w:t>
      </w:r>
      <w:r w:rsidR="00516B45" w:rsidRPr="008D7E86">
        <w:t xml:space="preserve">hird </w:t>
      </w:r>
      <w:r>
        <w:t xml:space="preserve">is </w:t>
      </w:r>
      <w:r w:rsidR="00516B45" w:rsidRPr="008D7E86">
        <w:t xml:space="preserve">to break the monopoly of </w:t>
      </w:r>
      <w:r w:rsidR="00C67490">
        <w:t xml:space="preserve">scientific </w:t>
      </w:r>
      <w:r w:rsidR="00516B45" w:rsidRPr="008D7E86">
        <w:t xml:space="preserve">knowledge and </w:t>
      </w:r>
      <w:r>
        <w:t xml:space="preserve">promote the value of </w:t>
      </w:r>
      <w:r w:rsidR="00516B45" w:rsidRPr="008D7E86">
        <w:t xml:space="preserve">tacit knowledge. This will include preventing techne (technology) from </w:t>
      </w:r>
      <w:r w:rsidR="00C67490">
        <w:t>g</w:t>
      </w:r>
      <w:r>
        <w:t>r</w:t>
      </w:r>
      <w:r w:rsidR="00C67490">
        <w:t>o</w:t>
      </w:r>
      <w:r>
        <w:t>w</w:t>
      </w:r>
      <w:r w:rsidR="00C67490">
        <w:t>ing out of control</w:t>
      </w:r>
      <w:r w:rsidR="00516B45" w:rsidRPr="008D7E86">
        <w:t xml:space="preserve"> (</w:t>
      </w:r>
      <w:r w:rsidR="00516B45" w:rsidRPr="00EB6761">
        <w:t>Tsukamoto 2008</w:t>
      </w:r>
      <w:r w:rsidR="00516B45" w:rsidRPr="007F3DE1">
        <w:t xml:space="preserve">). It is also </w:t>
      </w:r>
      <w:r w:rsidR="008F71AB" w:rsidRPr="007F3DE1">
        <w:t xml:space="preserve">valuable </w:t>
      </w:r>
      <w:r w:rsidR="00516B45" w:rsidRPr="007F3DE1">
        <w:t xml:space="preserve">to </w:t>
      </w:r>
      <w:r w:rsidRPr="007F3DE1">
        <w:t xml:space="preserve">recognize a role for </w:t>
      </w:r>
      <w:r w:rsidR="00516B45" w:rsidRPr="007F3DE1">
        <w:t xml:space="preserve">people who </w:t>
      </w:r>
      <w:r w:rsidR="007F3DE1" w:rsidRPr="007F3DE1">
        <w:t xml:space="preserve">appreciate the value of </w:t>
      </w:r>
      <w:r w:rsidRPr="007F3DE1">
        <w:t xml:space="preserve">both </w:t>
      </w:r>
      <w:r w:rsidR="00516B45" w:rsidRPr="007F3DE1">
        <w:t xml:space="preserve">tacit </w:t>
      </w:r>
      <w:r w:rsidRPr="007F3DE1">
        <w:t>and form</w:t>
      </w:r>
      <w:r w:rsidR="007F3DE1" w:rsidRPr="007F3DE1">
        <w:t>al</w:t>
      </w:r>
      <w:r w:rsidRPr="007F3DE1">
        <w:t xml:space="preserve"> scientific </w:t>
      </w:r>
      <w:r w:rsidR="00516B45" w:rsidRPr="007F3DE1">
        <w:t xml:space="preserve">knowledge </w:t>
      </w:r>
      <w:r w:rsidR="007F3DE1" w:rsidRPr="007F3DE1">
        <w:t xml:space="preserve">and </w:t>
      </w:r>
      <w:r w:rsidR="00516B45" w:rsidRPr="007F3DE1">
        <w:t xml:space="preserve">can bridge the gap </w:t>
      </w:r>
      <w:r w:rsidRPr="007F3DE1">
        <w:t>between the two</w:t>
      </w:r>
      <w:r w:rsidR="007F3DE1" w:rsidRPr="007F3DE1">
        <w:t xml:space="preserve"> </w:t>
      </w:r>
      <w:r w:rsidR="000B5C85">
        <w:t>b</w:t>
      </w:r>
      <w:r w:rsidR="007F3DE1" w:rsidRPr="007F3DE1">
        <w:t xml:space="preserve">ecause tacit knowledge </w:t>
      </w:r>
      <w:r w:rsidR="004224CE">
        <w:t>provides</w:t>
      </w:r>
      <w:r w:rsidR="007F3DE1" w:rsidRPr="007F3DE1">
        <w:t xml:space="preserve"> meaning to scientific knowledge in a particular context (</w:t>
      </w:r>
      <w:r w:rsidR="003A5C40">
        <w:t>Mitchell, Harvey and Wood</w:t>
      </w:r>
      <w:r w:rsidR="007F3DE1" w:rsidRPr="007F3DE1">
        <w:t xml:space="preserve"> 2022)</w:t>
      </w:r>
      <w:r w:rsidR="00516B45" w:rsidRPr="007F3DE1">
        <w:t>.</w:t>
      </w:r>
      <w:r w:rsidR="00516B45" w:rsidRPr="008D7E86">
        <w:t xml:space="preserve"> Ui points out the </w:t>
      </w:r>
      <w:r w:rsidR="000B5C85">
        <w:t>“</w:t>
      </w:r>
      <w:r w:rsidR="00516B45" w:rsidRPr="008D7E86">
        <w:t>irony that the universalization of pollution has resulted in the breaking of the monopoly of knowledge</w:t>
      </w:r>
      <w:r w:rsidR="000B5C85">
        <w:t>”</w:t>
      </w:r>
      <w:r w:rsidR="00516B45" w:rsidRPr="008D7E86">
        <w:t xml:space="preserve"> (Ui 2000</w:t>
      </w:r>
      <w:r w:rsidR="000B5C85">
        <w:t>,</w:t>
      </w:r>
      <w:r w:rsidR="00516B45" w:rsidRPr="008D7E86">
        <w:t xml:space="preserve"> 65)</w:t>
      </w:r>
      <w:r w:rsidR="00C753F9">
        <w:t>.</w:t>
      </w:r>
      <w:r w:rsidR="00516B45" w:rsidRPr="008D7E86">
        <w:t xml:space="preserve"> </w:t>
      </w:r>
      <w:r w:rsidR="00C753F9">
        <w:t xml:space="preserve">He </w:t>
      </w:r>
      <w:r w:rsidR="00516B45" w:rsidRPr="008D7E86">
        <w:t>not</w:t>
      </w:r>
      <w:r w:rsidR="00C753F9">
        <w:t>es</w:t>
      </w:r>
      <w:r w:rsidR="00516B45" w:rsidRPr="008D7E86">
        <w:t xml:space="preserve"> the example of the 1996 Suginami disease</w:t>
      </w:r>
      <w:r w:rsidR="00171584">
        <w:t xml:space="preserve">, </w:t>
      </w:r>
      <w:r w:rsidR="00C753F9">
        <w:t xml:space="preserve">which was </w:t>
      </w:r>
      <w:r w:rsidR="00171584">
        <w:t>caused by exposure to emissions from a waste processing plant.</w:t>
      </w:r>
      <w:r w:rsidR="00516B45" w:rsidRPr="008D7E86">
        <w:t xml:space="preserve"> </w:t>
      </w:r>
      <w:r w:rsidR="00171584">
        <w:t>O</w:t>
      </w:r>
      <w:r w:rsidR="00516B45" w:rsidRPr="008D7E86">
        <w:t xml:space="preserve">ne of the victims happened to be an expert in plastic </w:t>
      </w:r>
      <w:r w:rsidR="00D6597C">
        <w:t xml:space="preserve">material </w:t>
      </w:r>
      <w:r w:rsidR="00171584">
        <w:t xml:space="preserve">and could </w:t>
      </w:r>
      <w:r w:rsidR="00516B45" w:rsidRPr="008D7E86">
        <w:t>identif</w:t>
      </w:r>
      <w:r w:rsidR="00171584">
        <w:t>y</w:t>
      </w:r>
      <w:r w:rsidR="00516B45" w:rsidRPr="008D7E86">
        <w:t xml:space="preserve"> the caus</w:t>
      </w:r>
      <w:r w:rsidR="00C67490">
        <w:t>e on the spot</w:t>
      </w:r>
      <w:r w:rsidR="00516B45" w:rsidRPr="008D7E86">
        <w:t xml:space="preserve">. </w:t>
      </w:r>
      <w:r w:rsidR="00171584">
        <w:t>S</w:t>
      </w:r>
      <w:r w:rsidR="00516B45" w:rsidRPr="008D7E86">
        <w:t xml:space="preserve">ocial science </w:t>
      </w:r>
      <w:r w:rsidR="00171584">
        <w:t xml:space="preserve">could </w:t>
      </w:r>
      <w:r w:rsidR="00516B45" w:rsidRPr="008D7E86">
        <w:t xml:space="preserve">study </w:t>
      </w:r>
      <w:r w:rsidR="00171584">
        <w:t xml:space="preserve">how </w:t>
      </w:r>
      <w:r w:rsidR="00516B45" w:rsidRPr="008D7E86">
        <w:t xml:space="preserve">such </w:t>
      </w:r>
      <w:r w:rsidR="00171584">
        <w:t xml:space="preserve">dormant </w:t>
      </w:r>
      <w:r w:rsidR="00516B45" w:rsidRPr="008D7E86">
        <w:t>knowledge could be discovered and utilized at the right time.</w:t>
      </w:r>
    </w:p>
    <w:p w14:paraId="2A26E587" w14:textId="77777777" w:rsidR="0094548A" w:rsidRDefault="0094548A" w:rsidP="00946123"/>
    <w:p w14:paraId="3415D8C8" w14:textId="77777777" w:rsidR="0032391B" w:rsidRDefault="005F0536" w:rsidP="0094548A">
      <w:pPr>
        <w:pStyle w:val="Heading2"/>
      </w:pPr>
      <w:r>
        <w:t>Transforming science into empathetic knowledge</w:t>
      </w:r>
    </w:p>
    <w:p w14:paraId="3D224188" w14:textId="0BFAEAFE" w:rsidR="00034A7F" w:rsidRDefault="00034A7F" w:rsidP="00946123">
      <w:r w:rsidRPr="00034A7F">
        <w:t>In a world of increasing uncertainty, what form of knowledge is useful in addressing environmental issues? As we look into the history of the collusion and exploitation of academia by those in power, we can learn much from Ui</w:t>
      </w:r>
      <w:r w:rsidR="00C753F9">
        <w:t>’</w:t>
      </w:r>
      <w:r w:rsidRPr="00034A7F">
        <w:t xml:space="preserve">s struggle to empower </w:t>
      </w:r>
      <w:r w:rsidR="00C753F9">
        <w:t xml:space="preserve">people without a </w:t>
      </w:r>
      <w:r w:rsidRPr="00034A7F">
        <w:t>voice.</w:t>
      </w:r>
      <w:r w:rsidR="00015FF1">
        <w:t xml:space="preserve"> We need to question the role of the university in supporting</w:t>
      </w:r>
      <w:r w:rsidR="00015FF1" w:rsidRPr="00034A7F">
        <w:t xml:space="preserve"> the government</w:t>
      </w:r>
      <w:r w:rsidR="005A446D">
        <w:t>—</w:t>
      </w:r>
      <w:r w:rsidR="008F71AB">
        <w:t>or increasingly, the market economy</w:t>
      </w:r>
      <w:r w:rsidR="00C753F9">
        <w:t>—</w:t>
      </w:r>
      <w:r w:rsidR="00015FF1">
        <w:t xml:space="preserve">to </w:t>
      </w:r>
      <w:r w:rsidR="00015FF1" w:rsidRPr="00034A7F">
        <w:t>provid</w:t>
      </w:r>
      <w:r w:rsidR="00015FF1">
        <w:t>e</w:t>
      </w:r>
      <w:r w:rsidR="00015FF1" w:rsidRPr="00034A7F">
        <w:t xml:space="preserve"> scientific </w:t>
      </w:r>
      <w:r w:rsidR="00015FF1">
        <w:t>“</w:t>
      </w:r>
      <w:r w:rsidR="00015FF1" w:rsidRPr="00034A7F">
        <w:t>solutions.</w:t>
      </w:r>
      <w:r w:rsidR="00015FF1">
        <w:t>”</w:t>
      </w:r>
    </w:p>
    <w:p w14:paraId="51687786" w14:textId="77777777" w:rsidR="0032391B" w:rsidRDefault="00516B45" w:rsidP="00946123">
      <w:r w:rsidRPr="008D7E86">
        <w:t xml:space="preserve">Looking back on his battles against </w:t>
      </w:r>
      <w:r w:rsidR="00375371">
        <w:t xml:space="preserve">the </w:t>
      </w:r>
      <w:r w:rsidR="00DC02C7">
        <w:t xml:space="preserve">political </w:t>
      </w:r>
      <w:r w:rsidRPr="008D7E86">
        <w:t>power</w:t>
      </w:r>
      <w:r w:rsidR="00DC02C7">
        <w:t xml:space="preserve"> that invited inaction and inversion</w:t>
      </w:r>
      <w:r w:rsidR="00D31295">
        <w:t xml:space="preserve"> in various forms</w:t>
      </w:r>
      <w:r w:rsidRPr="008D7E86">
        <w:t xml:space="preserve">, Ui </w:t>
      </w:r>
      <w:r w:rsidR="009423C4">
        <w:t xml:space="preserve">draws attention to the failure of his studies to secure </w:t>
      </w:r>
      <w:r w:rsidR="00DC02C7">
        <w:t xml:space="preserve">his </w:t>
      </w:r>
      <w:r w:rsidR="00AA449F">
        <w:t>promotion</w:t>
      </w:r>
      <w:r w:rsidR="009423C4">
        <w:t xml:space="preserve"> at the University of Tokyo. He remained </w:t>
      </w:r>
      <w:r w:rsidR="00C753F9">
        <w:t>“</w:t>
      </w:r>
      <w:r w:rsidR="009423C4">
        <w:t>almost a faculty member</w:t>
      </w:r>
      <w:r w:rsidR="00C753F9">
        <w:t>”</w:t>
      </w:r>
      <w:r w:rsidR="009423C4">
        <w:t xml:space="preserve"> for twenty years, despite </w:t>
      </w:r>
      <w:r w:rsidR="002E1A04">
        <w:rPr>
          <w:rFonts w:hint="eastAsia"/>
        </w:rPr>
        <w:t>h</w:t>
      </w:r>
      <w:r w:rsidR="002E1A04">
        <w:t xml:space="preserve">is </w:t>
      </w:r>
      <w:r w:rsidR="00C753F9">
        <w:t xml:space="preserve">enormous </w:t>
      </w:r>
      <w:r w:rsidR="002E1A04">
        <w:t>contribution</w:t>
      </w:r>
      <w:r w:rsidR="00C753F9">
        <w:t>s</w:t>
      </w:r>
      <w:r w:rsidR="00D6597C">
        <w:t xml:space="preserve"> </w:t>
      </w:r>
      <w:r w:rsidR="00C753F9">
        <w:t xml:space="preserve">that helped </w:t>
      </w:r>
      <w:r w:rsidR="00D6597C">
        <w:t>to</w:t>
      </w:r>
      <w:r w:rsidR="002E1A04">
        <w:t xml:space="preserve"> </w:t>
      </w:r>
      <w:r w:rsidR="00C753F9">
        <w:t xml:space="preserve">bridge </w:t>
      </w:r>
      <w:r w:rsidR="009423C4">
        <w:t xml:space="preserve">science and tacit knowledge </w:t>
      </w:r>
      <w:r w:rsidR="00C753F9">
        <w:t xml:space="preserve">while also skillfully </w:t>
      </w:r>
      <w:r w:rsidR="009423C4">
        <w:t xml:space="preserve">communicating </w:t>
      </w:r>
      <w:r w:rsidR="009423C4" w:rsidRPr="009423C4">
        <w:t>episteme</w:t>
      </w:r>
      <w:r w:rsidR="009423C4">
        <w:t>,</w:t>
      </w:r>
      <w:r w:rsidR="009423C4" w:rsidRPr="009423C4">
        <w:t xml:space="preserve"> phronesis</w:t>
      </w:r>
      <w:r w:rsidR="009423C4">
        <w:t>, and perhaps a broader sense of</w:t>
      </w:r>
      <w:r w:rsidR="009423C4" w:rsidRPr="009423C4">
        <w:t xml:space="preserve"> </w:t>
      </w:r>
      <w:r w:rsidR="009423C4">
        <w:t xml:space="preserve">techne with </w:t>
      </w:r>
      <w:r w:rsidR="00375371">
        <w:t xml:space="preserve">members of the </w:t>
      </w:r>
      <w:r w:rsidR="002E1A04">
        <w:t>public</w:t>
      </w:r>
      <w:r w:rsidRPr="008D7E86">
        <w:t xml:space="preserve">. </w:t>
      </w:r>
    </w:p>
    <w:p w14:paraId="5416EB3C" w14:textId="10B380FF" w:rsidR="00516B45" w:rsidRPr="008D7E86" w:rsidRDefault="004B7604" w:rsidP="0094548A">
      <w:pPr>
        <w:pStyle w:val="Quote"/>
      </w:pPr>
      <w:r w:rsidRPr="001739CE">
        <w:t>If you remove the privilege</w:t>
      </w:r>
      <w:r w:rsidR="00C753F9" w:rsidRPr="001739CE">
        <w:t>s</w:t>
      </w:r>
      <w:r w:rsidRPr="001739CE">
        <w:t xml:space="preserve"> and promotion</w:t>
      </w:r>
      <w:r w:rsidR="00C753F9" w:rsidRPr="001739CE">
        <w:t>al</w:t>
      </w:r>
      <w:r w:rsidRPr="001739CE">
        <w:t xml:space="preserve"> opportunities </w:t>
      </w:r>
      <w:r w:rsidR="00C753F9" w:rsidRPr="001739CE">
        <w:t>associated with</w:t>
      </w:r>
      <w:r w:rsidR="000C73D6" w:rsidRPr="001739CE">
        <w:t xml:space="preserve"> </w:t>
      </w:r>
      <w:r w:rsidR="00C753F9" w:rsidRPr="001739CE">
        <w:t xml:space="preserve">what </w:t>
      </w:r>
      <w:r w:rsidRPr="001739CE">
        <w:t xml:space="preserve">the university </w:t>
      </w:r>
      <w:r w:rsidR="000C73D6" w:rsidRPr="001739CE">
        <w:t>offers, what remain</w:t>
      </w:r>
      <w:r w:rsidR="00C753F9" w:rsidRPr="001739CE">
        <w:t>s</w:t>
      </w:r>
      <w:r w:rsidR="000C73D6" w:rsidRPr="001739CE">
        <w:t xml:space="preserve">? </w:t>
      </w:r>
      <w:r w:rsidR="00EE4913" w:rsidRPr="001739CE">
        <w:t xml:space="preserve">Pertaining to pollution, we come to the realization that </w:t>
      </w:r>
      <w:r w:rsidR="006F02B3" w:rsidRPr="001739CE">
        <w:t xml:space="preserve">not much </w:t>
      </w:r>
      <w:r w:rsidR="001739CE" w:rsidRPr="001739CE">
        <w:t>has been done to limit the activities of polluters</w:t>
      </w:r>
      <w:r w:rsidR="00C753F9" w:rsidRPr="001739CE">
        <w:t>,</w:t>
      </w:r>
      <w:r w:rsidR="006F02B3">
        <w:t xml:space="preserve"> such as technical measures to reduce pollution or develop</w:t>
      </w:r>
      <w:r w:rsidR="00C753F9">
        <w:t xml:space="preserve"> alternative</w:t>
      </w:r>
      <w:r w:rsidR="006F02B3">
        <w:t xml:space="preserve"> measures</w:t>
      </w:r>
      <w:r w:rsidR="00C753F9">
        <w:t>.</w:t>
      </w:r>
      <w:r w:rsidR="006F02B3">
        <w:t xml:space="preserve"> </w:t>
      </w:r>
      <w:r w:rsidR="00C753F9">
        <w:t>The</w:t>
      </w:r>
      <w:r w:rsidR="006F02B3">
        <w:t xml:space="preserve"> </w:t>
      </w:r>
      <w:r w:rsidR="00516B45" w:rsidRPr="008D7E86">
        <w:t xml:space="preserve">victims of pollution </w:t>
      </w:r>
      <w:r w:rsidR="008E5855">
        <w:t xml:space="preserve">have </w:t>
      </w:r>
      <w:r w:rsidR="006F02B3">
        <w:t>fought and</w:t>
      </w:r>
      <w:r w:rsidR="008E5855">
        <w:t xml:space="preserve"> sometimes</w:t>
      </w:r>
      <w:r w:rsidR="006F02B3">
        <w:t xml:space="preserve"> lost the</w:t>
      </w:r>
      <w:r w:rsidR="008E5855">
        <w:t>ir</w:t>
      </w:r>
      <w:r w:rsidR="006F02B3">
        <w:t xml:space="preserve"> battle</w:t>
      </w:r>
      <w:r w:rsidR="008E5855">
        <w:t>s</w:t>
      </w:r>
      <w:r w:rsidR="009B332F">
        <w:t>,</w:t>
      </w:r>
      <w:r w:rsidR="008E5855">
        <w:t xml:space="preserve"> while in other </w:t>
      </w:r>
      <w:r w:rsidR="006F02B3">
        <w:t>cases</w:t>
      </w:r>
      <w:r w:rsidR="008E5855">
        <w:t>,</w:t>
      </w:r>
      <w:r w:rsidR="006F02B3">
        <w:t xml:space="preserve"> they </w:t>
      </w:r>
      <w:r w:rsidR="008E5855">
        <w:t xml:space="preserve">have </w:t>
      </w:r>
      <w:r w:rsidR="006F02B3">
        <w:t xml:space="preserve">won, </w:t>
      </w:r>
      <w:r w:rsidR="008E5855">
        <w:t xml:space="preserve">leading to </w:t>
      </w:r>
      <w:r w:rsidR="006F02B3">
        <w:t xml:space="preserve">a common understanding </w:t>
      </w:r>
      <w:r w:rsidR="008E5855">
        <w:t>of the progress that has been achieved</w:t>
      </w:r>
      <w:r w:rsidR="006F02B3">
        <w:t xml:space="preserve"> in the </w:t>
      </w:r>
      <w:r w:rsidR="008E5855">
        <w:t>century-long</w:t>
      </w:r>
      <w:r w:rsidR="006F02B3">
        <w:t xml:space="preserve"> history of pollution</w:t>
      </w:r>
      <w:r w:rsidR="00C753F9">
        <w:t>. […]</w:t>
      </w:r>
      <w:r w:rsidR="006F02B3">
        <w:t xml:space="preserve"> </w:t>
      </w:r>
      <w:r w:rsidR="008E5855">
        <w:t>This collective</w:t>
      </w:r>
      <w:r w:rsidR="006F02B3">
        <w:t xml:space="preserve"> experience can </w:t>
      </w:r>
      <w:r w:rsidR="008E5855">
        <w:t xml:space="preserve">provide </w:t>
      </w:r>
      <w:r w:rsidR="006F02B3">
        <w:t xml:space="preserve">a new basis for scholarly discipline in our </w:t>
      </w:r>
      <w:r w:rsidR="008E5855">
        <w:t>universities</w:t>
      </w:r>
      <w:r w:rsidR="008E5855" w:rsidRPr="008D7E86">
        <w:t xml:space="preserve"> </w:t>
      </w:r>
      <w:r w:rsidR="00516B45" w:rsidRPr="008D7E86">
        <w:t>(Ui 1971</w:t>
      </w:r>
      <w:r w:rsidR="00C753F9">
        <w:t>,</w:t>
      </w:r>
      <w:r w:rsidR="00516B45" w:rsidRPr="008D7E86">
        <w:t xml:space="preserve"> 9</w:t>
      </w:r>
      <w:r w:rsidR="004F410E">
        <w:t>;</w:t>
      </w:r>
      <w:r w:rsidR="00520998">
        <w:t xml:space="preserve"> </w:t>
      </w:r>
      <w:r w:rsidR="00C753F9">
        <w:t xml:space="preserve">author </w:t>
      </w:r>
      <w:r w:rsidR="00520998">
        <w:t>translation</w:t>
      </w:r>
      <w:r w:rsidR="00516B45" w:rsidRPr="008D7E86">
        <w:t>).</w:t>
      </w:r>
    </w:p>
    <w:p w14:paraId="331CFD9E" w14:textId="03AC537B" w:rsidR="0026666F" w:rsidRPr="008D7E86" w:rsidRDefault="00516B45" w:rsidP="00946123">
      <w:r w:rsidRPr="008D7E86">
        <w:lastRenderedPageBreak/>
        <w:t xml:space="preserve">Historically, systematized formal knowledge has </w:t>
      </w:r>
      <w:r w:rsidR="00182287">
        <w:t xml:space="preserve">been </w:t>
      </w:r>
      <w:r w:rsidRPr="008D7E86">
        <w:t xml:space="preserve">privileged and </w:t>
      </w:r>
      <w:r w:rsidR="00182287">
        <w:t xml:space="preserve">has </w:t>
      </w:r>
      <w:r w:rsidRPr="008D7E86">
        <w:t xml:space="preserve">gradually neutralized alternative ways of knowing. We have taken up the concepts of efficiency and </w:t>
      </w:r>
      <w:r w:rsidR="00182287">
        <w:t>ecological modernization</w:t>
      </w:r>
      <w:r w:rsidRPr="008D7E86">
        <w:t xml:space="preserve">, which at first glance </w:t>
      </w:r>
      <w:r w:rsidR="008E5855" w:rsidRPr="008D7E86">
        <w:t xml:space="preserve">seem </w:t>
      </w:r>
      <w:r w:rsidRPr="008D7E86">
        <w:t xml:space="preserve">to have nothing to do with politics. Both take </w:t>
      </w:r>
      <w:r w:rsidR="008E5855">
        <w:t>“</w:t>
      </w:r>
      <w:r w:rsidR="00937F91">
        <w:t>governance</w:t>
      </w:r>
      <w:r w:rsidR="008E5855">
        <w:t>”</w:t>
      </w:r>
      <w:r w:rsidRPr="008D7E86">
        <w:t xml:space="preserve"> as their starting point, but if the status quo is the result of the accumulation of vested interests, then it is only natural that academia will become a </w:t>
      </w:r>
      <w:r w:rsidR="008E5855">
        <w:t>“</w:t>
      </w:r>
      <w:r w:rsidRPr="008D7E86">
        <w:t>discipline for the powerful</w:t>
      </w:r>
      <w:r w:rsidR="008E5855" w:rsidRPr="00B63804">
        <w:t>”</w:t>
      </w:r>
      <w:r w:rsidRPr="00B63804">
        <w:t xml:space="preserve"> (Ui 2014</w:t>
      </w:r>
      <w:r w:rsidR="008E5855">
        <w:t>,</w:t>
      </w:r>
      <w:r w:rsidRPr="008D7E86">
        <w:t xml:space="preserve"> 318). </w:t>
      </w:r>
      <w:r w:rsidR="008E5855">
        <w:t xml:space="preserve">In his </w:t>
      </w:r>
      <w:r w:rsidR="00182287">
        <w:t>unfinished theory of pollution</w:t>
      </w:r>
      <w:r w:rsidR="008E5855">
        <w:t>, Ui</w:t>
      </w:r>
      <w:r w:rsidR="00182287">
        <w:t xml:space="preserve"> was probably ultimately </w:t>
      </w:r>
      <w:r w:rsidRPr="008D7E86">
        <w:t>aim</w:t>
      </w:r>
      <w:r w:rsidR="00182287">
        <w:t>ing</w:t>
      </w:r>
      <w:r w:rsidRPr="008D7E86">
        <w:t xml:space="preserve"> for a direction of study that serves the </w:t>
      </w:r>
      <w:r w:rsidR="00182287">
        <w:t>vulnerable</w:t>
      </w:r>
      <w:r w:rsidRPr="008D7E86">
        <w:t>.</w:t>
      </w:r>
    </w:p>
    <w:p w14:paraId="4AE1B019" w14:textId="206218BB" w:rsidR="0026666F" w:rsidRPr="008D7E86" w:rsidRDefault="00C67490" w:rsidP="00946123">
      <w:r>
        <w:t>To</w:t>
      </w:r>
      <w:r w:rsidR="00516B45" w:rsidRPr="008D7E86">
        <w:t xml:space="preserve"> restore tacit knowledge, it is necessary to transform academia into a problem-oriented </w:t>
      </w:r>
      <w:r w:rsidR="00182287">
        <w:t xml:space="preserve">endeavor. To do this, </w:t>
      </w:r>
      <w:r w:rsidR="00516B45" w:rsidRPr="008D7E86">
        <w:t xml:space="preserve">it is necessary to have the knowledge </w:t>
      </w:r>
      <w:r w:rsidR="00182287">
        <w:t xml:space="preserve">and vocabulary </w:t>
      </w:r>
      <w:r w:rsidR="00516B45" w:rsidRPr="008D7E86">
        <w:t xml:space="preserve">to criticize arguments that neutralize tacit knowledge. </w:t>
      </w:r>
      <w:r w:rsidR="00375371">
        <w:t>The belief in the superiority of f</w:t>
      </w:r>
      <w:r w:rsidR="00516B45" w:rsidRPr="008D7E86">
        <w:t>ormal knowledge has ma</w:t>
      </w:r>
      <w:r w:rsidR="00375371">
        <w:t>de</w:t>
      </w:r>
      <w:r w:rsidR="00516B45" w:rsidRPr="008D7E86">
        <w:t xml:space="preserve"> the value of tacit knowledge difficult to see. </w:t>
      </w:r>
      <w:r w:rsidR="004405C2">
        <w:t>Yet t</w:t>
      </w:r>
      <w:r w:rsidR="004405C2" w:rsidRPr="008D7E86">
        <w:t>acit knowledge is not inferior</w:t>
      </w:r>
      <w:r w:rsidR="004405C2">
        <w:t xml:space="preserve">. </w:t>
      </w:r>
      <w:r w:rsidR="00516B45" w:rsidRPr="008D7E86">
        <w:t xml:space="preserve">A good doctor can look at the needs of the patient in front of </w:t>
      </w:r>
      <w:r w:rsidR="00A37B42">
        <w:t>them</w:t>
      </w:r>
      <w:r w:rsidR="00A37B42" w:rsidRPr="008D7E86">
        <w:t xml:space="preserve"> </w:t>
      </w:r>
      <w:r w:rsidR="004405C2">
        <w:t xml:space="preserve">either </w:t>
      </w:r>
      <w:r w:rsidR="00516B45" w:rsidRPr="008D7E86">
        <w:t xml:space="preserve">as </w:t>
      </w:r>
      <w:r w:rsidR="004405C2">
        <w:t>data that fits a model</w:t>
      </w:r>
      <w:r w:rsidR="00516B45" w:rsidRPr="008D7E86">
        <w:t xml:space="preserve">, or </w:t>
      </w:r>
      <w:r w:rsidR="00A37B42">
        <w:t>they</w:t>
      </w:r>
      <w:r w:rsidR="00516B45" w:rsidRPr="008D7E86">
        <w:t xml:space="preserve"> can look at the unique characteristics of that patient. The doctor as </w:t>
      </w:r>
      <w:r>
        <w:t xml:space="preserve">a </w:t>
      </w:r>
      <w:r w:rsidR="00516B45" w:rsidRPr="008D7E86">
        <w:t xml:space="preserve">researcher is valued for </w:t>
      </w:r>
      <w:r w:rsidR="00A37B42">
        <w:t>their</w:t>
      </w:r>
      <w:r w:rsidR="00A37B42" w:rsidRPr="008D7E86">
        <w:t xml:space="preserve"> </w:t>
      </w:r>
      <w:r w:rsidR="00516B45" w:rsidRPr="008D7E86">
        <w:t xml:space="preserve">accumulation of formal knowledge about human beings in general, but this should not lead to the neglect of the tacit knowledge of the doctor as </w:t>
      </w:r>
      <w:r w:rsidR="00015FF1">
        <w:t xml:space="preserve">a </w:t>
      </w:r>
      <w:r w:rsidR="00516B45" w:rsidRPr="008D7E86">
        <w:t>healer.</w:t>
      </w:r>
      <w:r w:rsidR="00015FF1">
        <w:t xml:space="preserve"> </w:t>
      </w:r>
    </w:p>
    <w:p w14:paraId="0B7EDE42" w14:textId="3827780A" w:rsidR="0026666F" w:rsidRDefault="00516B45" w:rsidP="00946123">
      <w:r w:rsidRPr="008D7E86">
        <w:t xml:space="preserve">Formal </w:t>
      </w:r>
      <w:r w:rsidR="00317C28">
        <w:t xml:space="preserve">scientific </w:t>
      </w:r>
      <w:r w:rsidRPr="008D7E86">
        <w:t xml:space="preserve">knowledge has indeed </w:t>
      </w:r>
      <w:r w:rsidR="00CC199D">
        <w:t xml:space="preserve">shone </w:t>
      </w:r>
      <w:r w:rsidR="00015FF1">
        <w:t xml:space="preserve">a </w:t>
      </w:r>
      <w:r w:rsidR="00CC199D">
        <w:t>bright</w:t>
      </w:r>
      <w:r w:rsidR="00CC199D" w:rsidRPr="008D7E86">
        <w:t xml:space="preserve"> </w:t>
      </w:r>
      <w:r w:rsidRPr="008D7E86">
        <w:t xml:space="preserve">analytical light on many aspects of environmental issues and has aided our understanding. But as we saw in Chapter 1, science does not tell us what to measure or analyze in the first place or how to </w:t>
      </w:r>
      <w:r w:rsidR="00ED16BA">
        <w:t>weigh</w:t>
      </w:r>
      <w:r w:rsidRPr="008D7E86">
        <w:t xml:space="preserve"> assumptions and results as a society. Th</w:t>
      </w:r>
      <w:r w:rsidR="00CC199D">
        <w:t>ese processes</w:t>
      </w:r>
      <w:r w:rsidRPr="008D7E86">
        <w:t xml:space="preserve"> </w:t>
      </w:r>
      <w:r w:rsidR="00CC199D">
        <w:t xml:space="preserve">call for judgment, a form </w:t>
      </w:r>
      <w:r w:rsidRPr="008D7E86">
        <w:t xml:space="preserve">of </w:t>
      </w:r>
      <w:r w:rsidR="00CC199D">
        <w:t>wisdom</w:t>
      </w:r>
      <w:r w:rsidRPr="008D7E86">
        <w:t>. Even if science helps us make judgments</w:t>
      </w:r>
      <w:r w:rsidR="00CC199D">
        <w:t>,</w:t>
      </w:r>
      <w:r w:rsidRPr="008D7E86">
        <w:t xml:space="preserve"> and technology provides the means to </w:t>
      </w:r>
      <w:r w:rsidR="00CC199D">
        <w:t xml:space="preserve">act on </w:t>
      </w:r>
      <w:r w:rsidRPr="008D7E86">
        <w:t xml:space="preserve">those judgments feasible, the need to explore the judgment and </w:t>
      </w:r>
      <w:r w:rsidR="008E5855">
        <w:t>“</w:t>
      </w:r>
      <w:r w:rsidRPr="008D7E86">
        <w:t>different ways of being</w:t>
      </w:r>
      <w:r w:rsidR="008E5855">
        <w:t>”</w:t>
      </w:r>
      <w:r w:rsidRPr="008D7E86">
        <w:t xml:space="preserve"> </w:t>
      </w:r>
      <w:r w:rsidR="00CC199D">
        <w:t>is no less of an imperative</w:t>
      </w:r>
      <w:r w:rsidRPr="008D7E86">
        <w:t xml:space="preserve">. </w:t>
      </w:r>
      <w:r w:rsidR="00C76CBF">
        <w:t xml:space="preserve">We need to further </w:t>
      </w:r>
      <w:r w:rsidRPr="008D7E86">
        <w:t xml:space="preserve">explore the nature of judgments themselves and </w:t>
      </w:r>
      <w:r w:rsidR="00ED16BA">
        <w:t>how</w:t>
      </w:r>
      <w:r w:rsidRPr="008D7E86">
        <w:t xml:space="preserve"> experience is taken up </w:t>
      </w:r>
      <w:r w:rsidR="00CC199D">
        <w:t xml:space="preserve">both </w:t>
      </w:r>
      <w:r w:rsidRPr="008D7E86">
        <w:t xml:space="preserve">before </w:t>
      </w:r>
      <w:r w:rsidR="00CC199D">
        <w:t xml:space="preserve">and after </w:t>
      </w:r>
      <w:r w:rsidRPr="008D7E86">
        <w:t>it becomes data.</w:t>
      </w:r>
    </w:p>
    <w:p w14:paraId="17E7C713" w14:textId="5D34FAB0" w:rsidR="00034A7F" w:rsidRPr="00034A7F" w:rsidRDefault="00516B45" w:rsidP="00946123">
      <w:r w:rsidRPr="008D7E86">
        <w:lastRenderedPageBreak/>
        <w:t xml:space="preserve">The </w:t>
      </w:r>
      <w:r w:rsidR="00C76CBF">
        <w:rPr>
          <w:rFonts w:hint="eastAsia"/>
        </w:rPr>
        <w:t>e</w:t>
      </w:r>
      <w:r w:rsidR="00C76CBF">
        <w:t xml:space="preserve">nvironmental </w:t>
      </w:r>
      <w:r w:rsidRPr="008D7E86">
        <w:t>state does not exist independently but is supported by specific intellectual endeavors</w:t>
      </w:r>
      <w:r w:rsidR="00DA2BFA">
        <w:t>, which encompass government, industry, academia</w:t>
      </w:r>
      <w:r w:rsidR="00034A7F">
        <w:t>,</w:t>
      </w:r>
      <w:r w:rsidR="00DA2BFA">
        <w:t xml:space="preserve"> and </w:t>
      </w:r>
      <w:r w:rsidR="00034A7F">
        <w:t>civil society in general</w:t>
      </w:r>
      <w:r w:rsidRPr="008D7E86">
        <w:t xml:space="preserve">. </w:t>
      </w:r>
      <w:r w:rsidR="00ED16BA">
        <w:t>To</w:t>
      </w:r>
      <w:r w:rsidRPr="008D7E86">
        <w:t xml:space="preserve"> </w:t>
      </w:r>
      <w:r w:rsidR="00B03FDE">
        <w:t>generate</w:t>
      </w:r>
      <w:r w:rsidR="00B03FDE" w:rsidRPr="008D7E86">
        <w:t xml:space="preserve"> </w:t>
      </w:r>
      <w:r w:rsidRPr="008D7E86">
        <w:t xml:space="preserve">the environmental state itself, rather than individual policies and organizations, the issue of </w:t>
      </w:r>
      <w:r w:rsidR="00375371">
        <w:t xml:space="preserve">the stratification </w:t>
      </w:r>
      <w:r w:rsidRPr="008D7E86">
        <w:t xml:space="preserve">of knowledge, which Ui raised, must be placed back on the table for discussion. </w:t>
      </w:r>
      <w:r w:rsidR="00DA2BFA">
        <w:t xml:space="preserve">Drawing on </w:t>
      </w:r>
      <w:r w:rsidR="00666E11">
        <w:rPr>
          <w:rFonts w:hint="eastAsia"/>
        </w:rPr>
        <w:t>Ui</w:t>
      </w:r>
      <w:r w:rsidR="008E5855">
        <w:t>’s</w:t>
      </w:r>
      <w:r w:rsidR="00DA2BFA">
        <w:t xml:space="preserve"> example, social scien</w:t>
      </w:r>
      <w:r w:rsidR="00C76CBF">
        <w:t xml:space="preserve">tists </w:t>
      </w:r>
      <w:r w:rsidR="00DA2BFA">
        <w:t xml:space="preserve">must work to </w:t>
      </w:r>
      <w:r w:rsidRPr="008D7E86">
        <w:t>recognize the importance of knowledge that cannot be captured by formal knowledge</w:t>
      </w:r>
      <w:r w:rsidR="00015FF1">
        <w:t>.</w:t>
      </w:r>
      <w:r w:rsidRPr="008D7E86">
        <w:t xml:space="preserve"> </w:t>
      </w:r>
      <w:r w:rsidR="00034A7F" w:rsidRPr="00034A7F">
        <w:t xml:space="preserve">Social science has the important function </w:t>
      </w:r>
      <w:r w:rsidR="00015FF1">
        <w:t>of envisaging</w:t>
      </w:r>
      <w:r w:rsidR="00034A7F" w:rsidRPr="00034A7F">
        <w:t xml:space="preserve"> how things can be done differently</w:t>
      </w:r>
      <w:r w:rsidR="00015FF1">
        <w:t>, a local alternative to top-down scenarios that can invoke inversions</w:t>
      </w:r>
      <w:r w:rsidR="00034A7F" w:rsidRPr="00034A7F">
        <w:t xml:space="preserve">. </w:t>
      </w:r>
    </w:p>
    <w:p w14:paraId="45DB326C" w14:textId="77777777" w:rsidR="0032391B" w:rsidRDefault="00516B45" w:rsidP="00946123">
      <w:r w:rsidRPr="008D7E86">
        <w:t xml:space="preserve">Considering that the majority of the people who run the environmental state are also educated at institutions of higher learning, universities have a responsibility to protect, rather than exclude, </w:t>
      </w:r>
      <w:r w:rsidR="00DA2BFA">
        <w:t xml:space="preserve">problem-oriented </w:t>
      </w:r>
      <w:r w:rsidR="00034A7F">
        <w:t xml:space="preserve">and experience-based research </w:t>
      </w:r>
      <w:r w:rsidR="00B03FDE">
        <w:t xml:space="preserve">that </w:t>
      </w:r>
      <w:r w:rsidR="00DA2BFA">
        <w:t>has not rewarded researchers</w:t>
      </w:r>
      <w:r w:rsidRPr="008D7E86">
        <w:t xml:space="preserve">. </w:t>
      </w:r>
      <w:r w:rsidR="00034A7F">
        <w:t>The movement toward directing knowledge to the everyday problems of the people, rather than</w:t>
      </w:r>
      <w:r w:rsidR="00B03FDE">
        <w:t xml:space="preserve"> </w:t>
      </w:r>
      <w:r w:rsidR="00034A7F">
        <w:t>producing more papers for scientific rewards</w:t>
      </w:r>
      <w:r w:rsidR="00B03FDE">
        <w:t>,</w:t>
      </w:r>
      <w:r w:rsidR="00937F91">
        <w:t xml:space="preserve"> </w:t>
      </w:r>
      <w:r w:rsidR="00B03FDE" w:rsidRPr="00B03FDE">
        <w:t>germinated</w:t>
      </w:r>
      <w:r w:rsidRPr="008D7E86">
        <w:t xml:space="preserve"> in Japan during the era of </w:t>
      </w:r>
      <w:r w:rsidR="00034A7F">
        <w:t xml:space="preserve">economic growth </w:t>
      </w:r>
      <w:r w:rsidRPr="008D7E86">
        <w:t>but never fully blossomed</w:t>
      </w:r>
      <w:r w:rsidR="00034A7F">
        <w:t>. It</w:t>
      </w:r>
      <w:r w:rsidRPr="008D7E86">
        <w:t xml:space="preserve"> is </w:t>
      </w:r>
      <w:r w:rsidR="00EA727A">
        <w:t>this lost art that we need to rediscover in the</w:t>
      </w:r>
      <w:r w:rsidR="00034A7F">
        <w:t xml:space="preserve"> coming </w:t>
      </w:r>
      <w:r w:rsidRPr="008D7E86">
        <w:t xml:space="preserve">era of </w:t>
      </w:r>
      <w:r w:rsidR="00B03FDE">
        <w:t>the</w:t>
      </w:r>
      <w:r w:rsidR="00B03FDE" w:rsidRPr="008D7E86">
        <w:t xml:space="preserve"> </w:t>
      </w:r>
      <w:r w:rsidRPr="008D7E86">
        <w:t xml:space="preserve">environmental </w:t>
      </w:r>
      <w:r w:rsidR="00034A7F">
        <w:t>state</w:t>
      </w:r>
      <w:r w:rsidRPr="008D7E86">
        <w:t>.</w:t>
      </w:r>
    </w:p>
    <w:p w14:paraId="1251F72D" w14:textId="20610A77" w:rsidR="00E431BF" w:rsidRDefault="00E431BF" w:rsidP="00946123"/>
    <w:sectPr w:rsidR="00E431BF" w:rsidSect="001F56EF">
      <w:footerReference w:type="default" r:id="rId9"/>
      <w:pgSz w:w="11906" w:h="16838"/>
      <w:pgMar w:top="1440" w:right="1440" w:bottom="1440" w:left="1440"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EB3FE" w14:textId="77777777" w:rsidR="00CD1C76" w:rsidRDefault="00CD1C76" w:rsidP="00946123">
      <w:r>
        <w:separator/>
      </w:r>
    </w:p>
  </w:endnote>
  <w:endnote w:type="continuationSeparator" w:id="0">
    <w:p w14:paraId="68B9AD11" w14:textId="77777777" w:rsidR="00CD1C76" w:rsidRDefault="00CD1C76" w:rsidP="0094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68581"/>
      <w:docPartObj>
        <w:docPartGallery w:val="Page Numbers (Bottom of Page)"/>
        <w:docPartUnique/>
      </w:docPartObj>
    </w:sdtPr>
    <w:sdtContent>
      <w:p w14:paraId="0FBDEAFB" w14:textId="5C1FFAAA" w:rsidR="00380BD4" w:rsidRDefault="00380BD4" w:rsidP="0094548A">
        <w:pPr>
          <w:pStyle w:val="Footer"/>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E6F8D" w14:textId="77777777" w:rsidR="00CD1C76" w:rsidRDefault="00CD1C76" w:rsidP="00946123">
      <w:r>
        <w:separator/>
      </w:r>
    </w:p>
  </w:footnote>
  <w:footnote w:type="continuationSeparator" w:id="0">
    <w:p w14:paraId="12187DCD" w14:textId="77777777" w:rsidR="00CD1C76" w:rsidRDefault="00CD1C76" w:rsidP="00946123">
      <w:r>
        <w:continuationSeparator/>
      </w:r>
    </w:p>
  </w:footnote>
  <w:footnote w:id="1">
    <w:p w14:paraId="7C82E2DC" w14:textId="640C9B54" w:rsidR="001A5732" w:rsidRPr="0061470F" w:rsidRDefault="001A5732" w:rsidP="00165FDE">
      <w:pPr>
        <w:pStyle w:val="NoSpacing"/>
        <w:spacing w:line="360" w:lineRule="auto"/>
        <w:rPr>
          <w:szCs w:val="21"/>
        </w:rPr>
      </w:pPr>
      <w:r w:rsidRPr="0061470F">
        <w:rPr>
          <w:rStyle w:val="FootnoteReference"/>
          <w:szCs w:val="21"/>
        </w:rPr>
        <w:footnoteRef/>
      </w:r>
      <w:r w:rsidRPr="0061470F">
        <w:rPr>
          <w:szCs w:val="21"/>
        </w:rPr>
        <w:t xml:space="preserve"> </w:t>
      </w:r>
      <w:r w:rsidRPr="0061470F">
        <w:rPr>
          <w:rFonts w:ascii="Calibri" w:hAnsi="Calibri" w:cs="Calibri"/>
          <w:szCs w:val="21"/>
        </w:rPr>
        <w:t>When conflicts of this type erupt between businesses and people, it is usually clear where the state’s interests lie</w:t>
      </w:r>
      <w:r w:rsidR="00CF2DDD" w:rsidRPr="0061470F">
        <w:rPr>
          <w:rFonts w:ascii="Calibri" w:hAnsi="Calibri" w:cs="Calibri"/>
          <w:szCs w:val="21"/>
        </w:rPr>
        <w:t>,</w:t>
      </w:r>
      <w:r w:rsidR="00F048DF" w:rsidRPr="0061470F">
        <w:rPr>
          <w:rFonts w:ascii="Calibri" w:hAnsi="Calibri" w:cs="Calibri"/>
          <w:szCs w:val="21"/>
        </w:rPr>
        <w:t xml:space="preserve"> especially in contexts where growth and profit motives dominate</w:t>
      </w:r>
      <w:r w:rsidRPr="0061470F">
        <w:rPr>
          <w:rFonts w:ascii="Calibri" w:hAnsi="Calibri" w:cs="Calibri"/>
          <w:szCs w:val="21"/>
        </w:rPr>
        <w:t xml:space="preserve">. First and foremost, the state is motivated by the desire to keep high-profile disputes from erupting. </w:t>
      </w:r>
    </w:p>
  </w:footnote>
  <w:footnote w:id="2">
    <w:p w14:paraId="2A6ADEB8" w14:textId="4612C600" w:rsidR="0026666F" w:rsidRPr="0061470F" w:rsidRDefault="0026666F" w:rsidP="00165FDE">
      <w:pPr>
        <w:pStyle w:val="FootnoteText"/>
        <w:spacing w:after="0"/>
        <w:rPr>
          <w:sz w:val="21"/>
          <w:szCs w:val="21"/>
        </w:rPr>
      </w:pPr>
      <w:r w:rsidRPr="0061470F">
        <w:rPr>
          <w:rStyle w:val="FootnoteReference"/>
          <w:sz w:val="21"/>
          <w:szCs w:val="21"/>
        </w:rPr>
        <w:footnoteRef/>
      </w:r>
      <w:r w:rsidRPr="0061470F">
        <w:rPr>
          <w:sz w:val="21"/>
          <w:szCs w:val="21"/>
        </w:rPr>
        <w:t xml:space="preserve"> </w:t>
      </w:r>
      <w:r w:rsidR="00CF0C48" w:rsidRPr="0061470F">
        <w:rPr>
          <w:sz w:val="21"/>
          <w:szCs w:val="21"/>
        </w:rPr>
        <w:t xml:space="preserve">For more details on </w:t>
      </w:r>
      <w:r w:rsidR="00780FAC" w:rsidRPr="0061470F">
        <w:rPr>
          <w:sz w:val="21"/>
          <w:szCs w:val="21"/>
        </w:rPr>
        <w:t xml:space="preserve">Ui’s </w:t>
      </w:r>
      <w:r w:rsidR="00C4732B" w:rsidRPr="0061470F">
        <w:rPr>
          <w:sz w:val="21"/>
          <w:szCs w:val="21"/>
        </w:rPr>
        <w:t>life and thoughts</w:t>
      </w:r>
      <w:r w:rsidRPr="0061470F">
        <w:rPr>
          <w:sz w:val="21"/>
          <w:szCs w:val="21"/>
        </w:rPr>
        <w:t>,</w:t>
      </w:r>
      <w:r w:rsidR="00C4732B" w:rsidRPr="0061470F">
        <w:rPr>
          <w:sz w:val="21"/>
          <w:szCs w:val="21"/>
        </w:rPr>
        <w:t xml:space="preserve"> see</w:t>
      </w:r>
      <w:r w:rsidR="00D6054E" w:rsidRPr="0061470F">
        <w:rPr>
          <w:sz w:val="21"/>
          <w:szCs w:val="21"/>
        </w:rPr>
        <w:t xml:space="preserve"> </w:t>
      </w:r>
      <w:r w:rsidR="00D6054E" w:rsidRPr="008A6105">
        <w:rPr>
          <w:sz w:val="21"/>
          <w:szCs w:val="21"/>
        </w:rPr>
        <w:t xml:space="preserve">Ui </w:t>
      </w:r>
      <w:r w:rsidR="00CF0C48" w:rsidRPr="008A6105">
        <w:rPr>
          <w:sz w:val="21"/>
          <w:szCs w:val="21"/>
        </w:rPr>
        <w:t>(</w:t>
      </w:r>
      <w:r w:rsidR="00D6054E" w:rsidRPr="008A6105">
        <w:rPr>
          <w:sz w:val="21"/>
          <w:szCs w:val="21"/>
        </w:rPr>
        <w:t>2008</w:t>
      </w:r>
      <w:r w:rsidR="00CF0C48" w:rsidRPr="008A6105">
        <w:rPr>
          <w:sz w:val="21"/>
          <w:szCs w:val="21"/>
        </w:rPr>
        <w:t>)</w:t>
      </w:r>
      <w:r w:rsidRPr="0061470F">
        <w:rPr>
          <w:sz w:val="21"/>
          <w:szCs w:val="21"/>
        </w:rPr>
        <w:t xml:space="preserve">, compiled by </w:t>
      </w:r>
      <w:r w:rsidR="00780FAC" w:rsidRPr="0061470F">
        <w:rPr>
          <w:sz w:val="21"/>
          <w:szCs w:val="21"/>
        </w:rPr>
        <w:t>hi</w:t>
      </w:r>
      <w:r w:rsidRPr="0061470F">
        <w:rPr>
          <w:sz w:val="21"/>
          <w:szCs w:val="21"/>
        </w:rPr>
        <w:t xml:space="preserve">s students and others. </w:t>
      </w:r>
    </w:p>
  </w:footnote>
  <w:footnote w:id="3">
    <w:p w14:paraId="21EA1101" w14:textId="70E56131" w:rsidR="007910BF" w:rsidRPr="0061470F" w:rsidRDefault="007910BF" w:rsidP="00165FDE">
      <w:pPr>
        <w:pStyle w:val="FootnoteText"/>
        <w:spacing w:after="0"/>
        <w:rPr>
          <w:sz w:val="21"/>
          <w:szCs w:val="21"/>
        </w:rPr>
      </w:pPr>
      <w:r w:rsidRPr="0061470F">
        <w:rPr>
          <w:rStyle w:val="FootnoteReference"/>
          <w:sz w:val="21"/>
          <w:szCs w:val="21"/>
        </w:rPr>
        <w:footnoteRef/>
      </w:r>
      <w:r w:rsidRPr="0061470F">
        <w:rPr>
          <w:sz w:val="21"/>
          <w:szCs w:val="21"/>
        </w:rPr>
        <w:t xml:space="preserve"> See especially </w:t>
      </w:r>
      <w:r w:rsidRPr="00486933">
        <w:rPr>
          <w:sz w:val="21"/>
          <w:szCs w:val="21"/>
        </w:rPr>
        <w:t>Funabashi (2007)</w:t>
      </w:r>
      <w:r w:rsidRPr="0061470F">
        <w:rPr>
          <w:sz w:val="21"/>
          <w:szCs w:val="21"/>
        </w:rPr>
        <w:t xml:space="preserve"> for a critical examination of the issues surrounding the concept of a </w:t>
      </w:r>
      <w:r w:rsidR="00AC5DD2" w:rsidRPr="0061470F">
        <w:rPr>
          <w:sz w:val="21"/>
          <w:szCs w:val="21"/>
        </w:rPr>
        <w:t>“</w:t>
      </w:r>
      <w:r w:rsidRPr="0061470F">
        <w:rPr>
          <w:sz w:val="21"/>
          <w:szCs w:val="21"/>
        </w:rPr>
        <w:t>third party</w:t>
      </w:r>
      <w:r w:rsidR="00AC5DD2" w:rsidRPr="0061470F">
        <w:rPr>
          <w:sz w:val="21"/>
          <w:szCs w:val="21"/>
        </w:rPr>
        <w:t>”</w:t>
      </w:r>
      <w:r w:rsidRPr="0061470F">
        <w:rPr>
          <w:sz w:val="21"/>
          <w:szCs w:val="21"/>
        </w:rPr>
        <w:t xml:space="preserve"> discussed in this chapter.</w:t>
      </w:r>
    </w:p>
  </w:footnote>
  <w:footnote w:id="4">
    <w:p w14:paraId="2B9B25F0" w14:textId="3E002DEC" w:rsidR="007910BF" w:rsidRPr="0061470F" w:rsidRDefault="007910BF" w:rsidP="00165FDE">
      <w:pPr>
        <w:pStyle w:val="FootnoteText"/>
        <w:spacing w:after="0"/>
        <w:rPr>
          <w:sz w:val="21"/>
          <w:szCs w:val="21"/>
        </w:rPr>
      </w:pPr>
      <w:r w:rsidRPr="0061470F">
        <w:rPr>
          <w:rStyle w:val="FootnoteReference"/>
          <w:sz w:val="21"/>
          <w:szCs w:val="21"/>
        </w:rPr>
        <w:footnoteRef/>
      </w:r>
      <w:r w:rsidRPr="0061470F">
        <w:rPr>
          <w:sz w:val="21"/>
          <w:szCs w:val="21"/>
        </w:rPr>
        <w:t xml:space="preserve"> Fujigaki Yuko, a renowned science and technology expert, points out that </w:t>
      </w:r>
      <w:r w:rsidR="00A37BF8" w:rsidRPr="0061470F">
        <w:rPr>
          <w:sz w:val="21"/>
          <w:szCs w:val="21"/>
        </w:rPr>
        <w:t>“</w:t>
      </w:r>
      <w:r w:rsidRPr="0061470F">
        <w:rPr>
          <w:sz w:val="21"/>
          <w:szCs w:val="21"/>
        </w:rPr>
        <w:t>in the social theory of science and technology, the knowledge of local residents is always discussed in comparison with the knowledge of experts in science and technology, whereas in environmental sociology, the contrast is rarely brought to the fore, and the knowledge of local residents is overwhelmingly regarded as reliable and legitimate</w:t>
      </w:r>
      <w:r w:rsidR="00D67152" w:rsidRPr="0061470F">
        <w:rPr>
          <w:sz w:val="21"/>
          <w:szCs w:val="21"/>
        </w:rPr>
        <w:t>”</w:t>
      </w:r>
      <w:r w:rsidRPr="0061470F">
        <w:rPr>
          <w:sz w:val="21"/>
          <w:szCs w:val="21"/>
        </w:rPr>
        <w:t xml:space="preserve"> (</w:t>
      </w:r>
      <w:r w:rsidRPr="00486933">
        <w:rPr>
          <w:sz w:val="21"/>
          <w:szCs w:val="21"/>
        </w:rPr>
        <w:t>Fujigaki 2004</w:t>
      </w:r>
      <w:r w:rsidR="00D67152" w:rsidRPr="00486933">
        <w:rPr>
          <w:sz w:val="21"/>
          <w:szCs w:val="21"/>
        </w:rPr>
        <w:t>,</w:t>
      </w:r>
      <w:r w:rsidRPr="0061470F">
        <w:rPr>
          <w:sz w:val="21"/>
          <w:szCs w:val="21"/>
        </w:rPr>
        <w:t xml:space="preserve"> 26). This point should serve as a wake-up call against the uncritical glorification of local knowledge. </w:t>
      </w:r>
    </w:p>
  </w:footnote>
  <w:footnote w:id="5">
    <w:p w14:paraId="7756005D" w14:textId="4E65BAA9" w:rsidR="00353869" w:rsidRPr="0061470F" w:rsidRDefault="00353869" w:rsidP="00165FDE">
      <w:pPr>
        <w:pStyle w:val="FootnoteText"/>
        <w:spacing w:after="0"/>
        <w:rPr>
          <w:sz w:val="21"/>
          <w:szCs w:val="21"/>
        </w:rPr>
      </w:pPr>
      <w:r w:rsidRPr="0061470F">
        <w:rPr>
          <w:rStyle w:val="FootnoteReference"/>
          <w:sz w:val="21"/>
          <w:szCs w:val="21"/>
        </w:rPr>
        <w:footnoteRef/>
      </w:r>
      <w:r w:rsidRPr="0061470F">
        <w:rPr>
          <w:sz w:val="21"/>
          <w:szCs w:val="21"/>
        </w:rPr>
        <w:t xml:space="preserve"> Flyv</w:t>
      </w:r>
      <w:r w:rsidR="0061232D" w:rsidRPr="0061470F">
        <w:rPr>
          <w:sz w:val="21"/>
          <w:szCs w:val="21"/>
        </w:rPr>
        <w:t>b</w:t>
      </w:r>
      <w:r w:rsidRPr="0061470F">
        <w:rPr>
          <w:sz w:val="21"/>
          <w:szCs w:val="21"/>
        </w:rPr>
        <w:t xml:space="preserve">jerg (2001), who </w:t>
      </w:r>
      <w:r w:rsidR="00A26D85" w:rsidRPr="0061470F">
        <w:rPr>
          <w:sz w:val="21"/>
          <w:szCs w:val="21"/>
        </w:rPr>
        <w:t xml:space="preserve">continues </w:t>
      </w:r>
      <w:r w:rsidRPr="0061470F">
        <w:rPr>
          <w:sz w:val="21"/>
          <w:szCs w:val="21"/>
        </w:rPr>
        <w:t xml:space="preserve">Aristotle's argument, aroused controversy </w:t>
      </w:r>
      <w:r w:rsidR="00A26D85" w:rsidRPr="0061470F">
        <w:rPr>
          <w:sz w:val="21"/>
          <w:szCs w:val="21"/>
        </w:rPr>
        <w:t xml:space="preserve">among </w:t>
      </w:r>
      <w:r w:rsidRPr="0061470F">
        <w:rPr>
          <w:sz w:val="21"/>
          <w:szCs w:val="21"/>
        </w:rPr>
        <w:t xml:space="preserve">positivist researchers by arguing that </w:t>
      </w:r>
      <w:r w:rsidR="00A26D85" w:rsidRPr="0061470F">
        <w:rPr>
          <w:sz w:val="21"/>
          <w:szCs w:val="21"/>
        </w:rPr>
        <w:t xml:space="preserve">the </w:t>
      </w:r>
      <w:r w:rsidRPr="0061470F">
        <w:rPr>
          <w:sz w:val="21"/>
          <w:szCs w:val="21"/>
        </w:rPr>
        <w:t xml:space="preserve">social sciences should actively address the issue of value </w:t>
      </w:r>
      <w:r w:rsidR="00506E51" w:rsidRPr="0061470F">
        <w:rPr>
          <w:sz w:val="21"/>
          <w:szCs w:val="21"/>
        </w:rPr>
        <w:t>to</w:t>
      </w:r>
      <w:r w:rsidRPr="0061470F">
        <w:rPr>
          <w:sz w:val="21"/>
          <w:szCs w:val="21"/>
        </w:rPr>
        <w:t xml:space="preserve"> </w:t>
      </w:r>
      <w:r w:rsidR="00A26D85" w:rsidRPr="0061470F">
        <w:rPr>
          <w:sz w:val="21"/>
          <w:szCs w:val="21"/>
        </w:rPr>
        <w:t xml:space="preserve">improve </w:t>
      </w:r>
      <w:r w:rsidRPr="0061470F">
        <w:rPr>
          <w:sz w:val="21"/>
          <w:szCs w:val="21"/>
        </w:rPr>
        <w:t>context-specific judgments, rather than aiming for universal laws like the natural sciences.</w:t>
      </w:r>
      <w:r w:rsidR="00CA7686" w:rsidRPr="0061470F">
        <w:rPr>
          <w:sz w:val="21"/>
          <w:szCs w:val="21"/>
        </w:rPr>
        <w:t xml:space="preserve"> For </w:t>
      </w:r>
      <w:r w:rsidR="00955D91" w:rsidRPr="0061470F">
        <w:rPr>
          <w:sz w:val="21"/>
          <w:szCs w:val="21"/>
        </w:rPr>
        <w:t xml:space="preserve">these </w:t>
      </w:r>
      <w:r w:rsidR="00CA7686" w:rsidRPr="0061470F">
        <w:rPr>
          <w:sz w:val="21"/>
          <w:szCs w:val="21"/>
        </w:rPr>
        <w:t>debates, see</w:t>
      </w:r>
      <w:r w:rsidR="00506E51" w:rsidRPr="0061470F">
        <w:rPr>
          <w:sz w:val="21"/>
          <w:szCs w:val="21"/>
        </w:rPr>
        <w:t xml:space="preserve"> </w:t>
      </w:r>
      <w:hyperlink r:id="rId1" w:history="1">
        <w:r w:rsidR="00506E51" w:rsidRPr="00B939A1">
          <w:rPr>
            <w:rStyle w:val="Hyperlink"/>
            <w:color w:val="auto"/>
            <w:sz w:val="21"/>
            <w:szCs w:val="21"/>
            <w:u w:val="none"/>
            <w:shd w:val="clear" w:color="auto" w:fill="FFFFFF"/>
          </w:rPr>
          <w:t>Schram</w:t>
        </w:r>
      </w:hyperlink>
      <w:r w:rsidR="00506E51" w:rsidRPr="00B939A1">
        <w:rPr>
          <w:rStyle w:val="author"/>
          <w:sz w:val="21"/>
          <w:szCs w:val="21"/>
          <w:shd w:val="clear" w:color="auto" w:fill="FFFFFF"/>
        </w:rPr>
        <w:t xml:space="preserve"> and </w:t>
      </w:r>
      <w:hyperlink r:id="rId2" w:history="1">
        <w:r w:rsidR="00506E51" w:rsidRPr="00B939A1">
          <w:rPr>
            <w:rStyle w:val="Hyperlink"/>
            <w:color w:val="auto"/>
            <w:sz w:val="21"/>
            <w:szCs w:val="21"/>
            <w:u w:val="none"/>
            <w:shd w:val="clear" w:color="auto" w:fill="FFFFFF"/>
          </w:rPr>
          <w:t>Caterino</w:t>
        </w:r>
      </w:hyperlink>
      <w:r w:rsidR="00506E51" w:rsidRPr="00B939A1">
        <w:rPr>
          <w:rStyle w:val="author"/>
          <w:sz w:val="21"/>
          <w:szCs w:val="21"/>
          <w:shd w:val="clear" w:color="auto" w:fill="FFFFFF"/>
        </w:rPr>
        <w:t> </w:t>
      </w:r>
      <w:r w:rsidR="00506E51" w:rsidRPr="00B939A1">
        <w:rPr>
          <w:rStyle w:val="a-color-secondary"/>
          <w:sz w:val="21"/>
          <w:szCs w:val="21"/>
          <w:shd w:val="clear" w:color="auto" w:fill="FFFFFF"/>
        </w:rPr>
        <w:t>(2006)</w:t>
      </w:r>
      <w:r w:rsidR="00506E51" w:rsidRPr="0061470F">
        <w:rPr>
          <w:rStyle w:val="a-color-secondary"/>
          <w:sz w:val="21"/>
          <w:szCs w:val="21"/>
          <w:shd w:val="clear" w:color="auto" w:fill="FFFFFF"/>
        </w:rPr>
        <w:t>.</w:t>
      </w:r>
      <w:r w:rsidR="00CA7686" w:rsidRPr="0061470F">
        <w:rPr>
          <w:sz w:val="21"/>
          <w:szCs w:val="21"/>
        </w:rPr>
        <w:t xml:space="preserve"> </w:t>
      </w:r>
    </w:p>
  </w:footnote>
  <w:footnote w:id="6">
    <w:p w14:paraId="78D1D5C3" w14:textId="4CD2F360" w:rsidR="00644672" w:rsidRPr="0061470F" w:rsidRDefault="00644672" w:rsidP="00165FDE">
      <w:pPr>
        <w:pStyle w:val="FootnoteText"/>
        <w:spacing w:after="0"/>
        <w:rPr>
          <w:sz w:val="21"/>
          <w:szCs w:val="21"/>
        </w:rPr>
      </w:pPr>
      <w:r w:rsidRPr="0061470F">
        <w:rPr>
          <w:rStyle w:val="FootnoteReference"/>
          <w:sz w:val="21"/>
          <w:szCs w:val="21"/>
        </w:rPr>
        <w:footnoteRef/>
      </w:r>
      <w:r w:rsidRPr="0061470F">
        <w:rPr>
          <w:sz w:val="21"/>
          <w:szCs w:val="21"/>
        </w:rPr>
        <w:t xml:space="preserve"> Tacit know</w:t>
      </w:r>
      <w:r w:rsidR="00CA7686" w:rsidRPr="0061470F">
        <w:rPr>
          <w:sz w:val="21"/>
          <w:szCs w:val="21"/>
        </w:rPr>
        <w:t>ing</w:t>
      </w:r>
      <w:r w:rsidRPr="0061470F">
        <w:rPr>
          <w:sz w:val="21"/>
          <w:szCs w:val="21"/>
        </w:rPr>
        <w:t xml:space="preserve"> and phronesis are not necessarily the same. The former </w:t>
      </w:r>
      <w:r w:rsidR="00CA7686" w:rsidRPr="0061470F">
        <w:rPr>
          <w:sz w:val="21"/>
          <w:szCs w:val="21"/>
        </w:rPr>
        <w:t>emphasizes</w:t>
      </w:r>
      <w:r w:rsidRPr="0061470F">
        <w:rPr>
          <w:sz w:val="21"/>
          <w:szCs w:val="21"/>
        </w:rPr>
        <w:t xml:space="preserve"> observation on the input of knowledge, while the latter focuses on the out</w:t>
      </w:r>
      <w:r w:rsidR="00CA7686" w:rsidRPr="0061470F">
        <w:rPr>
          <w:sz w:val="21"/>
          <w:szCs w:val="21"/>
        </w:rPr>
        <w:t>come</w:t>
      </w:r>
      <w:r w:rsidRPr="0061470F">
        <w:rPr>
          <w:sz w:val="21"/>
          <w:szCs w:val="21"/>
        </w:rPr>
        <w:t xml:space="preserve"> of knowledge. However, </w:t>
      </w:r>
      <w:r w:rsidR="00D67152" w:rsidRPr="0061470F">
        <w:rPr>
          <w:sz w:val="21"/>
          <w:szCs w:val="21"/>
        </w:rPr>
        <w:t>they share a</w:t>
      </w:r>
      <w:r w:rsidRPr="0061470F">
        <w:rPr>
          <w:sz w:val="21"/>
          <w:szCs w:val="21"/>
        </w:rPr>
        <w:t xml:space="preserve"> common</w:t>
      </w:r>
      <w:r w:rsidR="00D67152" w:rsidRPr="0061470F">
        <w:rPr>
          <w:sz w:val="21"/>
          <w:szCs w:val="21"/>
        </w:rPr>
        <w:t xml:space="preserve"> understanding regarding</w:t>
      </w:r>
      <w:r w:rsidRPr="0061470F">
        <w:rPr>
          <w:sz w:val="21"/>
          <w:szCs w:val="21"/>
        </w:rPr>
        <w:t xml:space="preserve"> the subject of tacit dimensions that </w:t>
      </w:r>
      <w:r w:rsidR="00D67152" w:rsidRPr="0061470F">
        <w:rPr>
          <w:sz w:val="21"/>
          <w:szCs w:val="21"/>
        </w:rPr>
        <w:t xml:space="preserve">is </w:t>
      </w:r>
      <w:r w:rsidRPr="0061470F">
        <w:rPr>
          <w:sz w:val="21"/>
          <w:szCs w:val="21"/>
        </w:rPr>
        <w:t xml:space="preserve">difficult to </w:t>
      </w:r>
      <w:r w:rsidR="00D67152" w:rsidRPr="0061470F">
        <w:rPr>
          <w:sz w:val="21"/>
          <w:szCs w:val="21"/>
        </w:rPr>
        <w:t>articulate</w:t>
      </w:r>
      <w:r w:rsidRPr="0061470F">
        <w:rPr>
          <w:sz w:val="21"/>
          <w:szCs w:val="21"/>
        </w:rPr>
        <w:t>.</w:t>
      </w:r>
    </w:p>
  </w:footnote>
  <w:footnote w:id="7">
    <w:p w14:paraId="40B89F20" w14:textId="430B7CAA" w:rsidR="00B73934" w:rsidRPr="0061470F" w:rsidRDefault="00B73934" w:rsidP="00165FDE">
      <w:pPr>
        <w:pStyle w:val="FootnoteText"/>
        <w:spacing w:after="0"/>
        <w:rPr>
          <w:sz w:val="21"/>
          <w:szCs w:val="21"/>
        </w:rPr>
      </w:pPr>
      <w:r w:rsidRPr="0061470F">
        <w:rPr>
          <w:rStyle w:val="FootnoteReference"/>
          <w:sz w:val="21"/>
          <w:szCs w:val="21"/>
        </w:rPr>
        <w:footnoteRef/>
      </w:r>
      <w:r w:rsidRPr="0061470F">
        <w:rPr>
          <w:sz w:val="21"/>
          <w:szCs w:val="21"/>
        </w:rPr>
        <w:t xml:space="preserve"> In the classic work on </w:t>
      </w:r>
      <w:r w:rsidRPr="0061470F">
        <w:rPr>
          <w:i/>
          <w:iCs/>
          <w:sz w:val="21"/>
          <w:szCs w:val="21"/>
        </w:rPr>
        <w:t>Decision Analysis</w:t>
      </w:r>
      <w:r w:rsidRPr="0061470F">
        <w:rPr>
          <w:sz w:val="21"/>
          <w:szCs w:val="21"/>
        </w:rPr>
        <w:t>, Raif</w:t>
      </w:r>
      <w:r w:rsidR="002761EC">
        <w:rPr>
          <w:rFonts w:hint="eastAsia"/>
          <w:sz w:val="21"/>
          <w:szCs w:val="21"/>
          <w:lang w:eastAsia="ja-JP"/>
        </w:rPr>
        <w:t>f</w:t>
      </w:r>
      <w:r w:rsidRPr="0061470F">
        <w:rPr>
          <w:sz w:val="21"/>
          <w:szCs w:val="21"/>
        </w:rPr>
        <w:t>a formulated the issue as the “Error of the Fourth Kind”</w:t>
      </w:r>
      <w:r w:rsidR="006064F9" w:rsidRPr="0061470F">
        <w:rPr>
          <w:sz w:val="21"/>
          <w:szCs w:val="21"/>
        </w:rPr>
        <w:t>—</w:t>
      </w:r>
      <w:r w:rsidR="006401DA" w:rsidRPr="0061470F">
        <w:rPr>
          <w:sz w:val="21"/>
          <w:szCs w:val="21"/>
        </w:rPr>
        <w:t>that is</w:t>
      </w:r>
      <w:r w:rsidR="006064F9" w:rsidRPr="0061470F">
        <w:rPr>
          <w:sz w:val="21"/>
          <w:szCs w:val="21"/>
        </w:rPr>
        <w:t>,</w:t>
      </w:r>
      <w:r w:rsidR="006401DA" w:rsidRPr="0061470F">
        <w:rPr>
          <w:sz w:val="21"/>
          <w:szCs w:val="21"/>
        </w:rPr>
        <w:t xml:space="preserve"> </w:t>
      </w:r>
      <w:r w:rsidRPr="0061470F">
        <w:rPr>
          <w:sz w:val="21"/>
          <w:szCs w:val="21"/>
        </w:rPr>
        <w:t>“solving the right problem too late</w:t>
      </w:r>
      <w:r w:rsidR="006401DA" w:rsidRPr="0061470F">
        <w:rPr>
          <w:sz w:val="21"/>
          <w:szCs w:val="21"/>
        </w:rPr>
        <w:t>”</w:t>
      </w:r>
      <w:r w:rsidRPr="0061470F">
        <w:rPr>
          <w:sz w:val="21"/>
          <w:szCs w:val="21"/>
        </w:rPr>
        <w:t xml:space="preserve"> </w:t>
      </w:r>
      <w:r w:rsidRPr="002761EC">
        <w:rPr>
          <w:sz w:val="21"/>
          <w:szCs w:val="21"/>
        </w:rPr>
        <w:t>(</w:t>
      </w:r>
      <w:r w:rsidRPr="002761EC">
        <w:rPr>
          <w:sz w:val="21"/>
          <w:szCs w:val="21"/>
        </w:rPr>
        <w:t>Raif</w:t>
      </w:r>
      <w:r w:rsidR="002761EC" w:rsidRPr="002761EC">
        <w:rPr>
          <w:rFonts w:hint="eastAsia"/>
          <w:sz w:val="21"/>
          <w:szCs w:val="21"/>
          <w:lang w:eastAsia="ja-JP"/>
        </w:rPr>
        <w:t>f</w:t>
      </w:r>
      <w:r w:rsidRPr="002761EC">
        <w:rPr>
          <w:sz w:val="21"/>
          <w:szCs w:val="21"/>
        </w:rPr>
        <w:t xml:space="preserve">a </w:t>
      </w:r>
      <w:r w:rsidRPr="002761EC">
        <w:rPr>
          <w:sz w:val="21"/>
          <w:szCs w:val="21"/>
        </w:rPr>
        <w:t>1968</w:t>
      </w:r>
      <w:r w:rsidR="006064F9" w:rsidRPr="0061470F">
        <w:rPr>
          <w:sz w:val="21"/>
          <w:szCs w:val="21"/>
        </w:rPr>
        <w:t>,</w:t>
      </w:r>
      <w:r w:rsidR="00B939A1">
        <w:rPr>
          <w:rFonts w:hint="eastAsia"/>
          <w:sz w:val="21"/>
          <w:szCs w:val="21"/>
          <w:lang w:eastAsia="ja-JP"/>
        </w:rPr>
        <w:t>xx</w:t>
      </w:r>
      <w:r w:rsidRPr="0061470F">
        <w:rPr>
          <w:sz w:val="21"/>
          <w:szCs w:val="21"/>
        </w:rPr>
        <w:t xml:space="preserve">).  </w:t>
      </w:r>
    </w:p>
  </w:footnote>
  <w:footnote w:id="8">
    <w:p w14:paraId="494CB138" w14:textId="01B056DA" w:rsidR="00644672" w:rsidRPr="0061470F" w:rsidRDefault="00644672" w:rsidP="00165FDE">
      <w:pPr>
        <w:pStyle w:val="FootnoteText"/>
        <w:spacing w:after="0"/>
        <w:rPr>
          <w:sz w:val="21"/>
          <w:szCs w:val="21"/>
        </w:rPr>
      </w:pPr>
      <w:r w:rsidRPr="0061470F">
        <w:rPr>
          <w:rStyle w:val="FootnoteReference"/>
          <w:sz w:val="21"/>
          <w:szCs w:val="21"/>
        </w:rPr>
        <w:footnoteRef/>
      </w:r>
      <w:r w:rsidRPr="0061470F">
        <w:rPr>
          <w:sz w:val="21"/>
          <w:szCs w:val="21"/>
        </w:rPr>
        <w:t xml:space="preserve"> I would like to thank </w:t>
      </w:r>
      <w:r w:rsidR="00CB1DEF" w:rsidRPr="0061470F">
        <w:rPr>
          <w:sz w:val="21"/>
          <w:szCs w:val="21"/>
        </w:rPr>
        <w:t xml:space="preserve">Dr. </w:t>
      </w:r>
      <w:r w:rsidRPr="0061470F">
        <w:rPr>
          <w:sz w:val="21"/>
          <w:szCs w:val="21"/>
        </w:rPr>
        <w:t xml:space="preserve">Satoru Matsumoto for </w:t>
      </w:r>
      <w:r w:rsidR="005A0D26" w:rsidRPr="0061470F">
        <w:rPr>
          <w:sz w:val="21"/>
          <w:szCs w:val="21"/>
        </w:rPr>
        <w:t>suggesting this line of discussion</w:t>
      </w:r>
      <w:r w:rsidRPr="0061470F">
        <w:rPr>
          <w:sz w:val="21"/>
          <w:szCs w:val="21"/>
        </w:rPr>
        <w:t>.</w:t>
      </w:r>
    </w:p>
  </w:footnote>
  <w:footnote w:id="9">
    <w:p w14:paraId="1441CDF6" w14:textId="2E7D3F8C" w:rsidR="00EE6926" w:rsidRPr="0061470F" w:rsidRDefault="00EE6926" w:rsidP="00165FDE">
      <w:pPr>
        <w:pStyle w:val="FootnoteText"/>
        <w:spacing w:after="0"/>
        <w:rPr>
          <w:sz w:val="21"/>
          <w:szCs w:val="21"/>
        </w:rPr>
      </w:pPr>
      <w:r w:rsidRPr="0061470F">
        <w:rPr>
          <w:rStyle w:val="FootnoteReference"/>
          <w:sz w:val="21"/>
          <w:szCs w:val="21"/>
        </w:rPr>
        <w:footnoteRef/>
      </w:r>
      <w:r w:rsidRPr="0061470F">
        <w:rPr>
          <w:sz w:val="21"/>
          <w:szCs w:val="21"/>
        </w:rPr>
        <w:t xml:space="preserve"> </w:t>
      </w:r>
      <w:r w:rsidR="007C444E" w:rsidRPr="0061470F">
        <w:rPr>
          <w:sz w:val="21"/>
          <w:szCs w:val="21"/>
        </w:rPr>
        <w:t>In some cases</w:t>
      </w:r>
      <w:r w:rsidR="00E32C93" w:rsidRPr="0061470F">
        <w:rPr>
          <w:sz w:val="21"/>
          <w:szCs w:val="21"/>
        </w:rPr>
        <w:t xml:space="preserve">, people </w:t>
      </w:r>
      <w:r w:rsidR="007C444E" w:rsidRPr="0061470F">
        <w:rPr>
          <w:sz w:val="21"/>
          <w:szCs w:val="21"/>
        </w:rPr>
        <w:t xml:space="preserve">have </w:t>
      </w:r>
      <w:r w:rsidR="00E32C93" w:rsidRPr="0061470F">
        <w:rPr>
          <w:sz w:val="21"/>
          <w:szCs w:val="21"/>
        </w:rPr>
        <w:t>not always silently accept</w:t>
      </w:r>
      <w:r w:rsidR="007C444E" w:rsidRPr="0061470F">
        <w:rPr>
          <w:sz w:val="21"/>
          <w:szCs w:val="21"/>
        </w:rPr>
        <w:t>ed</w:t>
      </w:r>
      <w:r w:rsidR="00E32C93" w:rsidRPr="0061470F">
        <w:rPr>
          <w:sz w:val="21"/>
          <w:szCs w:val="21"/>
        </w:rPr>
        <w:t xml:space="preserve"> standardization from above. For example, </w:t>
      </w:r>
      <w:r w:rsidR="00C5255B" w:rsidRPr="0061470F">
        <w:rPr>
          <w:sz w:val="21"/>
          <w:szCs w:val="21"/>
        </w:rPr>
        <w:t xml:space="preserve">as late as the 1920s, </w:t>
      </w:r>
      <w:r w:rsidR="00E32C93" w:rsidRPr="0061470F">
        <w:rPr>
          <w:sz w:val="21"/>
          <w:szCs w:val="21"/>
        </w:rPr>
        <w:t xml:space="preserve">the </w:t>
      </w:r>
      <w:r w:rsidR="00B166E7" w:rsidRPr="0061470F">
        <w:rPr>
          <w:sz w:val="21"/>
          <w:szCs w:val="21"/>
        </w:rPr>
        <w:t>“</w:t>
      </w:r>
      <w:r w:rsidR="00E32C93" w:rsidRPr="0061470F">
        <w:rPr>
          <w:sz w:val="21"/>
          <w:szCs w:val="21"/>
        </w:rPr>
        <w:t>window and door tax</w:t>
      </w:r>
      <w:r w:rsidR="00B166E7" w:rsidRPr="0061470F">
        <w:rPr>
          <w:sz w:val="21"/>
          <w:szCs w:val="21"/>
        </w:rPr>
        <w:t>”</w:t>
      </w:r>
      <w:r w:rsidR="00E32C93" w:rsidRPr="0061470F">
        <w:rPr>
          <w:sz w:val="21"/>
          <w:szCs w:val="21"/>
        </w:rPr>
        <w:t xml:space="preserve"> (a system of taxation based on the number of windows and doors) </w:t>
      </w:r>
      <w:r w:rsidR="00340D5A" w:rsidRPr="0061470F">
        <w:rPr>
          <w:sz w:val="21"/>
          <w:szCs w:val="21"/>
        </w:rPr>
        <w:t xml:space="preserve">remained in effect in France </w:t>
      </w:r>
      <w:r w:rsidR="00C5255B" w:rsidRPr="0061470F">
        <w:rPr>
          <w:sz w:val="21"/>
          <w:szCs w:val="21"/>
        </w:rPr>
        <w:t>to facilitate</w:t>
      </w:r>
      <w:r w:rsidR="00E32C93" w:rsidRPr="0061470F">
        <w:rPr>
          <w:sz w:val="21"/>
          <w:szCs w:val="21"/>
        </w:rPr>
        <w:t xml:space="preserve"> tax collection</w:t>
      </w:r>
      <w:r w:rsidR="00C5255B" w:rsidRPr="0061470F">
        <w:rPr>
          <w:sz w:val="21"/>
          <w:szCs w:val="21"/>
        </w:rPr>
        <w:t>.</w:t>
      </w:r>
      <w:r w:rsidR="00E32C93" w:rsidRPr="0061470F">
        <w:rPr>
          <w:sz w:val="21"/>
          <w:szCs w:val="21"/>
        </w:rPr>
        <w:t xml:space="preserve"> </w:t>
      </w:r>
      <w:r w:rsidR="00C5255B" w:rsidRPr="0061470F">
        <w:rPr>
          <w:sz w:val="21"/>
          <w:szCs w:val="21"/>
        </w:rPr>
        <w:t xml:space="preserve">However, it inadvertently prompted </w:t>
      </w:r>
      <w:r w:rsidR="00E32C93" w:rsidRPr="0061470F">
        <w:rPr>
          <w:sz w:val="21"/>
          <w:szCs w:val="21"/>
        </w:rPr>
        <w:t>a strategy of resistance by</w:t>
      </w:r>
      <w:r w:rsidR="00C5255B" w:rsidRPr="0061470F">
        <w:rPr>
          <w:sz w:val="21"/>
          <w:szCs w:val="21"/>
        </w:rPr>
        <w:t xml:space="preserve"> encouraging</w:t>
      </w:r>
      <w:r w:rsidR="00E32C93" w:rsidRPr="0061470F">
        <w:rPr>
          <w:sz w:val="21"/>
          <w:szCs w:val="21"/>
        </w:rPr>
        <w:t xml:space="preserve"> people </w:t>
      </w:r>
      <w:r w:rsidR="00167802" w:rsidRPr="0061470F">
        <w:rPr>
          <w:sz w:val="21"/>
          <w:szCs w:val="21"/>
        </w:rPr>
        <w:t xml:space="preserve">to </w:t>
      </w:r>
      <w:r w:rsidR="00C5255B" w:rsidRPr="0061470F">
        <w:rPr>
          <w:sz w:val="21"/>
          <w:szCs w:val="21"/>
        </w:rPr>
        <w:t>reduce the number of</w:t>
      </w:r>
      <w:r w:rsidR="00167802" w:rsidRPr="0061470F">
        <w:rPr>
          <w:sz w:val="21"/>
          <w:szCs w:val="21"/>
        </w:rPr>
        <w:t xml:space="preserve"> </w:t>
      </w:r>
      <w:r w:rsidR="00E32C93" w:rsidRPr="0061470F">
        <w:rPr>
          <w:sz w:val="21"/>
          <w:szCs w:val="21"/>
        </w:rPr>
        <w:t>windows and doors</w:t>
      </w:r>
      <w:r w:rsidR="00C5255B" w:rsidRPr="0061470F">
        <w:rPr>
          <w:sz w:val="21"/>
          <w:szCs w:val="21"/>
        </w:rPr>
        <w:t xml:space="preserve"> in their buildings</w:t>
      </w:r>
      <w:r w:rsidR="00E32C93" w:rsidRPr="0061470F">
        <w:rPr>
          <w:sz w:val="21"/>
          <w:szCs w:val="21"/>
        </w:rPr>
        <w:t xml:space="preserve"> (Scott 1998</w:t>
      </w:r>
      <w:r w:rsidR="00B166E7" w:rsidRPr="0061470F">
        <w:rPr>
          <w:sz w:val="21"/>
          <w:szCs w:val="21"/>
        </w:rPr>
        <w:t xml:space="preserve">, </w:t>
      </w:r>
      <w:r w:rsidR="00E32C93" w:rsidRPr="0061470F">
        <w:rPr>
          <w:sz w:val="21"/>
          <w:szCs w:val="21"/>
        </w:rPr>
        <w:t>47</w:t>
      </w:r>
      <w:r w:rsidR="00C5255B" w:rsidRPr="0061470F">
        <w:rPr>
          <w:sz w:val="21"/>
          <w:szCs w:val="21"/>
        </w:rPr>
        <w:t>–</w:t>
      </w:r>
      <w:r w:rsidR="00E32C93" w:rsidRPr="0061470F">
        <w:rPr>
          <w:sz w:val="21"/>
          <w:szCs w:val="21"/>
        </w:rPr>
        <w:t>48).</w:t>
      </w:r>
    </w:p>
  </w:footnote>
  <w:footnote w:id="10">
    <w:p w14:paraId="417A6A86" w14:textId="180C3124" w:rsidR="003E568B" w:rsidRPr="0061470F" w:rsidRDefault="003E568B" w:rsidP="00165FDE">
      <w:pPr>
        <w:pStyle w:val="FootnoteText"/>
        <w:spacing w:after="0"/>
        <w:rPr>
          <w:sz w:val="21"/>
          <w:szCs w:val="21"/>
        </w:rPr>
      </w:pPr>
      <w:r w:rsidRPr="0061470F">
        <w:rPr>
          <w:rStyle w:val="FootnoteReference"/>
          <w:sz w:val="21"/>
          <w:szCs w:val="21"/>
        </w:rPr>
        <w:footnoteRef/>
      </w:r>
      <w:r w:rsidRPr="0061470F">
        <w:rPr>
          <w:sz w:val="21"/>
          <w:szCs w:val="21"/>
        </w:rPr>
        <w:t xml:space="preserve"> Slash-and-burn mobile cultivation, which is frowned upon by the government in terms of taxation and difficulty in understanding demographics, can also be seen as a strategy of resistance by frontier peoples against rule by a central government that has encroached into the backcountry while relying on formal knowledge (Li 1999).</w:t>
      </w:r>
    </w:p>
  </w:footnote>
  <w:footnote w:id="11">
    <w:p w14:paraId="0BECE0BD" w14:textId="0CBEA8A7" w:rsidR="001C57BD" w:rsidRPr="0061470F" w:rsidRDefault="001C57BD" w:rsidP="00165FDE">
      <w:pPr>
        <w:pStyle w:val="FootnoteText"/>
        <w:spacing w:after="0"/>
        <w:rPr>
          <w:sz w:val="21"/>
          <w:szCs w:val="21"/>
        </w:rPr>
      </w:pPr>
      <w:r w:rsidRPr="0061470F">
        <w:rPr>
          <w:rStyle w:val="FootnoteReference"/>
          <w:sz w:val="21"/>
          <w:szCs w:val="21"/>
        </w:rPr>
        <w:footnoteRef/>
      </w:r>
      <w:r w:rsidRPr="0061470F">
        <w:rPr>
          <w:sz w:val="21"/>
          <w:szCs w:val="21"/>
        </w:rPr>
        <w:t xml:space="preserve"> Relevant here is the Austrian economist Friedrich Hayek (1899</w:t>
      </w:r>
      <w:r w:rsidR="00681DA9" w:rsidRPr="0061470F">
        <w:rPr>
          <w:sz w:val="21"/>
          <w:szCs w:val="21"/>
        </w:rPr>
        <w:t>–</w:t>
      </w:r>
      <w:r w:rsidRPr="0061470F">
        <w:rPr>
          <w:sz w:val="21"/>
          <w:szCs w:val="21"/>
        </w:rPr>
        <w:t xml:space="preserve">1992), who pointed out that </w:t>
      </w:r>
      <w:r w:rsidR="00681DA9" w:rsidRPr="0061470F">
        <w:rPr>
          <w:sz w:val="21"/>
          <w:szCs w:val="21"/>
        </w:rPr>
        <w:t>“</w:t>
      </w:r>
      <w:r w:rsidRPr="0061470F">
        <w:rPr>
          <w:sz w:val="21"/>
          <w:szCs w:val="21"/>
        </w:rPr>
        <w:t>the scientific knowledge known to experts is only a small part of the sum of all knowledge.</w:t>
      </w:r>
      <w:r w:rsidR="0067326A" w:rsidRPr="0061470F">
        <w:rPr>
          <w:sz w:val="21"/>
          <w:szCs w:val="21"/>
        </w:rPr>
        <w:t>”</w:t>
      </w:r>
      <w:r w:rsidRPr="0061470F">
        <w:rPr>
          <w:sz w:val="21"/>
          <w:szCs w:val="21"/>
        </w:rPr>
        <w:t xml:space="preserve"> </w:t>
      </w:r>
      <w:r w:rsidR="00681DA9" w:rsidRPr="0061470F">
        <w:rPr>
          <w:sz w:val="21"/>
          <w:szCs w:val="21"/>
        </w:rPr>
        <w:t>More than half a century ago i</w:t>
      </w:r>
      <w:r w:rsidRPr="0061470F">
        <w:rPr>
          <w:sz w:val="21"/>
          <w:szCs w:val="21"/>
        </w:rPr>
        <w:t>n his essay</w:t>
      </w:r>
      <w:r w:rsidR="0002010F" w:rsidRPr="0061470F">
        <w:rPr>
          <w:sz w:val="21"/>
          <w:szCs w:val="21"/>
        </w:rPr>
        <w:t>,</w:t>
      </w:r>
      <w:r w:rsidRPr="0061470F">
        <w:rPr>
          <w:sz w:val="21"/>
          <w:szCs w:val="21"/>
        </w:rPr>
        <w:t xml:space="preserve"> </w:t>
      </w:r>
      <w:r w:rsidR="00681DA9" w:rsidRPr="0061470F">
        <w:rPr>
          <w:sz w:val="21"/>
          <w:szCs w:val="21"/>
        </w:rPr>
        <w:t>“</w:t>
      </w:r>
      <w:r w:rsidRPr="0061470F">
        <w:rPr>
          <w:sz w:val="21"/>
          <w:szCs w:val="21"/>
        </w:rPr>
        <w:t>The Use of Knowledge in Society,</w:t>
      </w:r>
      <w:r w:rsidR="00681DA9" w:rsidRPr="0061470F">
        <w:rPr>
          <w:sz w:val="21"/>
          <w:szCs w:val="21"/>
        </w:rPr>
        <w:t>”</w:t>
      </w:r>
      <w:r w:rsidRPr="0061470F">
        <w:rPr>
          <w:sz w:val="21"/>
          <w:szCs w:val="21"/>
        </w:rPr>
        <w:t xml:space="preserve"> Hayek argued that the advantage of a liberal capitalist economy over a socialist planned economy is that the </w:t>
      </w:r>
      <w:r w:rsidR="00432074" w:rsidRPr="0061470F">
        <w:rPr>
          <w:sz w:val="21"/>
          <w:szCs w:val="21"/>
        </w:rPr>
        <w:t xml:space="preserve">former </w:t>
      </w:r>
      <w:r w:rsidRPr="0061470F">
        <w:rPr>
          <w:sz w:val="21"/>
          <w:szCs w:val="21"/>
        </w:rPr>
        <w:t xml:space="preserve">is better able to capture </w:t>
      </w:r>
      <w:r w:rsidR="00681DA9" w:rsidRPr="0061470F">
        <w:rPr>
          <w:sz w:val="21"/>
          <w:szCs w:val="21"/>
        </w:rPr>
        <w:t>“</w:t>
      </w:r>
      <w:r w:rsidRPr="0061470F">
        <w:rPr>
          <w:sz w:val="21"/>
          <w:szCs w:val="21"/>
        </w:rPr>
        <w:t xml:space="preserve">knowledge of a </w:t>
      </w:r>
      <w:r w:rsidR="00CA7686" w:rsidRPr="0061470F">
        <w:rPr>
          <w:sz w:val="21"/>
          <w:szCs w:val="21"/>
        </w:rPr>
        <w:t xml:space="preserve">particular </w:t>
      </w:r>
      <w:r w:rsidRPr="0061470F">
        <w:rPr>
          <w:sz w:val="21"/>
          <w:szCs w:val="21"/>
        </w:rPr>
        <w:t>circumstance of time and place</w:t>
      </w:r>
      <w:r w:rsidR="00681DA9" w:rsidRPr="0061470F">
        <w:rPr>
          <w:sz w:val="21"/>
          <w:szCs w:val="21"/>
        </w:rPr>
        <w:t>”</w:t>
      </w:r>
      <w:r w:rsidRPr="0061470F">
        <w:rPr>
          <w:sz w:val="21"/>
          <w:szCs w:val="21"/>
        </w:rPr>
        <w:t xml:space="preserve"> through information-intensive </w:t>
      </w:r>
      <w:r w:rsidR="00681DA9" w:rsidRPr="0061470F">
        <w:rPr>
          <w:sz w:val="21"/>
          <w:szCs w:val="21"/>
        </w:rPr>
        <w:t>“</w:t>
      </w:r>
      <w:r w:rsidRPr="0061470F">
        <w:rPr>
          <w:sz w:val="21"/>
          <w:szCs w:val="21"/>
        </w:rPr>
        <w:t>prices</w:t>
      </w:r>
      <w:r w:rsidR="00681DA9" w:rsidRPr="0061470F">
        <w:rPr>
          <w:sz w:val="21"/>
          <w:szCs w:val="21"/>
        </w:rPr>
        <w:t>”</w:t>
      </w:r>
      <w:r w:rsidRPr="0061470F">
        <w:rPr>
          <w:sz w:val="21"/>
          <w:szCs w:val="21"/>
        </w:rPr>
        <w:t xml:space="preserve"> (Hayek 1945</w:t>
      </w:r>
      <w:r w:rsidR="00681DA9" w:rsidRPr="0061470F">
        <w:rPr>
          <w:sz w:val="21"/>
          <w:szCs w:val="21"/>
        </w:rPr>
        <w:t>,</w:t>
      </w:r>
      <w:r w:rsidRPr="0061470F">
        <w:rPr>
          <w:sz w:val="21"/>
          <w:szCs w:val="21"/>
        </w:rPr>
        <w:t xml:space="preserve"> 521). However, </w:t>
      </w:r>
      <w:r w:rsidR="004402F4" w:rsidRPr="0061470F">
        <w:rPr>
          <w:sz w:val="21"/>
          <w:szCs w:val="21"/>
        </w:rPr>
        <w:t>for</w:t>
      </w:r>
      <w:r w:rsidRPr="0061470F">
        <w:rPr>
          <w:sz w:val="21"/>
          <w:szCs w:val="21"/>
        </w:rPr>
        <w:t xml:space="preserve"> society to </w:t>
      </w:r>
      <w:r w:rsidR="004402F4" w:rsidRPr="0061470F">
        <w:rPr>
          <w:sz w:val="21"/>
          <w:szCs w:val="21"/>
        </w:rPr>
        <w:t xml:space="preserve">tap into </w:t>
      </w:r>
      <w:r w:rsidRPr="0061470F">
        <w:rPr>
          <w:sz w:val="21"/>
          <w:szCs w:val="21"/>
        </w:rPr>
        <w:t xml:space="preserve">such knowledge and utilize it as a whole, Hayek pointed out that </w:t>
      </w:r>
      <w:r w:rsidR="00432074" w:rsidRPr="0061470F">
        <w:rPr>
          <w:sz w:val="21"/>
          <w:szCs w:val="21"/>
        </w:rPr>
        <w:t xml:space="preserve">the </w:t>
      </w:r>
      <w:r w:rsidR="00681DA9" w:rsidRPr="0061470F">
        <w:rPr>
          <w:sz w:val="21"/>
          <w:szCs w:val="21"/>
        </w:rPr>
        <w:t>“</w:t>
      </w:r>
      <w:r w:rsidRPr="0061470F">
        <w:rPr>
          <w:sz w:val="21"/>
          <w:szCs w:val="21"/>
        </w:rPr>
        <w:t>man on the spot</w:t>
      </w:r>
      <w:r w:rsidR="00681DA9" w:rsidRPr="0061470F">
        <w:rPr>
          <w:sz w:val="21"/>
          <w:szCs w:val="21"/>
        </w:rPr>
        <w:t>”</w:t>
      </w:r>
      <w:r w:rsidRPr="0061470F">
        <w:rPr>
          <w:sz w:val="21"/>
          <w:szCs w:val="21"/>
        </w:rPr>
        <w:t xml:space="preserve"> must be given appropriate discretionary authority, rather than someone making all the plans centrally. </w:t>
      </w:r>
      <w:r w:rsidR="00681DA9" w:rsidRPr="0061470F">
        <w:rPr>
          <w:sz w:val="21"/>
          <w:szCs w:val="21"/>
        </w:rPr>
        <w:t>On</w:t>
      </w:r>
      <w:r w:rsidR="004402F4" w:rsidRPr="0061470F">
        <w:rPr>
          <w:sz w:val="21"/>
          <w:szCs w:val="21"/>
        </w:rPr>
        <w:t xml:space="preserve"> this basis that Hayek argued</w:t>
      </w:r>
      <w:r w:rsidR="00681DA9" w:rsidRPr="0061470F">
        <w:rPr>
          <w:sz w:val="21"/>
          <w:szCs w:val="21"/>
        </w:rPr>
        <w:t xml:space="preserve"> for</w:t>
      </w:r>
      <w:r w:rsidR="004402F4" w:rsidRPr="0061470F">
        <w:rPr>
          <w:sz w:val="21"/>
          <w:szCs w:val="21"/>
        </w:rPr>
        <w:t xml:space="preserve"> the superiority of market mechanisms over a planned economy</w:t>
      </w:r>
      <w:r w:rsidRPr="0061470F">
        <w:rPr>
          <w:sz w:val="21"/>
          <w:szCs w:val="21"/>
        </w:rPr>
        <w:t>.</w:t>
      </w:r>
    </w:p>
  </w:footnote>
  <w:footnote w:id="12">
    <w:p w14:paraId="7A44C462" w14:textId="7A787F17" w:rsidR="004224CE" w:rsidRPr="0061470F" w:rsidRDefault="004224CE" w:rsidP="00165FDE">
      <w:pPr>
        <w:pStyle w:val="FootnoteText"/>
        <w:spacing w:after="0"/>
        <w:rPr>
          <w:sz w:val="21"/>
          <w:szCs w:val="21"/>
        </w:rPr>
      </w:pPr>
      <w:r w:rsidRPr="0061470F">
        <w:rPr>
          <w:rStyle w:val="FootnoteReference"/>
          <w:sz w:val="21"/>
          <w:szCs w:val="21"/>
        </w:rPr>
        <w:footnoteRef/>
      </w:r>
      <w:r w:rsidRPr="0061470F">
        <w:rPr>
          <w:sz w:val="21"/>
          <w:szCs w:val="21"/>
        </w:rPr>
        <w:t xml:space="preserve"> After witnessing the Sanriku tsunami of 1933, physicist Torahiko Terada (1878</w:t>
      </w:r>
      <w:r w:rsidR="0089340D" w:rsidRPr="0061470F">
        <w:rPr>
          <w:sz w:val="21"/>
          <w:szCs w:val="21"/>
        </w:rPr>
        <w:t>–</w:t>
      </w:r>
      <w:r w:rsidRPr="0061470F">
        <w:rPr>
          <w:sz w:val="21"/>
          <w:szCs w:val="21"/>
        </w:rPr>
        <w:t xml:space="preserve">1935) asked why human preparations for tsunamis have always come too late. He pointed out that the answer was forgetfulness, </w:t>
      </w:r>
      <w:r w:rsidR="0089340D" w:rsidRPr="0061470F">
        <w:rPr>
          <w:sz w:val="21"/>
          <w:szCs w:val="21"/>
        </w:rPr>
        <w:t>referring to</w:t>
      </w:r>
      <w:r w:rsidRPr="0061470F">
        <w:rPr>
          <w:sz w:val="21"/>
          <w:szCs w:val="21"/>
        </w:rPr>
        <w:t xml:space="preserve"> it </w:t>
      </w:r>
      <w:r w:rsidR="0089340D" w:rsidRPr="0061470F">
        <w:rPr>
          <w:sz w:val="21"/>
          <w:szCs w:val="21"/>
        </w:rPr>
        <w:t>as “</w:t>
      </w:r>
      <w:r w:rsidRPr="0061470F">
        <w:rPr>
          <w:sz w:val="21"/>
          <w:szCs w:val="21"/>
        </w:rPr>
        <w:t>a natural phenomenon in the human world</w:t>
      </w:r>
      <w:r w:rsidR="0089340D" w:rsidRPr="0061470F">
        <w:rPr>
          <w:sz w:val="21"/>
          <w:szCs w:val="21"/>
        </w:rPr>
        <w:t>”</w:t>
      </w:r>
      <w:r w:rsidRPr="0061470F">
        <w:rPr>
          <w:sz w:val="21"/>
          <w:szCs w:val="21"/>
        </w:rPr>
        <w:t xml:space="preserve"> (</w:t>
      </w:r>
      <w:r w:rsidRPr="00495F23">
        <w:rPr>
          <w:rFonts w:hint="eastAsia"/>
          <w:sz w:val="21"/>
          <w:szCs w:val="21"/>
        </w:rPr>
        <w:t xml:space="preserve">Terada </w:t>
      </w:r>
      <w:r w:rsidR="003A5C40" w:rsidRPr="00495F23">
        <w:rPr>
          <w:rFonts w:hint="eastAsia"/>
          <w:sz w:val="21"/>
          <w:szCs w:val="21"/>
        </w:rPr>
        <w:t>19</w:t>
      </w:r>
      <w:r w:rsidR="00495F23" w:rsidRPr="00495F23">
        <w:rPr>
          <w:rFonts w:hint="eastAsia"/>
          <w:sz w:val="21"/>
          <w:szCs w:val="21"/>
          <w:lang w:eastAsia="ja-JP"/>
        </w:rPr>
        <w:t>33</w:t>
      </w:r>
      <w:r w:rsidRPr="0061470F">
        <w:rPr>
          <w:sz w:val="21"/>
          <w:szCs w:val="21"/>
        </w:rPr>
        <w:t>). The Sanriku tsunami that claimed 3,000 dead or missing victims was only 37 years after the Sanriku tsunami of June 15, 1896, which killed over 20,000 people. Even this short period was enough for humans to forget the pain of past disasters, and people ha</w:t>
      </w:r>
      <w:r w:rsidR="0089340D" w:rsidRPr="0061470F">
        <w:rPr>
          <w:sz w:val="21"/>
          <w:szCs w:val="21"/>
        </w:rPr>
        <w:t>ve</w:t>
      </w:r>
      <w:r w:rsidRPr="0061470F">
        <w:rPr>
          <w:sz w:val="21"/>
          <w:szCs w:val="21"/>
        </w:rPr>
        <w:t xml:space="preserve"> returned to live in coastal areas for convenience.</w:t>
      </w:r>
    </w:p>
  </w:footnote>
  <w:footnote w:id="13">
    <w:p w14:paraId="22632AD1" w14:textId="52C6CBB7" w:rsidR="00D6597C" w:rsidRPr="0061470F" w:rsidRDefault="00D6597C" w:rsidP="00165FDE">
      <w:pPr>
        <w:pStyle w:val="FootnoteText"/>
        <w:spacing w:after="0"/>
        <w:rPr>
          <w:sz w:val="21"/>
          <w:szCs w:val="21"/>
        </w:rPr>
      </w:pPr>
      <w:r w:rsidRPr="0061470F">
        <w:rPr>
          <w:rStyle w:val="FootnoteReference"/>
          <w:sz w:val="21"/>
          <w:szCs w:val="21"/>
        </w:rPr>
        <w:footnoteRef/>
      </w:r>
      <w:r w:rsidRPr="0061470F">
        <w:rPr>
          <w:sz w:val="21"/>
          <w:szCs w:val="21"/>
        </w:rPr>
        <w:t xml:space="preserve"> Of course, there is a possibility that an overemphasis on practical studies may jeopardize basic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812B7"/>
    <w:multiLevelType w:val="hybridMultilevel"/>
    <w:tmpl w:val="C8E0F472"/>
    <w:lvl w:ilvl="0" w:tplc="18C0CF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31153D"/>
    <w:multiLevelType w:val="hybridMultilevel"/>
    <w:tmpl w:val="048244D8"/>
    <w:lvl w:ilvl="0" w:tplc="808CE5C6">
      <w:start w:val="1"/>
      <w:numFmt w:val="decimal"/>
      <w:lvlText w:val="%1."/>
      <w:lvlJc w:val="left"/>
      <w:pPr>
        <w:ind w:left="1020" w:hanging="360"/>
      </w:pPr>
    </w:lvl>
    <w:lvl w:ilvl="1" w:tplc="7D24471C">
      <w:start w:val="1"/>
      <w:numFmt w:val="decimal"/>
      <w:lvlText w:val="%2."/>
      <w:lvlJc w:val="left"/>
      <w:pPr>
        <w:ind w:left="1020" w:hanging="360"/>
      </w:pPr>
    </w:lvl>
    <w:lvl w:ilvl="2" w:tplc="8AA8D550">
      <w:start w:val="1"/>
      <w:numFmt w:val="decimal"/>
      <w:lvlText w:val="%3."/>
      <w:lvlJc w:val="left"/>
      <w:pPr>
        <w:ind w:left="1020" w:hanging="360"/>
      </w:pPr>
    </w:lvl>
    <w:lvl w:ilvl="3" w:tplc="EE6AFD46">
      <w:start w:val="1"/>
      <w:numFmt w:val="decimal"/>
      <w:lvlText w:val="%4."/>
      <w:lvlJc w:val="left"/>
      <w:pPr>
        <w:ind w:left="1020" w:hanging="360"/>
      </w:pPr>
    </w:lvl>
    <w:lvl w:ilvl="4" w:tplc="26A846CA">
      <w:start w:val="1"/>
      <w:numFmt w:val="decimal"/>
      <w:lvlText w:val="%5."/>
      <w:lvlJc w:val="left"/>
      <w:pPr>
        <w:ind w:left="1020" w:hanging="360"/>
      </w:pPr>
    </w:lvl>
    <w:lvl w:ilvl="5" w:tplc="120CC554">
      <w:start w:val="1"/>
      <w:numFmt w:val="decimal"/>
      <w:lvlText w:val="%6."/>
      <w:lvlJc w:val="left"/>
      <w:pPr>
        <w:ind w:left="1020" w:hanging="360"/>
      </w:pPr>
    </w:lvl>
    <w:lvl w:ilvl="6" w:tplc="B14C56C0">
      <w:start w:val="1"/>
      <w:numFmt w:val="decimal"/>
      <w:lvlText w:val="%7."/>
      <w:lvlJc w:val="left"/>
      <w:pPr>
        <w:ind w:left="1020" w:hanging="360"/>
      </w:pPr>
    </w:lvl>
    <w:lvl w:ilvl="7" w:tplc="79A63F7C">
      <w:start w:val="1"/>
      <w:numFmt w:val="decimal"/>
      <w:lvlText w:val="%8."/>
      <w:lvlJc w:val="left"/>
      <w:pPr>
        <w:ind w:left="1020" w:hanging="360"/>
      </w:pPr>
    </w:lvl>
    <w:lvl w:ilvl="8" w:tplc="DB4C6ADE">
      <w:start w:val="1"/>
      <w:numFmt w:val="decimal"/>
      <w:lvlText w:val="%9."/>
      <w:lvlJc w:val="left"/>
      <w:pPr>
        <w:ind w:left="1020" w:hanging="360"/>
      </w:pPr>
    </w:lvl>
  </w:abstractNum>
  <w:num w:numId="1" w16cid:durableId="115222960">
    <w:abstractNumId w:val="0"/>
  </w:num>
  <w:num w:numId="2" w16cid:durableId="598681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zIxNLUwMjY0MTRW0lEKTi0uzszPAykwrAUAfpDfwiwAAAA="/>
  </w:docVars>
  <w:rsids>
    <w:rsidRoot w:val="00516B45"/>
    <w:rsid w:val="000051BA"/>
    <w:rsid w:val="00014BC2"/>
    <w:rsid w:val="00015FF1"/>
    <w:rsid w:val="0002010F"/>
    <w:rsid w:val="00032B30"/>
    <w:rsid w:val="00034A7F"/>
    <w:rsid w:val="00035C65"/>
    <w:rsid w:val="00036579"/>
    <w:rsid w:val="00044014"/>
    <w:rsid w:val="00045EE1"/>
    <w:rsid w:val="00053CC5"/>
    <w:rsid w:val="000575DF"/>
    <w:rsid w:val="0006255F"/>
    <w:rsid w:val="00063289"/>
    <w:rsid w:val="00071B96"/>
    <w:rsid w:val="000732EA"/>
    <w:rsid w:val="00081D30"/>
    <w:rsid w:val="000843BD"/>
    <w:rsid w:val="0008698F"/>
    <w:rsid w:val="000869B2"/>
    <w:rsid w:val="000A5A27"/>
    <w:rsid w:val="000A6783"/>
    <w:rsid w:val="000B3152"/>
    <w:rsid w:val="000B34CE"/>
    <w:rsid w:val="000B5C85"/>
    <w:rsid w:val="000C73D6"/>
    <w:rsid w:val="000D219E"/>
    <w:rsid w:val="000D24C5"/>
    <w:rsid w:val="000E4383"/>
    <w:rsid w:val="000F03C4"/>
    <w:rsid w:val="000F3C51"/>
    <w:rsid w:val="000F7C53"/>
    <w:rsid w:val="001034B5"/>
    <w:rsid w:val="00114270"/>
    <w:rsid w:val="001178BD"/>
    <w:rsid w:val="0012328A"/>
    <w:rsid w:val="00123454"/>
    <w:rsid w:val="00126A5B"/>
    <w:rsid w:val="00134C52"/>
    <w:rsid w:val="00136835"/>
    <w:rsid w:val="001430C9"/>
    <w:rsid w:val="00147B64"/>
    <w:rsid w:val="0015083F"/>
    <w:rsid w:val="00152DD9"/>
    <w:rsid w:val="001616BD"/>
    <w:rsid w:val="00165FDE"/>
    <w:rsid w:val="00166171"/>
    <w:rsid w:val="00166E5C"/>
    <w:rsid w:val="00167802"/>
    <w:rsid w:val="00171584"/>
    <w:rsid w:val="001717E0"/>
    <w:rsid w:val="001739CE"/>
    <w:rsid w:val="001759DB"/>
    <w:rsid w:val="00176004"/>
    <w:rsid w:val="001761E8"/>
    <w:rsid w:val="00182287"/>
    <w:rsid w:val="00184520"/>
    <w:rsid w:val="001852D0"/>
    <w:rsid w:val="00185624"/>
    <w:rsid w:val="00194521"/>
    <w:rsid w:val="0019512F"/>
    <w:rsid w:val="00197CFF"/>
    <w:rsid w:val="001A4013"/>
    <w:rsid w:val="001A508A"/>
    <w:rsid w:val="001A5732"/>
    <w:rsid w:val="001A699F"/>
    <w:rsid w:val="001B290A"/>
    <w:rsid w:val="001B4BF2"/>
    <w:rsid w:val="001B534A"/>
    <w:rsid w:val="001C1A78"/>
    <w:rsid w:val="001C204F"/>
    <w:rsid w:val="001C57BD"/>
    <w:rsid w:val="001D31BB"/>
    <w:rsid w:val="001D63EF"/>
    <w:rsid w:val="001E0C41"/>
    <w:rsid w:val="001E295D"/>
    <w:rsid w:val="001F1722"/>
    <w:rsid w:val="001F2968"/>
    <w:rsid w:val="001F56EF"/>
    <w:rsid w:val="001F71D8"/>
    <w:rsid w:val="002064B6"/>
    <w:rsid w:val="00206913"/>
    <w:rsid w:val="00216117"/>
    <w:rsid w:val="00221D88"/>
    <w:rsid w:val="00221E09"/>
    <w:rsid w:val="0022452F"/>
    <w:rsid w:val="002265F9"/>
    <w:rsid w:val="00231BC1"/>
    <w:rsid w:val="002379FC"/>
    <w:rsid w:val="00237FFE"/>
    <w:rsid w:val="00250A18"/>
    <w:rsid w:val="00255184"/>
    <w:rsid w:val="002628EF"/>
    <w:rsid w:val="0026666F"/>
    <w:rsid w:val="002666A3"/>
    <w:rsid w:val="00266ACA"/>
    <w:rsid w:val="00266F9C"/>
    <w:rsid w:val="002674F1"/>
    <w:rsid w:val="00267B2F"/>
    <w:rsid w:val="002754DB"/>
    <w:rsid w:val="002758ED"/>
    <w:rsid w:val="002761EC"/>
    <w:rsid w:val="00284367"/>
    <w:rsid w:val="0028523A"/>
    <w:rsid w:val="002900C7"/>
    <w:rsid w:val="002910E8"/>
    <w:rsid w:val="0029202C"/>
    <w:rsid w:val="00292D3B"/>
    <w:rsid w:val="002956C3"/>
    <w:rsid w:val="00296221"/>
    <w:rsid w:val="002A1E7A"/>
    <w:rsid w:val="002A71F9"/>
    <w:rsid w:val="002B248D"/>
    <w:rsid w:val="002B4BCB"/>
    <w:rsid w:val="002C1ED2"/>
    <w:rsid w:val="002C6459"/>
    <w:rsid w:val="002C65BB"/>
    <w:rsid w:val="002D1294"/>
    <w:rsid w:val="002D3B5C"/>
    <w:rsid w:val="002D603B"/>
    <w:rsid w:val="002E045C"/>
    <w:rsid w:val="002E1A04"/>
    <w:rsid w:val="002E4926"/>
    <w:rsid w:val="002E4E93"/>
    <w:rsid w:val="002E6D21"/>
    <w:rsid w:val="002E75D8"/>
    <w:rsid w:val="0030331D"/>
    <w:rsid w:val="0030334B"/>
    <w:rsid w:val="003056E9"/>
    <w:rsid w:val="003149C0"/>
    <w:rsid w:val="00315CAB"/>
    <w:rsid w:val="00317C28"/>
    <w:rsid w:val="00320BEF"/>
    <w:rsid w:val="00323534"/>
    <w:rsid w:val="0032391B"/>
    <w:rsid w:val="003247D4"/>
    <w:rsid w:val="00340D5A"/>
    <w:rsid w:val="003424CC"/>
    <w:rsid w:val="00342BF6"/>
    <w:rsid w:val="00344A61"/>
    <w:rsid w:val="00350487"/>
    <w:rsid w:val="00353869"/>
    <w:rsid w:val="003574AD"/>
    <w:rsid w:val="0036292B"/>
    <w:rsid w:val="003655BC"/>
    <w:rsid w:val="0037241A"/>
    <w:rsid w:val="00375371"/>
    <w:rsid w:val="00380BD4"/>
    <w:rsid w:val="00387418"/>
    <w:rsid w:val="00392D9D"/>
    <w:rsid w:val="00393627"/>
    <w:rsid w:val="00397E37"/>
    <w:rsid w:val="003A393B"/>
    <w:rsid w:val="003A5C40"/>
    <w:rsid w:val="003B4AEA"/>
    <w:rsid w:val="003C2C9E"/>
    <w:rsid w:val="003C36B6"/>
    <w:rsid w:val="003D303D"/>
    <w:rsid w:val="003D6879"/>
    <w:rsid w:val="003E1E73"/>
    <w:rsid w:val="003E568B"/>
    <w:rsid w:val="00416581"/>
    <w:rsid w:val="004224CE"/>
    <w:rsid w:val="0042323E"/>
    <w:rsid w:val="00423593"/>
    <w:rsid w:val="004319C9"/>
    <w:rsid w:val="00432074"/>
    <w:rsid w:val="0043771A"/>
    <w:rsid w:val="004402F4"/>
    <w:rsid w:val="004405C2"/>
    <w:rsid w:val="00444271"/>
    <w:rsid w:val="00444625"/>
    <w:rsid w:val="00453863"/>
    <w:rsid w:val="00453BC1"/>
    <w:rsid w:val="004566D9"/>
    <w:rsid w:val="004648D6"/>
    <w:rsid w:val="00467779"/>
    <w:rsid w:val="0048365A"/>
    <w:rsid w:val="00483A5E"/>
    <w:rsid w:val="00486933"/>
    <w:rsid w:val="00486E95"/>
    <w:rsid w:val="00495F23"/>
    <w:rsid w:val="004A108C"/>
    <w:rsid w:val="004A22C8"/>
    <w:rsid w:val="004A250F"/>
    <w:rsid w:val="004A6A62"/>
    <w:rsid w:val="004B16A2"/>
    <w:rsid w:val="004B7604"/>
    <w:rsid w:val="004C58D0"/>
    <w:rsid w:val="004D4587"/>
    <w:rsid w:val="004D58BC"/>
    <w:rsid w:val="004D5AB5"/>
    <w:rsid w:val="004E7AAE"/>
    <w:rsid w:val="004F410E"/>
    <w:rsid w:val="004F5547"/>
    <w:rsid w:val="004F67C4"/>
    <w:rsid w:val="00506E51"/>
    <w:rsid w:val="00514E1D"/>
    <w:rsid w:val="00516B45"/>
    <w:rsid w:val="00517467"/>
    <w:rsid w:val="00520998"/>
    <w:rsid w:val="00525877"/>
    <w:rsid w:val="00526AF9"/>
    <w:rsid w:val="005427AE"/>
    <w:rsid w:val="00564BCD"/>
    <w:rsid w:val="00567B55"/>
    <w:rsid w:val="00581E14"/>
    <w:rsid w:val="00586ABE"/>
    <w:rsid w:val="00592A42"/>
    <w:rsid w:val="00593322"/>
    <w:rsid w:val="00594B9A"/>
    <w:rsid w:val="00596F3D"/>
    <w:rsid w:val="00597636"/>
    <w:rsid w:val="005A0D26"/>
    <w:rsid w:val="005A1442"/>
    <w:rsid w:val="005A446D"/>
    <w:rsid w:val="005B2D0D"/>
    <w:rsid w:val="005B6328"/>
    <w:rsid w:val="005C78D4"/>
    <w:rsid w:val="005D03A2"/>
    <w:rsid w:val="005D347E"/>
    <w:rsid w:val="005F0536"/>
    <w:rsid w:val="005F0615"/>
    <w:rsid w:val="005F52A9"/>
    <w:rsid w:val="005F5799"/>
    <w:rsid w:val="00605D4F"/>
    <w:rsid w:val="006064F9"/>
    <w:rsid w:val="0061232D"/>
    <w:rsid w:val="0061315B"/>
    <w:rsid w:val="0061470F"/>
    <w:rsid w:val="00615E71"/>
    <w:rsid w:val="006214D1"/>
    <w:rsid w:val="00632CBC"/>
    <w:rsid w:val="00636A01"/>
    <w:rsid w:val="006401DA"/>
    <w:rsid w:val="00644672"/>
    <w:rsid w:val="00645253"/>
    <w:rsid w:val="0065040E"/>
    <w:rsid w:val="0065046D"/>
    <w:rsid w:val="006508C6"/>
    <w:rsid w:val="0065226F"/>
    <w:rsid w:val="00653341"/>
    <w:rsid w:val="00653F05"/>
    <w:rsid w:val="00655285"/>
    <w:rsid w:val="006578E1"/>
    <w:rsid w:val="00662438"/>
    <w:rsid w:val="00666E11"/>
    <w:rsid w:val="00667A76"/>
    <w:rsid w:val="0067326A"/>
    <w:rsid w:val="006804F8"/>
    <w:rsid w:val="00681DA9"/>
    <w:rsid w:val="006831B8"/>
    <w:rsid w:val="006846FF"/>
    <w:rsid w:val="006855B1"/>
    <w:rsid w:val="006857C8"/>
    <w:rsid w:val="006B2992"/>
    <w:rsid w:val="006B3CC3"/>
    <w:rsid w:val="006B4313"/>
    <w:rsid w:val="006B44E9"/>
    <w:rsid w:val="006C13FC"/>
    <w:rsid w:val="006C5078"/>
    <w:rsid w:val="006D05DB"/>
    <w:rsid w:val="006D3804"/>
    <w:rsid w:val="006E162B"/>
    <w:rsid w:val="006E45FF"/>
    <w:rsid w:val="006F02B3"/>
    <w:rsid w:val="006F307F"/>
    <w:rsid w:val="007019B1"/>
    <w:rsid w:val="007102BF"/>
    <w:rsid w:val="00710AD5"/>
    <w:rsid w:val="00715268"/>
    <w:rsid w:val="0072281F"/>
    <w:rsid w:val="00724B8B"/>
    <w:rsid w:val="00725BC3"/>
    <w:rsid w:val="007339C8"/>
    <w:rsid w:val="007360F3"/>
    <w:rsid w:val="00752CD6"/>
    <w:rsid w:val="00756A47"/>
    <w:rsid w:val="007703E8"/>
    <w:rsid w:val="00773A2B"/>
    <w:rsid w:val="00776472"/>
    <w:rsid w:val="0078078F"/>
    <w:rsid w:val="00780FAC"/>
    <w:rsid w:val="0079079F"/>
    <w:rsid w:val="007910BF"/>
    <w:rsid w:val="00793A96"/>
    <w:rsid w:val="00796C43"/>
    <w:rsid w:val="00797006"/>
    <w:rsid w:val="007B13C1"/>
    <w:rsid w:val="007B5347"/>
    <w:rsid w:val="007B619A"/>
    <w:rsid w:val="007C361B"/>
    <w:rsid w:val="007C444E"/>
    <w:rsid w:val="007C520A"/>
    <w:rsid w:val="007D03E6"/>
    <w:rsid w:val="007D1142"/>
    <w:rsid w:val="007D4E3D"/>
    <w:rsid w:val="007D57AC"/>
    <w:rsid w:val="007E4D3E"/>
    <w:rsid w:val="007E7642"/>
    <w:rsid w:val="007F3DE1"/>
    <w:rsid w:val="007F56C6"/>
    <w:rsid w:val="007F64E9"/>
    <w:rsid w:val="007F7B27"/>
    <w:rsid w:val="00800DDE"/>
    <w:rsid w:val="00802037"/>
    <w:rsid w:val="0080334C"/>
    <w:rsid w:val="00810594"/>
    <w:rsid w:val="008111ED"/>
    <w:rsid w:val="00815D29"/>
    <w:rsid w:val="00817B4D"/>
    <w:rsid w:val="00817CA6"/>
    <w:rsid w:val="00820EB6"/>
    <w:rsid w:val="008220AC"/>
    <w:rsid w:val="00826DE8"/>
    <w:rsid w:val="00827140"/>
    <w:rsid w:val="00827D78"/>
    <w:rsid w:val="00830E0F"/>
    <w:rsid w:val="00833241"/>
    <w:rsid w:val="0083476F"/>
    <w:rsid w:val="0084103E"/>
    <w:rsid w:val="00850572"/>
    <w:rsid w:val="00852231"/>
    <w:rsid w:val="008542B7"/>
    <w:rsid w:val="00856DC1"/>
    <w:rsid w:val="008637F8"/>
    <w:rsid w:val="00866D8A"/>
    <w:rsid w:val="00876BDC"/>
    <w:rsid w:val="00883C26"/>
    <w:rsid w:val="0088698C"/>
    <w:rsid w:val="008930A7"/>
    <w:rsid w:val="0089340D"/>
    <w:rsid w:val="00896F14"/>
    <w:rsid w:val="008A13CA"/>
    <w:rsid w:val="008A6105"/>
    <w:rsid w:val="008B2EF4"/>
    <w:rsid w:val="008B34BD"/>
    <w:rsid w:val="008C4026"/>
    <w:rsid w:val="008D1114"/>
    <w:rsid w:val="008D29A8"/>
    <w:rsid w:val="008D7E86"/>
    <w:rsid w:val="008E5855"/>
    <w:rsid w:val="008F04D1"/>
    <w:rsid w:val="008F71AB"/>
    <w:rsid w:val="008F787D"/>
    <w:rsid w:val="00900295"/>
    <w:rsid w:val="009057D7"/>
    <w:rsid w:val="0091112E"/>
    <w:rsid w:val="00913B98"/>
    <w:rsid w:val="00920995"/>
    <w:rsid w:val="00920BB6"/>
    <w:rsid w:val="00921B19"/>
    <w:rsid w:val="00925AB5"/>
    <w:rsid w:val="0093516E"/>
    <w:rsid w:val="00937F91"/>
    <w:rsid w:val="00940BC6"/>
    <w:rsid w:val="009416E7"/>
    <w:rsid w:val="009423C4"/>
    <w:rsid w:val="00943345"/>
    <w:rsid w:val="0094548A"/>
    <w:rsid w:val="00946123"/>
    <w:rsid w:val="009538D4"/>
    <w:rsid w:val="00955D91"/>
    <w:rsid w:val="009569BB"/>
    <w:rsid w:val="009623EA"/>
    <w:rsid w:val="00962CCD"/>
    <w:rsid w:val="00963431"/>
    <w:rsid w:val="00967930"/>
    <w:rsid w:val="009704E0"/>
    <w:rsid w:val="0097280C"/>
    <w:rsid w:val="00973578"/>
    <w:rsid w:val="00973EF7"/>
    <w:rsid w:val="009956AF"/>
    <w:rsid w:val="009A2EA6"/>
    <w:rsid w:val="009A4032"/>
    <w:rsid w:val="009A429E"/>
    <w:rsid w:val="009A51D1"/>
    <w:rsid w:val="009B2439"/>
    <w:rsid w:val="009B332F"/>
    <w:rsid w:val="009B3788"/>
    <w:rsid w:val="009B6088"/>
    <w:rsid w:val="009B7350"/>
    <w:rsid w:val="009C17CF"/>
    <w:rsid w:val="009C2C92"/>
    <w:rsid w:val="009D7E38"/>
    <w:rsid w:val="009E39C2"/>
    <w:rsid w:val="009E4E49"/>
    <w:rsid w:val="009E689F"/>
    <w:rsid w:val="009E7A49"/>
    <w:rsid w:val="009F3515"/>
    <w:rsid w:val="00A032C0"/>
    <w:rsid w:val="00A136F4"/>
    <w:rsid w:val="00A14349"/>
    <w:rsid w:val="00A14967"/>
    <w:rsid w:val="00A170EF"/>
    <w:rsid w:val="00A2477B"/>
    <w:rsid w:val="00A25B0A"/>
    <w:rsid w:val="00A26D85"/>
    <w:rsid w:val="00A3053E"/>
    <w:rsid w:val="00A32563"/>
    <w:rsid w:val="00A365C1"/>
    <w:rsid w:val="00A37B42"/>
    <w:rsid w:val="00A37BF8"/>
    <w:rsid w:val="00A43BC1"/>
    <w:rsid w:val="00A5146B"/>
    <w:rsid w:val="00A532F8"/>
    <w:rsid w:val="00A5649A"/>
    <w:rsid w:val="00A573AD"/>
    <w:rsid w:val="00A61B5E"/>
    <w:rsid w:val="00A808C2"/>
    <w:rsid w:val="00A83C91"/>
    <w:rsid w:val="00A923E3"/>
    <w:rsid w:val="00A92461"/>
    <w:rsid w:val="00A92E95"/>
    <w:rsid w:val="00A9321C"/>
    <w:rsid w:val="00A962D5"/>
    <w:rsid w:val="00A97227"/>
    <w:rsid w:val="00AA449F"/>
    <w:rsid w:val="00AB3C23"/>
    <w:rsid w:val="00AC1C9A"/>
    <w:rsid w:val="00AC1E0C"/>
    <w:rsid w:val="00AC2F28"/>
    <w:rsid w:val="00AC5DD2"/>
    <w:rsid w:val="00AC5F90"/>
    <w:rsid w:val="00AD0D7E"/>
    <w:rsid w:val="00AD66AC"/>
    <w:rsid w:val="00AE2352"/>
    <w:rsid w:val="00AE2BAE"/>
    <w:rsid w:val="00AE3BEE"/>
    <w:rsid w:val="00AE6C94"/>
    <w:rsid w:val="00AF5FC2"/>
    <w:rsid w:val="00B01DAD"/>
    <w:rsid w:val="00B03FDE"/>
    <w:rsid w:val="00B166E7"/>
    <w:rsid w:val="00B17C2F"/>
    <w:rsid w:val="00B2346C"/>
    <w:rsid w:val="00B26341"/>
    <w:rsid w:val="00B27A3E"/>
    <w:rsid w:val="00B30BEB"/>
    <w:rsid w:val="00B34DD7"/>
    <w:rsid w:val="00B37EC4"/>
    <w:rsid w:val="00B454A6"/>
    <w:rsid w:val="00B56DA9"/>
    <w:rsid w:val="00B605C5"/>
    <w:rsid w:val="00B62A30"/>
    <w:rsid w:val="00B63804"/>
    <w:rsid w:val="00B6642F"/>
    <w:rsid w:val="00B66C52"/>
    <w:rsid w:val="00B70DAE"/>
    <w:rsid w:val="00B73934"/>
    <w:rsid w:val="00B73D23"/>
    <w:rsid w:val="00B81FA5"/>
    <w:rsid w:val="00B939A1"/>
    <w:rsid w:val="00B93BE6"/>
    <w:rsid w:val="00BA3544"/>
    <w:rsid w:val="00BA4757"/>
    <w:rsid w:val="00BA5698"/>
    <w:rsid w:val="00BB7E60"/>
    <w:rsid w:val="00BC265A"/>
    <w:rsid w:val="00BD136B"/>
    <w:rsid w:val="00BD1AE3"/>
    <w:rsid w:val="00BD22D9"/>
    <w:rsid w:val="00BD4E86"/>
    <w:rsid w:val="00BE07B4"/>
    <w:rsid w:val="00BE7B64"/>
    <w:rsid w:val="00BF036B"/>
    <w:rsid w:val="00BF19E9"/>
    <w:rsid w:val="00BF7212"/>
    <w:rsid w:val="00C04F31"/>
    <w:rsid w:val="00C05B8E"/>
    <w:rsid w:val="00C06140"/>
    <w:rsid w:val="00C10BB9"/>
    <w:rsid w:val="00C23FC0"/>
    <w:rsid w:val="00C2748A"/>
    <w:rsid w:val="00C30B15"/>
    <w:rsid w:val="00C33E0C"/>
    <w:rsid w:val="00C41E96"/>
    <w:rsid w:val="00C437EA"/>
    <w:rsid w:val="00C45413"/>
    <w:rsid w:val="00C4732B"/>
    <w:rsid w:val="00C5255B"/>
    <w:rsid w:val="00C52CC3"/>
    <w:rsid w:val="00C537CC"/>
    <w:rsid w:val="00C6304E"/>
    <w:rsid w:val="00C64FDC"/>
    <w:rsid w:val="00C67490"/>
    <w:rsid w:val="00C753F9"/>
    <w:rsid w:val="00C76CBF"/>
    <w:rsid w:val="00C83CC6"/>
    <w:rsid w:val="00C8427F"/>
    <w:rsid w:val="00C86746"/>
    <w:rsid w:val="00C95D63"/>
    <w:rsid w:val="00CA2AAF"/>
    <w:rsid w:val="00CA3F14"/>
    <w:rsid w:val="00CA7686"/>
    <w:rsid w:val="00CB05B8"/>
    <w:rsid w:val="00CB1DEF"/>
    <w:rsid w:val="00CB6708"/>
    <w:rsid w:val="00CC0B15"/>
    <w:rsid w:val="00CC199D"/>
    <w:rsid w:val="00CC3658"/>
    <w:rsid w:val="00CD15ED"/>
    <w:rsid w:val="00CD1C76"/>
    <w:rsid w:val="00CD3BD6"/>
    <w:rsid w:val="00CD75BB"/>
    <w:rsid w:val="00CE04B2"/>
    <w:rsid w:val="00CE2870"/>
    <w:rsid w:val="00CF0C48"/>
    <w:rsid w:val="00CF2DDD"/>
    <w:rsid w:val="00CF385A"/>
    <w:rsid w:val="00CF61DB"/>
    <w:rsid w:val="00D00000"/>
    <w:rsid w:val="00D0020E"/>
    <w:rsid w:val="00D03E21"/>
    <w:rsid w:val="00D053C9"/>
    <w:rsid w:val="00D06901"/>
    <w:rsid w:val="00D06902"/>
    <w:rsid w:val="00D13A7E"/>
    <w:rsid w:val="00D1697E"/>
    <w:rsid w:val="00D239ED"/>
    <w:rsid w:val="00D25CF2"/>
    <w:rsid w:val="00D31295"/>
    <w:rsid w:val="00D40022"/>
    <w:rsid w:val="00D40051"/>
    <w:rsid w:val="00D44D22"/>
    <w:rsid w:val="00D46916"/>
    <w:rsid w:val="00D47224"/>
    <w:rsid w:val="00D5532D"/>
    <w:rsid w:val="00D57D4C"/>
    <w:rsid w:val="00D6054E"/>
    <w:rsid w:val="00D62595"/>
    <w:rsid w:val="00D6597C"/>
    <w:rsid w:val="00D67152"/>
    <w:rsid w:val="00D75F82"/>
    <w:rsid w:val="00D80065"/>
    <w:rsid w:val="00D80618"/>
    <w:rsid w:val="00D83630"/>
    <w:rsid w:val="00D83F7E"/>
    <w:rsid w:val="00D85A1E"/>
    <w:rsid w:val="00D86390"/>
    <w:rsid w:val="00D93146"/>
    <w:rsid w:val="00D93311"/>
    <w:rsid w:val="00D957B4"/>
    <w:rsid w:val="00DA2BFA"/>
    <w:rsid w:val="00DA3B8A"/>
    <w:rsid w:val="00DA5CBA"/>
    <w:rsid w:val="00DA65E8"/>
    <w:rsid w:val="00DA79CB"/>
    <w:rsid w:val="00DB1120"/>
    <w:rsid w:val="00DB199D"/>
    <w:rsid w:val="00DB4F11"/>
    <w:rsid w:val="00DB6BB9"/>
    <w:rsid w:val="00DC02C7"/>
    <w:rsid w:val="00DC0E7D"/>
    <w:rsid w:val="00DC1E5A"/>
    <w:rsid w:val="00DC4E33"/>
    <w:rsid w:val="00DC7946"/>
    <w:rsid w:val="00DD03F1"/>
    <w:rsid w:val="00DD727D"/>
    <w:rsid w:val="00E00BF1"/>
    <w:rsid w:val="00E03E08"/>
    <w:rsid w:val="00E124C2"/>
    <w:rsid w:val="00E2414C"/>
    <w:rsid w:val="00E27B26"/>
    <w:rsid w:val="00E30562"/>
    <w:rsid w:val="00E31BD4"/>
    <w:rsid w:val="00E32C93"/>
    <w:rsid w:val="00E3312E"/>
    <w:rsid w:val="00E40DD4"/>
    <w:rsid w:val="00E421F6"/>
    <w:rsid w:val="00E431BF"/>
    <w:rsid w:val="00E45E71"/>
    <w:rsid w:val="00E610BF"/>
    <w:rsid w:val="00E61BF5"/>
    <w:rsid w:val="00E92EAB"/>
    <w:rsid w:val="00E964FB"/>
    <w:rsid w:val="00E9789C"/>
    <w:rsid w:val="00EA2527"/>
    <w:rsid w:val="00EA727A"/>
    <w:rsid w:val="00EB6761"/>
    <w:rsid w:val="00EB6779"/>
    <w:rsid w:val="00EB6E49"/>
    <w:rsid w:val="00EC0969"/>
    <w:rsid w:val="00ED16BA"/>
    <w:rsid w:val="00ED4B09"/>
    <w:rsid w:val="00EE34F8"/>
    <w:rsid w:val="00EE4913"/>
    <w:rsid w:val="00EE5C91"/>
    <w:rsid w:val="00EE6926"/>
    <w:rsid w:val="00EE6DEF"/>
    <w:rsid w:val="00EF159A"/>
    <w:rsid w:val="00F01AF9"/>
    <w:rsid w:val="00F02665"/>
    <w:rsid w:val="00F048DF"/>
    <w:rsid w:val="00F10419"/>
    <w:rsid w:val="00F1049A"/>
    <w:rsid w:val="00F212F5"/>
    <w:rsid w:val="00F34B49"/>
    <w:rsid w:val="00F50FD9"/>
    <w:rsid w:val="00F645FA"/>
    <w:rsid w:val="00F66631"/>
    <w:rsid w:val="00F666E7"/>
    <w:rsid w:val="00F8040B"/>
    <w:rsid w:val="00F835DB"/>
    <w:rsid w:val="00F90FA1"/>
    <w:rsid w:val="00F951B6"/>
    <w:rsid w:val="00F97F4E"/>
    <w:rsid w:val="00FA22F9"/>
    <w:rsid w:val="00FA2941"/>
    <w:rsid w:val="00FA4F9C"/>
    <w:rsid w:val="00FA5046"/>
    <w:rsid w:val="00FA7E3F"/>
    <w:rsid w:val="00FB0897"/>
    <w:rsid w:val="00FB1040"/>
    <w:rsid w:val="00FB5B18"/>
    <w:rsid w:val="00FC33AC"/>
    <w:rsid w:val="00FD0516"/>
    <w:rsid w:val="00FD16C9"/>
    <w:rsid w:val="00FD383D"/>
    <w:rsid w:val="00FE6FBC"/>
    <w:rsid w:val="00FE7EA4"/>
    <w:rsid w:val="00FF567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0A1D79"/>
  <w15:chartTrackingRefBased/>
  <w15:docId w15:val="{5448DA12-E7D5-8542-9121-668E2A76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123"/>
    <w:pPr>
      <w:spacing w:after="360" w:line="360" w:lineRule="auto"/>
      <w:jc w:val="both"/>
    </w:pPr>
    <w:rPr>
      <w:rFonts w:ascii="Calibri" w:hAnsi="Calibri" w:cs="Calibri"/>
      <w:kern w:val="0"/>
      <w:sz w:val="24"/>
      <w:szCs w:val="24"/>
      <w:lang w:eastAsia="en-US"/>
    </w:rPr>
  </w:style>
  <w:style w:type="paragraph" w:styleId="Heading1">
    <w:name w:val="heading 1"/>
    <w:basedOn w:val="Normal"/>
    <w:next w:val="Normal"/>
    <w:link w:val="Heading1Char"/>
    <w:uiPriority w:val="9"/>
    <w:qFormat/>
    <w:rsid w:val="005B2D0D"/>
    <w:pPr>
      <w:outlineLvl w:val="0"/>
    </w:pPr>
    <w:rPr>
      <w:b/>
      <w:bCs/>
    </w:rPr>
  </w:style>
  <w:style w:type="paragraph" w:styleId="Heading2">
    <w:name w:val="heading 2"/>
    <w:basedOn w:val="Normal"/>
    <w:next w:val="Normal"/>
    <w:link w:val="Heading2Char"/>
    <w:uiPriority w:val="9"/>
    <w:unhideWhenUsed/>
    <w:qFormat/>
    <w:rsid w:val="005B2D0D"/>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666F"/>
    <w:pPr>
      <w:snapToGrid w:val="0"/>
      <w:jc w:val="left"/>
    </w:pPr>
  </w:style>
  <w:style w:type="character" w:customStyle="1" w:styleId="FootnoteTextChar">
    <w:name w:val="Footnote Text Char"/>
    <w:basedOn w:val="DefaultParagraphFont"/>
    <w:link w:val="FootnoteText"/>
    <w:uiPriority w:val="99"/>
    <w:rsid w:val="0026666F"/>
  </w:style>
  <w:style w:type="character" w:styleId="FootnoteReference">
    <w:name w:val="footnote reference"/>
    <w:basedOn w:val="DefaultParagraphFont"/>
    <w:uiPriority w:val="99"/>
    <w:semiHidden/>
    <w:unhideWhenUsed/>
    <w:rsid w:val="0026666F"/>
    <w:rPr>
      <w:vertAlign w:val="superscript"/>
    </w:rPr>
  </w:style>
  <w:style w:type="paragraph" w:styleId="Header">
    <w:name w:val="header"/>
    <w:basedOn w:val="Normal"/>
    <w:link w:val="HeaderChar"/>
    <w:uiPriority w:val="99"/>
    <w:unhideWhenUsed/>
    <w:rsid w:val="00380BD4"/>
    <w:pPr>
      <w:tabs>
        <w:tab w:val="center" w:pos="4252"/>
        <w:tab w:val="right" w:pos="8504"/>
      </w:tabs>
      <w:snapToGrid w:val="0"/>
    </w:pPr>
  </w:style>
  <w:style w:type="character" w:customStyle="1" w:styleId="HeaderChar">
    <w:name w:val="Header Char"/>
    <w:basedOn w:val="DefaultParagraphFont"/>
    <w:link w:val="Header"/>
    <w:uiPriority w:val="99"/>
    <w:rsid w:val="00380BD4"/>
  </w:style>
  <w:style w:type="paragraph" w:styleId="Footer">
    <w:name w:val="footer"/>
    <w:basedOn w:val="Normal"/>
    <w:link w:val="FooterChar"/>
    <w:uiPriority w:val="99"/>
    <w:unhideWhenUsed/>
    <w:rsid w:val="00380BD4"/>
    <w:pPr>
      <w:tabs>
        <w:tab w:val="center" w:pos="4252"/>
        <w:tab w:val="right" w:pos="8504"/>
      </w:tabs>
      <w:snapToGrid w:val="0"/>
    </w:pPr>
  </w:style>
  <w:style w:type="character" w:customStyle="1" w:styleId="FooterChar">
    <w:name w:val="Footer Char"/>
    <w:basedOn w:val="DefaultParagraphFont"/>
    <w:link w:val="Footer"/>
    <w:uiPriority w:val="99"/>
    <w:rsid w:val="00380BD4"/>
  </w:style>
  <w:style w:type="character" w:styleId="CommentReference">
    <w:name w:val="annotation reference"/>
    <w:basedOn w:val="DefaultParagraphFont"/>
    <w:uiPriority w:val="99"/>
    <w:semiHidden/>
    <w:unhideWhenUsed/>
    <w:rsid w:val="001A5732"/>
    <w:rPr>
      <w:sz w:val="16"/>
      <w:szCs w:val="16"/>
    </w:rPr>
  </w:style>
  <w:style w:type="paragraph" w:styleId="CommentText">
    <w:name w:val="annotation text"/>
    <w:basedOn w:val="Normal"/>
    <w:link w:val="CommentTextChar"/>
    <w:uiPriority w:val="99"/>
    <w:unhideWhenUsed/>
    <w:rsid w:val="00C30B15"/>
    <w:pPr>
      <w:jc w:val="left"/>
    </w:pPr>
  </w:style>
  <w:style w:type="character" w:customStyle="1" w:styleId="CommentTextChar">
    <w:name w:val="Comment Text Char"/>
    <w:basedOn w:val="DefaultParagraphFont"/>
    <w:link w:val="CommentText"/>
    <w:uiPriority w:val="99"/>
    <w:rsid w:val="00C30B15"/>
  </w:style>
  <w:style w:type="paragraph" w:styleId="CommentSubject">
    <w:name w:val="annotation subject"/>
    <w:basedOn w:val="CommentText"/>
    <w:next w:val="CommentText"/>
    <w:link w:val="CommentSubjectChar"/>
    <w:uiPriority w:val="99"/>
    <w:semiHidden/>
    <w:unhideWhenUsed/>
    <w:rsid w:val="00C30B15"/>
    <w:rPr>
      <w:b/>
      <w:bCs/>
    </w:rPr>
  </w:style>
  <w:style w:type="character" w:customStyle="1" w:styleId="CommentSubjectChar">
    <w:name w:val="Comment Subject Char"/>
    <w:basedOn w:val="CommentTextChar"/>
    <w:link w:val="CommentSubject"/>
    <w:uiPriority w:val="99"/>
    <w:semiHidden/>
    <w:rsid w:val="00C30B15"/>
    <w:rPr>
      <w:b/>
      <w:bCs/>
    </w:rPr>
  </w:style>
  <w:style w:type="paragraph" w:styleId="NoSpacing">
    <w:name w:val="No Spacing"/>
    <w:uiPriority w:val="1"/>
    <w:qFormat/>
    <w:rsid w:val="00D44D22"/>
    <w:pPr>
      <w:widowControl w:val="0"/>
      <w:jc w:val="both"/>
    </w:pPr>
  </w:style>
  <w:style w:type="paragraph" w:styleId="NormalWeb">
    <w:name w:val="Normal (Web)"/>
    <w:basedOn w:val="Normal"/>
    <w:uiPriority w:val="99"/>
    <w:unhideWhenUsed/>
    <w:rsid w:val="00850572"/>
    <w:pPr>
      <w:spacing w:before="100" w:beforeAutospacing="1" w:after="100" w:afterAutospacing="1"/>
      <w:jc w:val="left"/>
    </w:pPr>
    <w:rPr>
      <w:rFonts w:ascii="MS PGothic" w:eastAsia="MS PGothic" w:hAnsi="MS PGothic" w:cs="MS PGothic"/>
    </w:rPr>
  </w:style>
  <w:style w:type="paragraph" w:styleId="ListParagraph">
    <w:name w:val="List Paragraph"/>
    <w:basedOn w:val="Normal"/>
    <w:uiPriority w:val="34"/>
    <w:qFormat/>
    <w:rsid w:val="002D1294"/>
    <w:pPr>
      <w:ind w:leftChars="400" w:left="840"/>
    </w:pPr>
  </w:style>
  <w:style w:type="paragraph" w:styleId="Revision">
    <w:name w:val="Revision"/>
    <w:hidden/>
    <w:uiPriority w:val="99"/>
    <w:semiHidden/>
    <w:rsid w:val="000F03C4"/>
  </w:style>
  <w:style w:type="character" w:styleId="Hyperlink">
    <w:name w:val="Hyperlink"/>
    <w:basedOn w:val="DefaultParagraphFont"/>
    <w:uiPriority w:val="99"/>
    <w:unhideWhenUsed/>
    <w:rsid w:val="007D1142"/>
    <w:rPr>
      <w:color w:val="0563C1" w:themeColor="hyperlink"/>
      <w:u w:val="single"/>
    </w:rPr>
  </w:style>
  <w:style w:type="character" w:styleId="UnresolvedMention">
    <w:name w:val="Unresolved Mention"/>
    <w:basedOn w:val="DefaultParagraphFont"/>
    <w:uiPriority w:val="99"/>
    <w:semiHidden/>
    <w:unhideWhenUsed/>
    <w:rsid w:val="007D1142"/>
    <w:rPr>
      <w:color w:val="605E5C"/>
      <w:shd w:val="clear" w:color="auto" w:fill="E1DFDD"/>
    </w:rPr>
  </w:style>
  <w:style w:type="character" w:customStyle="1" w:styleId="author">
    <w:name w:val="author"/>
    <w:basedOn w:val="DefaultParagraphFont"/>
    <w:rsid w:val="00506E51"/>
  </w:style>
  <w:style w:type="character" w:customStyle="1" w:styleId="a-color-secondary">
    <w:name w:val="a-color-secondary"/>
    <w:basedOn w:val="DefaultParagraphFont"/>
    <w:rsid w:val="00506E51"/>
  </w:style>
  <w:style w:type="character" w:customStyle="1" w:styleId="Heading1Char">
    <w:name w:val="Heading 1 Char"/>
    <w:basedOn w:val="DefaultParagraphFont"/>
    <w:link w:val="Heading1"/>
    <w:uiPriority w:val="9"/>
    <w:rsid w:val="005B2D0D"/>
    <w:rPr>
      <w:rFonts w:cstheme="minorHAnsi"/>
      <w:b/>
      <w:bCs/>
      <w:kern w:val="0"/>
      <w:sz w:val="24"/>
      <w:szCs w:val="24"/>
      <w:lang w:eastAsia="en-US"/>
    </w:rPr>
  </w:style>
  <w:style w:type="character" w:customStyle="1" w:styleId="a-size-extra-large">
    <w:name w:val="a-size-extra-large"/>
    <w:basedOn w:val="DefaultParagraphFont"/>
    <w:rsid w:val="00506E51"/>
  </w:style>
  <w:style w:type="character" w:styleId="FollowedHyperlink">
    <w:name w:val="FollowedHyperlink"/>
    <w:basedOn w:val="DefaultParagraphFont"/>
    <w:uiPriority w:val="99"/>
    <w:semiHidden/>
    <w:unhideWhenUsed/>
    <w:rsid w:val="00506E51"/>
    <w:rPr>
      <w:color w:val="954F72" w:themeColor="followedHyperlink"/>
      <w:u w:val="single"/>
    </w:rPr>
  </w:style>
  <w:style w:type="character" w:styleId="Strong">
    <w:name w:val="Strong"/>
    <w:basedOn w:val="DefaultParagraphFont"/>
    <w:uiPriority w:val="22"/>
    <w:qFormat/>
    <w:rsid w:val="004224CE"/>
    <w:rPr>
      <w:b/>
      <w:bCs/>
    </w:rPr>
  </w:style>
  <w:style w:type="character" w:customStyle="1" w:styleId="apple-converted-space">
    <w:name w:val="apple-converted-space"/>
    <w:basedOn w:val="DefaultParagraphFont"/>
    <w:rsid w:val="002956C3"/>
  </w:style>
  <w:style w:type="paragraph" w:styleId="Quote">
    <w:name w:val="Quote"/>
    <w:basedOn w:val="Normal"/>
    <w:next w:val="Normal"/>
    <w:link w:val="QuoteChar"/>
    <w:uiPriority w:val="29"/>
    <w:qFormat/>
    <w:rsid w:val="005B2D0D"/>
    <w:pPr>
      <w:spacing w:before="360"/>
      <w:ind w:leftChars="177" w:left="425" w:rightChars="332" w:right="797"/>
    </w:pPr>
  </w:style>
  <w:style w:type="character" w:customStyle="1" w:styleId="QuoteChar">
    <w:name w:val="Quote Char"/>
    <w:basedOn w:val="DefaultParagraphFont"/>
    <w:link w:val="Quote"/>
    <w:uiPriority w:val="29"/>
    <w:rsid w:val="005B2D0D"/>
    <w:rPr>
      <w:rFonts w:cstheme="minorHAnsi"/>
      <w:kern w:val="0"/>
      <w:sz w:val="24"/>
      <w:szCs w:val="24"/>
      <w:lang w:eastAsia="en-US"/>
    </w:rPr>
  </w:style>
  <w:style w:type="character" w:customStyle="1" w:styleId="Heading2Char">
    <w:name w:val="Heading 2 Char"/>
    <w:basedOn w:val="DefaultParagraphFont"/>
    <w:link w:val="Heading2"/>
    <w:uiPriority w:val="9"/>
    <w:rsid w:val="005B2D0D"/>
    <w:rPr>
      <w:rFonts w:cstheme="minorHAnsi"/>
      <w:i/>
      <w:iCs/>
      <w:kern w:val="0"/>
      <w:sz w:val="24"/>
      <w:szCs w:val="24"/>
      <w:lang w:eastAsia="en-US"/>
    </w:rPr>
  </w:style>
  <w:style w:type="character" w:styleId="SubtleReference">
    <w:name w:val="Subtle Reference"/>
    <w:uiPriority w:val="31"/>
    <w:qFormat/>
    <w:rsid w:val="005B2D0D"/>
    <w:rPr>
      <w:sz w:val="21"/>
      <w:szCs w:val="21"/>
    </w:rPr>
  </w:style>
  <w:style w:type="paragraph" w:styleId="Title">
    <w:name w:val="Title"/>
    <w:basedOn w:val="Normal"/>
    <w:next w:val="Normal"/>
    <w:link w:val="TitleChar"/>
    <w:uiPriority w:val="10"/>
    <w:qFormat/>
    <w:rsid w:val="005B2D0D"/>
    <w:pPr>
      <w:spacing w:before="240" w:after="480"/>
      <w:jc w:val="left"/>
    </w:pPr>
    <w:rPr>
      <w:b/>
      <w:bCs/>
      <w:sz w:val="32"/>
      <w:szCs w:val="32"/>
    </w:rPr>
  </w:style>
  <w:style w:type="character" w:customStyle="1" w:styleId="TitleChar">
    <w:name w:val="Title Char"/>
    <w:basedOn w:val="DefaultParagraphFont"/>
    <w:link w:val="Title"/>
    <w:uiPriority w:val="10"/>
    <w:rsid w:val="005B2D0D"/>
    <w:rPr>
      <w:rFonts w:cstheme="minorHAnsi"/>
      <w:b/>
      <w:bCs/>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1512">
      <w:bodyDiv w:val="1"/>
      <w:marLeft w:val="0"/>
      <w:marRight w:val="0"/>
      <w:marTop w:val="0"/>
      <w:marBottom w:val="0"/>
      <w:divBdr>
        <w:top w:val="none" w:sz="0" w:space="0" w:color="auto"/>
        <w:left w:val="none" w:sz="0" w:space="0" w:color="auto"/>
        <w:bottom w:val="none" w:sz="0" w:space="0" w:color="auto"/>
        <w:right w:val="none" w:sz="0" w:space="0" w:color="auto"/>
      </w:divBdr>
    </w:div>
    <w:div w:id="529614426">
      <w:bodyDiv w:val="1"/>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828471787">
              <w:marLeft w:val="0"/>
              <w:marRight w:val="0"/>
              <w:marTop w:val="0"/>
              <w:marBottom w:val="0"/>
              <w:divBdr>
                <w:top w:val="none" w:sz="0" w:space="0" w:color="auto"/>
                <w:left w:val="none" w:sz="0" w:space="0" w:color="auto"/>
                <w:bottom w:val="none" w:sz="0" w:space="0" w:color="auto"/>
                <w:right w:val="none" w:sz="0" w:space="0" w:color="auto"/>
              </w:divBdr>
            </w:div>
          </w:divsChild>
        </w:div>
        <w:div w:id="1196691972">
          <w:marLeft w:val="0"/>
          <w:marRight w:val="0"/>
          <w:marTop w:val="0"/>
          <w:marBottom w:val="0"/>
          <w:divBdr>
            <w:top w:val="none" w:sz="0" w:space="0" w:color="auto"/>
            <w:left w:val="none" w:sz="0" w:space="0" w:color="auto"/>
            <w:bottom w:val="none" w:sz="0" w:space="0" w:color="auto"/>
            <w:right w:val="none" w:sz="0" w:space="0" w:color="auto"/>
          </w:divBdr>
          <w:divsChild>
            <w:div w:id="4097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942">
      <w:bodyDiv w:val="1"/>
      <w:marLeft w:val="0"/>
      <w:marRight w:val="0"/>
      <w:marTop w:val="0"/>
      <w:marBottom w:val="0"/>
      <w:divBdr>
        <w:top w:val="none" w:sz="0" w:space="0" w:color="auto"/>
        <w:left w:val="none" w:sz="0" w:space="0" w:color="auto"/>
        <w:bottom w:val="none" w:sz="0" w:space="0" w:color="auto"/>
        <w:right w:val="none" w:sz="0" w:space="0" w:color="auto"/>
      </w:divBdr>
    </w:div>
    <w:div w:id="1514758445">
      <w:bodyDiv w:val="1"/>
      <w:marLeft w:val="0"/>
      <w:marRight w:val="0"/>
      <w:marTop w:val="0"/>
      <w:marBottom w:val="0"/>
      <w:divBdr>
        <w:top w:val="none" w:sz="0" w:space="0" w:color="auto"/>
        <w:left w:val="none" w:sz="0" w:space="0" w:color="auto"/>
        <w:bottom w:val="none" w:sz="0" w:space="0" w:color="auto"/>
        <w:right w:val="none" w:sz="0" w:space="0" w:color="auto"/>
      </w:divBdr>
    </w:div>
    <w:div w:id="1749573749">
      <w:bodyDiv w:val="1"/>
      <w:marLeft w:val="0"/>
      <w:marRight w:val="0"/>
      <w:marTop w:val="0"/>
      <w:marBottom w:val="0"/>
      <w:divBdr>
        <w:top w:val="none" w:sz="0" w:space="0" w:color="auto"/>
        <w:left w:val="none" w:sz="0" w:space="0" w:color="auto"/>
        <w:bottom w:val="none" w:sz="0" w:space="0" w:color="auto"/>
        <w:right w:val="none" w:sz="0" w:space="0" w:color="auto"/>
      </w:divBdr>
    </w:div>
    <w:div w:id="19083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azon.com/s/ref=dp_byline_sr_book_2?ie=UTF8&amp;field-author=Brian+Caterino&amp;text=Brian+Caterino&amp;sort=relevancerank&amp;search-alias=books" TargetMode="External"/><Relationship Id="rId1" Type="http://schemas.openxmlformats.org/officeDocument/2006/relationships/hyperlink" Target="https://www.amazon.com/s/ref=dp_byline_sr_book_1?ie=UTF8&amp;field-author=Sanford+F.+Schram&amp;text=Sanford+F.+Schram&amp;sort=relevancerank&amp;search-alias=book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ee0af0bd13ec595/CloudDocument/021_SS/&#21453;&#36578;&#33521;&#35379;&#26412;/&#12487;&#12540;&#12479;/&#22259;&#34920;&#26356;&#26032;&#12487;&#12540;&#12479;/&#27700;&#20451;&#30149;&#35469;&#23450;&#30003;&#355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24587863073018E-2"/>
          <c:y val="0.10692126992448608"/>
          <c:w val="0.89018930941789376"/>
          <c:h val="0.69231970203468485"/>
        </c:manualLayout>
      </c:layout>
      <c:barChart>
        <c:barDir val="col"/>
        <c:grouping val="stacked"/>
        <c:varyColors val="0"/>
        <c:ser>
          <c:idx val="1"/>
          <c:order val="0"/>
          <c:tx>
            <c:strRef>
              <c:f>水俣病認定申請!$H$6</c:f>
              <c:strCache>
                <c:ptCount val="1"/>
                <c:pt idx="0">
                  <c:v>Identification confirmed</c:v>
                </c:pt>
              </c:strCache>
            </c:strRef>
          </c:tx>
          <c:spPr>
            <a:solidFill>
              <a:schemeClr val="tx1"/>
            </a:solidFill>
            <a:ln>
              <a:solidFill>
                <a:schemeClr val="tx1"/>
              </a:solidFill>
            </a:ln>
            <a:effectLst/>
          </c:spPr>
          <c:invertIfNegative val="0"/>
          <c:cat>
            <c:numRef>
              <c:f>(水俣病認定申請!$AM$1:$CH$1,水俣病認定申請!$CK$1)</c:f>
              <c:numCache>
                <c:formatCode>General</c:formatCode>
                <c:ptCount val="49"/>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2020</c:v>
                </c:pt>
              </c:numCache>
              <c:extLst/>
            </c:numRef>
          </c:cat>
          <c:val>
            <c:numRef>
              <c:f>(水俣病認定申請!$AM$6:$CH$6,水俣病認定申請!$CK$6)</c:f>
              <c:numCache>
                <c:formatCode>General</c:formatCode>
                <c:ptCount val="49"/>
                <c:pt idx="0">
                  <c:v>173</c:v>
                </c:pt>
                <c:pt idx="1">
                  <c:v>286</c:v>
                </c:pt>
                <c:pt idx="2">
                  <c:v>680</c:v>
                </c:pt>
                <c:pt idx="3">
                  <c:v>1157</c:v>
                </c:pt>
                <c:pt idx="4">
                  <c:v>1341</c:v>
                </c:pt>
                <c:pt idx="5">
                  <c:v>1570</c:v>
                </c:pt>
                <c:pt idx="6">
                  <c:v>1747</c:v>
                </c:pt>
                <c:pt idx="7">
                  <c:v>1986</c:v>
                </c:pt>
                <c:pt idx="8">
                  <c:v>2186</c:v>
                </c:pt>
                <c:pt idx="9">
                  <c:v>2332</c:v>
                </c:pt>
                <c:pt idx="10">
                  <c:v>2407</c:v>
                </c:pt>
                <c:pt idx="11">
                  <c:v>2488</c:v>
                </c:pt>
                <c:pt idx="12">
                  <c:v>2573</c:v>
                </c:pt>
                <c:pt idx="13">
                  <c:v>2662</c:v>
                </c:pt>
                <c:pt idx="14">
                  <c:v>2731</c:v>
                </c:pt>
                <c:pt idx="15">
                  <c:v>2789</c:v>
                </c:pt>
                <c:pt idx="16">
                  <c:v>2846</c:v>
                </c:pt>
                <c:pt idx="17">
                  <c:v>2886</c:v>
                </c:pt>
                <c:pt idx="18">
                  <c:v>2905</c:v>
                </c:pt>
                <c:pt idx="19">
                  <c:v>2922</c:v>
                </c:pt>
                <c:pt idx="20">
                  <c:v>2936</c:v>
                </c:pt>
                <c:pt idx="21">
                  <c:v>2945</c:v>
                </c:pt>
                <c:pt idx="22">
                  <c:v>2948</c:v>
                </c:pt>
                <c:pt idx="23">
                  <c:v>2949</c:v>
                </c:pt>
                <c:pt idx="24">
                  <c:v>2950</c:v>
                </c:pt>
                <c:pt idx="25">
                  <c:v>2951</c:v>
                </c:pt>
                <c:pt idx="26">
                  <c:v>2952</c:v>
                </c:pt>
                <c:pt idx="27">
                  <c:v>2952</c:v>
                </c:pt>
                <c:pt idx="28">
                  <c:v>2952</c:v>
                </c:pt>
                <c:pt idx="29">
                  <c:v>2954</c:v>
                </c:pt>
                <c:pt idx="30">
                  <c:v>2955</c:v>
                </c:pt>
                <c:pt idx="31">
                  <c:v>2955</c:v>
                </c:pt>
                <c:pt idx="32" formatCode="#,##0">
                  <c:v>2955</c:v>
                </c:pt>
                <c:pt idx="33" formatCode="#,##0">
                  <c:v>2955</c:v>
                </c:pt>
                <c:pt idx="34" formatCode="#,##0">
                  <c:v>2955</c:v>
                </c:pt>
                <c:pt idx="35" formatCode="#,##0">
                  <c:v>2955</c:v>
                </c:pt>
                <c:pt idx="36" formatCode="#,##0">
                  <c:v>2955</c:v>
                </c:pt>
                <c:pt idx="37" formatCode="#,##0">
                  <c:v>2955</c:v>
                </c:pt>
                <c:pt idx="38" formatCode="#,##0">
                  <c:v>2958</c:v>
                </c:pt>
                <c:pt idx="39" formatCode="#,##0">
                  <c:v>2960</c:v>
                </c:pt>
                <c:pt idx="40" formatCode="#,##0">
                  <c:v>2962</c:v>
                </c:pt>
                <c:pt idx="41" formatCode="#,##0">
                  <c:v>2967</c:v>
                </c:pt>
                <c:pt idx="42" formatCode="#,##0">
                  <c:v>2970</c:v>
                </c:pt>
                <c:pt idx="43" formatCode="#,##0">
                  <c:v>2973</c:v>
                </c:pt>
                <c:pt idx="44" formatCode="#,##0">
                  <c:v>2978</c:v>
                </c:pt>
                <c:pt idx="45" formatCode="#,##0">
                  <c:v>2979</c:v>
                </c:pt>
                <c:pt idx="46" formatCode="#,##0">
                  <c:v>2985</c:v>
                </c:pt>
                <c:pt idx="47" formatCode="#,##0">
                  <c:v>2987</c:v>
                </c:pt>
                <c:pt idx="48" formatCode="#,##0">
                  <c:v>2998</c:v>
                </c:pt>
              </c:numCache>
              <c:extLst/>
            </c:numRef>
          </c:val>
          <c:extLst>
            <c:ext xmlns:c16="http://schemas.microsoft.com/office/drawing/2014/chart" uri="{C3380CC4-5D6E-409C-BE32-E72D297353CC}">
              <c16:uniqueId val="{00000000-134E-475E-A200-C95E69EFBB4E}"/>
            </c:ext>
          </c:extLst>
        </c:ser>
        <c:ser>
          <c:idx val="2"/>
          <c:order val="1"/>
          <c:tx>
            <c:strRef>
              <c:f>水俣病認定申請!$H$7</c:f>
              <c:strCache>
                <c:ptCount val="1"/>
                <c:pt idx="0">
                  <c:v>Dismissed</c:v>
                </c:pt>
              </c:strCache>
            </c:strRef>
          </c:tx>
          <c:spPr>
            <a:pattFill prst="pct5">
              <a:fgClr>
                <a:schemeClr val="tx1"/>
              </a:fgClr>
              <a:bgClr>
                <a:schemeClr val="bg1"/>
              </a:bgClr>
            </a:pattFill>
            <a:ln>
              <a:solidFill>
                <a:schemeClr val="tx1"/>
              </a:solidFill>
            </a:ln>
            <a:effectLst/>
          </c:spPr>
          <c:invertIfNegative val="0"/>
          <c:cat>
            <c:numRef>
              <c:f>(水俣病認定申請!$AM$1:$CH$1,水俣病認定申請!$CK$1)</c:f>
              <c:numCache>
                <c:formatCode>General</c:formatCode>
                <c:ptCount val="49"/>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2020</c:v>
                </c:pt>
              </c:numCache>
              <c:extLst/>
            </c:numRef>
          </c:cat>
          <c:val>
            <c:numRef>
              <c:f>(水俣病認定申請!$AM$7:$CH$7,水俣病認定申請!$CK$7)</c:f>
              <c:numCache>
                <c:formatCode>General</c:formatCode>
                <c:ptCount val="49"/>
                <c:pt idx="0">
                  <c:v>24</c:v>
                </c:pt>
                <c:pt idx="1">
                  <c:v>27</c:v>
                </c:pt>
                <c:pt idx="2">
                  <c:v>47</c:v>
                </c:pt>
                <c:pt idx="3">
                  <c:v>160</c:v>
                </c:pt>
                <c:pt idx="4">
                  <c:v>416</c:v>
                </c:pt>
                <c:pt idx="5">
                  <c:v>699</c:v>
                </c:pt>
                <c:pt idx="6">
                  <c:v>1028</c:v>
                </c:pt>
                <c:pt idx="7">
                  <c:v>1454</c:v>
                </c:pt>
                <c:pt idx="8">
                  <c:v>2029</c:v>
                </c:pt>
                <c:pt idx="9">
                  <c:v>2924</c:v>
                </c:pt>
                <c:pt idx="10">
                  <c:v>3909</c:v>
                </c:pt>
                <c:pt idx="11">
                  <c:v>4854</c:v>
                </c:pt>
                <c:pt idx="12">
                  <c:v>5432</c:v>
                </c:pt>
                <c:pt idx="13">
                  <c:v>5946</c:v>
                </c:pt>
                <c:pt idx="14">
                  <c:v>6577</c:v>
                </c:pt>
                <c:pt idx="15">
                  <c:v>7227</c:v>
                </c:pt>
                <c:pt idx="16">
                  <c:v>8223</c:v>
                </c:pt>
                <c:pt idx="17">
                  <c:v>9959</c:v>
                </c:pt>
                <c:pt idx="18">
                  <c:v>10970</c:v>
                </c:pt>
                <c:pt idx="19">
                  <c:v>11911</c:v>
                </c:pt>
                <c:pt idx="20">
                  <c:v>12622</c:v>
                </c:pt>
                <c:pt idx="21">
                  <c:v>13277</c:v>
                </c:pt>
                <c:pt idx="22">
                  <c:v>13771</c:v>
                </c:pt>
                <c:pt idx="23">
                  <c:v>14227</c:v>
                </c:pt>
                <c:pt idx="24">
                  <c:v>14888</c:v>
                </c:pt>
                <c:pt idx="25">
                  <c:v>15451</c:v>
                </c:pt>
                <c:pt idx="26">
                  <c:v>15798</c:v>
                </c:pt>
                <c:pt idx="27">
                  <c:v>16016</c:v>
                </c:pt>
                <c:pt idx="28">
                  <c:v>16064</c:v>
                </c:pt>
                <c:pt idx="29">
                  <c:v>16117</c:v>
                </c:pt>
                <c:pt idx="30">
                  <c:v>16135</c:v>
                </c:pt>
                <c:pt idx="31">
                  <c:v>16181</c:v>
                </c:pt>
                <c:pt idx="32" formatCode="#,##0">
                  <c:v>16143</c:v>
                </c:pt>
                <c:pt idx="33" formatCode="#,##0">
                  <c:v>16191</c:v>
                </c:pt>
                <c:pt idx="34" formatCode="#,##0">
                  <c:v>16263</c:v>
                </c:pt>
                <c:pt idx="35" formatCode="#,##0">
                  <c:v>16282</c:v>
                </c:pt>
                <c:pt idx="36" formatCode="#,##0">
                  <c:v>16289</c:v>
                </c:pt>
                <c:pt idx="37" formatCode="#,##0">
                  <c:v>16289</c:v>
                </c:pt>
                <c:pt idx="38" formatCode="#,##0">
                  <c:v>16287</c:v>
                </c:pt>
                <c:pt idx="39" formatCode="#,##0">
                  <c:v>16300</c:v>
                </c:pt>
                <c:pt idx="40" formatCode="#,##0">
                  <c:v>16308</c:v>
                </c:pt>
                <c:pt idx="41" formatCode="#,##0">
                  <c:v>16532</c:v>
                </c:pt>
                <c:pt idx="42" formatCode="#,##0">
                  <c:v>16552</c:v>
                </c:pt>
                <c:pt idx="43" formatCode="#,##0">
                  <c:v>16710</c:v>
                </c:pt>
                <c:pt idx="44" formatCode="#,##0">
                  <c:v>16792</c:v>
                </c:pt>
                <c:pt idx="45" formatCode="#,##0">
                  <c:v>16825</c:v>
                </c:pt>
                <c:pt idx="46" formatCode="#,##0">
                  <c:v>16986</c:v>
                </c:pt>
                <c:pt idx="47" formatCode="#,##0">
                  <c:v>17401</c:v>
                </c:pt>
                <c:pt idx="48" formatCode="#,##0">
                  <c:v>18793</c:v>
                </c:pt>
              </c:numCache>
              <c:extLst/>
            </c:numRef>
          </c:val>
          <c:extLst>
            <c:ext xmlns:c16="http://schemas.microsoft.com/office/drawing/2014/chart" uri="{C3380CC4-5D6E-409C-BE32-E72D297353CC}">
              <c16:uniqueId val="{00000001-134E-475E-A200-C95E69EFBB4E}"/>
            </c:ext>
          </c:extLst>
        </c:ser>
        <c:ser>
          <c:idx val="0"/>
          <c:order val="2"/>
          <c:tx>
            <c:strRef>
              <c:f>水俣病認定申請!$H$5</c:f>
              <c:strCache>
                <c:ptCount val="1"/>
                <c:pt idx="0">
                  <c:v>Withdrawn</c:v>
                </c:pt>
              </c:strCache>
            </c:strRef>
          </c:tx>
          <c:spPr>
            <a:pattFill prst="dkUpDiag">
              <a:fgClr>
                <a:schemeClr val="tx1"/>
              </a:fgClr>
              <a:bgClr>
                <a:schemeClr val="bg1"/>
              </a:bgClr>
            </a:pattFill>
            <a:ln>
              <a:solidFill>
                <a:schemeClr val="tx1"/>
              </a:solidFill>
            </a:ln>
            <a:effectLst/>
          </c:spPr>
          <c:invertIfNegative val="0"/>
          <c:cat>
            <c:numRef>
              <c:f>(水俣病認定申請!$AM$1:$CH$1,水俣病認定申請!$CK$1)</c:f>
              <c:numCache>
                <c:formatCode>General</c:formatCode>
                <c:ptCount val="49"/>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2020</c:v>
                </c:pt>
              </c:numCache>
              <c:extLst/>
            </c:numRef>
          </c:cat>
          <c:val>
            <c:numRef>
              <c:f>(水俣病認定申請!$AM$5:$CH$5,水俣病認定申請!$CK$5)</c:f>
              <c:numCache>
                <c:formatCode>General</c:formatCode>
                <c:ptCount val="49"/>
                <c:pt idx="0">
                  <c:v>1690</c:v>
                </c:pt>
                <c:pt idx="1">
                  <c:v>1855</c:v>
                </c:pt>
                <c:pt idx="2">
                  <c:v>1921</c:v>
                </c:pt>
                <c:pt idx="3">
                  <c:v>1920</c:v>
                </c:pt>
                <c:pt idx="4">
                  <c:v>1827</c:v>
                </c:pt>
                <c:pt idx="5">
                  <c:v>1888</c:v>
                </c:pt>
                <c:pt idx="6">
                  <c:v>1904</c:v>
                </c:pt>
                <c:pt idx="7">
                  <c:v>2107</c:v>
                </c:pt>
                <c:pt idx="8">
                  <c:v>2082</c:v>
                </c:pt>
                <c:pt idx="9">
                  <c:v>2110</c:v>
                </c:pt>
                <c:pt idx="10">
                  <c:v>2121</c:v>
                </c:pt>
                <c:pt idx="11">
                  <c:v>2111</c:v>
                </c:pt>
                <c:pt idx="12">
                  <c:v>2098</c:v>
                </c:pt>
                <c:pt idx="13">
                  <c:v>2191</c:v>
                </c:pt>
                <c:pt idx="14">
                  <c:v>2303</c:v>
                </c:pt>
                <c:pt idx="15">
                  <c:v>2255</c:v>
                </c:pt>
                <c:pt idx="16">
                  <c:v>2289</c:v>
                </c:pt>
                <c:pt idx="17">
                  <c:v>2322</c:v>
                </c:pt>
                <c:pt idx="18">
                  <c:v>2296</c:v>
                </c:pt>
                <c:pt idx="19">
                  <c:v>2281</c:v>
                </c:pt>
                <c:pt idx="20">
                  <c:v>2360</c:v>
                </c:pt>
                <c:pt idx="21">
                  <c:v>2358</c:v>
                </c:pt>
                <c:pt idx="22">
                  <c:v>2349</c:v>
                </c:pt>
                <c:pt idx="23">
                  <c:v>2370</c:v>
                </c:pt>
                <c:pt idx="24">
                  <c:v>2557</c:v>
                </c:pt>
                <c:pt idx="25">
                  <c:v>2407</c:v>
                </c:pt>
                <c:pt idx="26">
                  <c:v>2427</c:v>
                </c:pt>
                <c:pt idx="27">
                  <c:v>2419</c:v>
                </c:pt>
                <c:pt idx="28">
                  <c:v>2405</c:v>
                </c:pt>
                <c:pt idx="29">
                  <c:v>2377</c:v>
                </c:pt>
                <c:pt idx="30">
                  <c:v>2370</c:v>
                </c:pt>
                <c:pt idx="31">
                  <c:v>2355</c:v>
                </c:pt>
                <c:pt idx="32" formatCode="#,##0">
                  <c:v>2359</c:v>
                </c:pt>
                <c:pt idx="33" formatCode="#,##0">
                  <c:v>2364</c:v>
                </c:pt>
                <c:pt idx="34" formatCode="#,##0">
                  <c:v>2372</c:v>
                </c:pt>
                <c:pt idx="35" formatCode="#,##0">
                  <c:v>2372</c:v>
                </c:pt>
                <c:pt idx="36" formatCode="#,##0">
                  <c:v>2382</c:v>
                </c:pt>
                <c:pt idx="37" formatCode="#,##0">
                  <c:v>2684</c:v>
                </c:pt>
                <c:pt idx="38" formatCode="#,##0">
                  <c:v>2858</c:v>
                </c:pt>
                <c:pt idx="39" formatCode="#,##0">
                  <c:v>2956</c:v>
                </c:pt>
                <c:pt idx="40" formatCode="#,##0">
                  <c:v>3033</c:v>
                </c:pt>
                <c:pt idx="41" formatCode="#,##0">
                  <c:v>3120</c:v>
                </c:pt>
                <c:pt idx="42" formatCode="#,##0">
                  <c:v>8107</c:v>
                </c:pt>
                <c:pt idx="43" formatCode="#,##0">
                  <c:v>11205</c:v>
                </c:pt>
                <c:pt idx="44" formatCode="#,##0">
                  <c:v>11264</c:v>
                </c:pt>
                <c:pt idx="45" formatCode="#,##0">
                  <c:v>11318</c:v>
                </c:pt>
                <c:pt idx="46" formatCode="#,##0">
                  <c:v>11357</c:v>
                </c:pt>
                <c:pt idx="47" formatCode="#,##0">
                  <c:v>11434</c:v>
                </c:pt>
                <c:pt idx="48" formatCode="#,##0">
                  <c:v>11681</c:v>
                </c:pt>
              </c:numCache>
              <c:extLst/>
            </c:numRef>
          </c:val>
          <c:extLst>
            <c:ext xmlns:c16="http://schemas.microsoft.com/office/drawing/2014/chart" uri="{C3380CC4-5D6E-409C-BE32-E72D297353CC}">
              <c16:uniqueId val="{00000002-134E-475E-A200-C95E69EFBB4E}"/>
            </c:ext>
          </c:extLst>
        </c:ser>
        <c:ser>
          <c:idx val="3"/>
          <c:order val="3"/>
          <c:tx>
            <c:strRef>
              <c:f>水俣病認定申請!$H$8</c:f>
              <c:strCache>
                <c:ptCount val="1"/>
                <c:pt idx="0">
                  <c:v>Pending</c:v>
                </c:pt>
              </c:strCache>
            </c:strRef>
          </c:tx>
          <c:spPr>
            <a:pattFill prst="ltHorz">
              <a:fgClr>
                <a:schemeClr val="tx1"/>
              </a:fgClr>
              <a:bgClr>
                <a:schemeClr val="bg1"/>
              </a:bgClr>
            </a:pattFill>
            <a:ln>
              <a:solidFill>
                <a:schemeClr val="tx1"/>
              </a:solidFill>
            </a:ln>
            <a:effectLst/>
          </c:spPr>
          <c:invertIfNegative val="0"/>
          <c:cat>
            <c:numRef>
              <c:f>(水俣病認定申請!$AM$1:$CH$1,水俣病認定申請!$CK$1)</c:f>
              <c:numCache>
                <c:formatCode>General</c:formatCode>
                <c:ptCount val="49"/>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2020</c:v>
                </c:pt>
              </c:numCache>
              <c:extLst/>
            </c:numRef>
          </c:cat>
          <c:val>
            <c:numRef>
              <c:f>(水俣病認定申請!$AM$8:$CH$8,水俣病認定申請!$CK$8)</c:f>
              <c:numCache>
                <c:formatCode>General</c:formatCode>
                <c:ptCount val="49"/>
                <c:pt idx="0">
                  <c:v>64</c:v>
                </c:pt>
                <c:pt idx="1">
                  <c:v>234</c:v>
                </c:pt>
                <c:pt idx="2">
                  <c:v>673</c:v>
                </c:pt>
                <c:pt idx="3">
                  <c:v>2592</c:v>
                </c:pt>
                <c:pt idx="4">
                  <c:v>3531</c:v>
                </c:pt>
                <c:pt idx="5">
                  <c:v>3820</c:v>
                </c:pt>
                <c:pt idx="6">
                  <c:v>4283</c:v>
                </c:pt>
                <c:pt idx="7">
                  <c:v>5197</c:v>
                </c:pt>
                <c:pt idx="8">
                  <c:v>5645</c:v>
                </c:pt>
                <c:pt idx="9">
                  <c:v>5508</c:v>
                </c:pt>
                <c:pt idx="10">
                  <c:v>5207</c:v>
                </c:pt>
                <c:pt idx="11">
                  <c:v>4887</c:v>
                </c:pt>
                <c:pt idx="12">
                  <c:v>4748</c:v>
                </c:pt>
                <c:pt idx="13">
                  <c:v>4895</c:v>
                </c:pt>
                <c:pt idx="14">
                  <c:v>5019</c:v>
                </c:pt>
                <c:pt idx="15">
                  <c:v>5107</c:v>
                </c:pt>
                <c:pt idx="16">
                  <c:v>4783</c:v>
                </c:pt>
                <c:pt idx="17">
                  <c:v>3799</c:v>
                </c:pt>
                <c:pt idx="18">
                  <c:v>3282</c:v>
                </c:pt>
                <c:pt idx="19">
                  <c:v>2630</c:v>
                </c:pt>
                <c:pt idx="20">
                  <c:v>2221</c:v>
                </c:pt>
                <c:pt idx="21">
                  <c:v>2004</c:v>
                </c:pt>
                <c:pt idx="22">
                  <c:v>1752</c:v>
                </c:pt>
                <c:pt idx="23">
                  <c:v>1461</c:v>
                </c:pt>
                <c:pt idx="24">
                  <c:v>955</c:v>
                </c:pt>
                <c:pt idx="25">
                  <c:v>620</c:v>
                </c:pt>
                <c:pt idx="26">
                  <c:v>269</c:v>
                </c:pt>
                <c:pt idx="27">
                  <c:v>68</c:v>
                </c:pt>
                <c:pt idx="28">
                  <c:v>35</c:v>
                </c:pt>
                <c:pt idx="29">
                  <c:v>50</c:v>
                </c:pt>
                <c:pt idx="30">
                  <c:v>50</c:v>
                </c:pt>
                <c:pt idx="31">
                  <c:v>98</c:v>
                </c:pt>
                <c:pt idx="32" formatCode="#,##0">
                  <c:v>50</c:v>
                </c:pt>
                <c:pt idx="33" formatCode="#,##0">
                  <c:v>96</c:v>
                </c:pt>
                <c:pt idx="34" formatCode="#,##0">
                  <c:v>32</c:v>
                </c:pt>
                <c:pt idx="35" formatCode="#,##0">
                  <c:v>25</c:v>
                </c:pt>
                <c:pt idx="36" formatCode="#,##0">
                  <c:v>1330</c:v>
                </c:pt>
                <c:pt idx="37" formatCode="#,##0">
                  <c:v>3793</c:v>
                </c:pt>
                <c:pt idx="38" formatCode="#,##0">
                  <c:v>5120</c:v>
                </c:pt>
                <c:pt idx="39" formatCode="#,##0">
                  <c:v>6014</c:v>
                </c:pt>
                <c:pt idx="40" formatCode="#,##0">
                  <c:v>6415</c:v>
                </c:pt>
                <c:pt idx="41" formatCode="#,##0">
                  <c:v>7825</c:v>
                </c:pt>
                <c:pt idx="42" formatCode="#,##0">
                  <c:v>3548</c:v>
                </c:pt>
                <c:pt idx="43" formatCode="#,##0">
                  <c:v>320</c:v>
                </c:pt>
                <c:pt idx="44" formatCode="#,##0">
                  <c:v>672</c:v>
                </c:pt>
                <c:pt idx="45" formatCode="#,##0">
                  <c:v>1750</c:v>
                </c:pt>
                <c:pt idx="46" formatCode="#,##0">
                  <c:v>2284</c:v>
                </c:pt>
                <c:pt idx="47" formatCode="#,##0">
                  <c:v>2223</c:v>
                </c:pt>
                <c:pt idx="48" formatCode="#,##0">
                  <c:v>1620</c:v>
                </c:pt>
              </c:numCache>
              <c:extLst/>
            </c:numRef>
          </c:val>
          <c:extLst>
            <c:ext xmlns:c16="http://schemas.microsoft.com/office/drawing/2014/chart" uri="{C3380CC4-5D6E-409C-BE32-E72D297353CC}">
              <c16:uniqueId val="{00000003-134E-475E-A200-C95E69EFBB4E}"/>
            </c:ext>
          </c:extLst>
        </c:ser>
        <c:dLbls>
          <c:showLegendKey val="0"/>
          <c:showVal val="0"/>
          <c:showCatName val="0"/>
          <c:showSerName val="0"/>
          <c:showPercent val="0"/>
          <c:showBubbleSize val="0"/>
        </c:dLbls>
        <c:gapWidth val="150"/>
        <c:overlap val="100"/>
        <c:axId val="2109227631"/>
        <c:axId val="2100267535"/>
      </c:barChart>
      <c:dateAx>
        <c:axId val="2109227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lang="ja-JP" sz="1050" b="0" i="0" u="none" strike="noStrike" kern="1200" baseline="0">
                <a:solidFill>
                  <a:schemeClr val="tx1">
                    <a:lumMod val="65000"/>
                    <a:lumOff val="35000"/>
                  </a:schemeClr>
                </a:solidFill>
                <a:latin typeface="+mn-lt"/>
                <a:ea typeface="+mn-ea"/>
                <a:cs typeface="+mn-cs"/>
              </a:defRPr>
            </a:pPr>
            <a:endParaRPr lang="en-IL"/>
          </a:p>
        </c:txPr>
        <c:crossAx val="2100267535"/>
        <c:crosses val="autoZero"/>
        <c:auto val="0"/>
        <c:lblOffset val="100"/>
        <c:baseTimeUnit val="days"/>
        <c:majorUnit val="10"/>
        <c:majorTimeUnit val="days"/>
      </c:dateAx>
      <c:valAx>
        <c:axId val="210026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1050" b="0" i="0" u="none" strike="noStrike" kern="1200" baseline="0">
                <a:solidFill>
                  <a:schemeClr val="tx1">
                    <a:lumMod val="65000"/>
                    <a:lumOff val="35000"/>
                  </a:schemeClr>
                </a:solidFill>
                <a:latin typeface="+mn-lt"/>
                <a:ea typeface="+mn-ea"/>
                <a:cs typeface="+mn-cs"/>
              </a:defRPr>
            </a:pPr>
            <a:endParaRPr lang="en-IL"/>
          </a:p>
        </c:txPr>
        <c:crossAx val="2109227631"/>
        <c:crosses val="autoZero"/>
        <c:crossBetween val="between"/>
        <c:dispUnits>
          <c:builtInUnit val="thousands"/>
          <c:dispUnitsLbl>
            <c:layout>
              <c:manualLayout>
                <c:xMode val="edge"/>
                <c:yMode val="edge"/>
                <c:x val="1.4326498737478445E-3"/>
                <c:y val="1.8273996160211099E-2"/>
              </c:manualLayout>
            </c:layout>
            <c:tx>
              <c:rich>
                <a:bodyPr rot="0" spcFirstLastPara="1" vertOverflow="ellipsis" wrap="square" anchor="ctr" anchorCtr="1"/>
                <a:lstStyle/>
                <a:p>
                  <a:pPr>
                    <a:defRPr lang="ja-JP" sz="1050" b="1" i="0" u="none" strike="noStrike" kern="1200" baseline="0">
                      <a:solidFill>
                        <a:schemeClr val="tx1">
                          <a:lumMod val="65000"/>
                          <a:lumOff val="35000"/>
                        </a:schemeClr>
                      </a:solidFill>
                      <a:latin typeface="+mn-lt"/>
                      <a:ea typeface="+mn-ea"/>
                      <a:cs typeface="+mn-cs"/>
                    </a:defRPr>
                  </a:pPr>
                  <a:r>
                    <a:rPr lang="en-US" altLang="ja-JP" sz="1050" b="1"/>
                    <a:t>N =1000</a:t>
                  </a:r>
                  <a:endParaRPr lang="ja-JP" altLang="en-US" sz="1050" b="1"/>
                </a:p>
              </c:rich>
            </c:tx>
            <c:spPr>
              <a:noFill/>
              <a:ln>
                <a:noFill/>
              </a:ln>
              <a:effectLst/>
            </c:spPr>
            <c:txPr>
              <a:bodyPr rot="0" spcFirstLastPara="1" vertOverflow="ellipsis" wrap="square" anchor="ctr" anchorCtr="1"/>
              <a:lstStyle/>
              <a:p>
                <a:pPr>
                  <a:defRPr lang="ja-JP" sz="1050" b="1" i="0" u="none" strike="noStrike" kern="1200" baseline="0">
                    <a:solidFill>
                      <a:schemeClr val="tx1">
                        <a:lumMod val="65000"/>
                        <a:lumOff val="35000"/>
                      </a:schemeClr>
                    </a:solidFill>
                    <a:latin typeface="+mn-lt"/>
                    <a:ea typeface="+mn-ea"/>
                    <a:cs typeface="+mn-cs"/>
                  </a:defRPr>
                </a:pPr>
                <a:endParaRPr lang="en-I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105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E5A07-6F64-4E07-96CE-CEDB30E7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6723</Words>
  <Characters>36372</Characters>
  <Application>Microsoft Office Word</Application>
  <DocSecurity>0</DocSecurity>
  <Lines>534</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dc:creator>
  <cp:keywords/>
  <dc:description/>
  <cp:lastModifiedBy>Susan Doron</cp:lastModifiedBy>
  <cp:revision>2</cp:revision>
  <dcterms:created xsi:type="dcterms:W3CDTF">2024-11-05T09:27:00Z</dcterms:created>
  <dcterms:modified xsi:type="dcterms:W3CDTF">2024-11-05T09:27:00Z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73bcc2f416e476b2a74351d1eca8bdbdb2463d8687a991c3985683721d8789a5</vt:lpwstr>
  </property>
</Properties>
</file>