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bidiVisual/>
        <w:tblW w:w="10675" w:type="dxa"/>
        <w:tblLook w:val="04A0" w:firstRow="1" w:lastRow="0" w:firstColumn="1" w:lastColumn="0" w:noHBand="0" w:noVBand="1"/>
      </w:tblPr>
      <w:tblGrid>
        <w:gridCol w:w="1640"/>
        <w:gridCol w:w="3978"/>
        <w:gridCol w:w="5057"/>
      </w:tblGrid>
      <w:tr w:rsidR="00E84131" w14:paraId="427BC389" w14:textId="77777777" w:rsidTr="00507681">
        <w:trPr>
          <w:trHeight w:val="557"/>
        </w:trPr>
        <w:tc>
          <w:tcPr>
            <w:tcW w:w="1640" w:type="dxa"/>
          </w:tcPr>
          <w:p w14:paraId="17EF4367" w14:textId="77777777" w:rsidR="00E84131" w:rsidRDefault="00E84131" w:rsidP="00E84131">
            <w:pPr>
              <w:rPr>
                <w:rtl/>
              </w:rPr>
            </w:pPr>
          </w:p>
        </w:tc>
        <w:tc>
          <w:tcPr>
            <w:tcW w:w="3978" w:type="dxa"/>
          </w:tcPr>
          <w:p w14:paraId="50F97D6A" w14:textId="77777777" w:rsidR="00E84131" w:rsidRPr="000F514B" w:rsidRDefault="00E84131" w:rsidP="00E41CFF">
            <w:pPr>
              <w:jc w:val="center"/>
              <w:rPr>
                <w:b/>
                <w:bCs/>
                <w:sz w:val="26"/>
                <w:szCs w:val="26"/>
                <w:rtl/>
              </w:rPr>
            </w:pPr>
            <w:r w:rsidRPr="000F514B">
              <w:rPr>
                <w:rFonts w:hint="cs"/>
                <w:b/>
                <w:bCs/>
                <w:sz w:val="26"/>
                <w:szCs w:val="26"/>
                <w:highlight w:val="yellow"/>
                <w:rtl/>
              </w:rPr>
              <w:t>טקסט לתרגום</w:t>
            </w:r>
          </w:p>
        </w:tc>
        <w:tc>
          <w:tcPr>
            <w:tcW w:w="5057" w:type="dxa"/>
          </w:tcPr>
          <w:p w14:paraId="0E4D31CA" w14:textId="77777777" w:rsidR="00E84131" w:rsidRPr="000F514B" w:rsidRDefault="000F514B" w:rsidP="000F514B">
            <w:pPr>
              <w:jc w:val="center"/>
              <w:rPr>
                <w:b/>
                <w:bCs/>
                <w:sz w:val="26"/>
                <w:szCs w:val="26"/>
                <w:highlight w:val="yellow"/>
                <w:rtl/>
              </w:rPr>
            </w:pPr>
            <w:r w:rsidRPr="000F514B">
              <w:rPr>
                <w:rFonts w:hint="cs"/>
                <w:b/>
                <w:bCs/>
                <w:sz w:val="26"/>
                <w:szCs w:val="26"/>
                <w:highlight w:val="yellow"/>
                <w:rtl/>
              </w:rPr>
              <w:t>תרגום</w:t>
            </w:r>
          </w:p>
        </w:tc>
      </w:tr>
      <w:tr w:rsidR="00EB0439" w14:paraId="300246F2" w14:textId="77777777" w:rsidTr="00507681">
        <w:tc>
          <w:tcPr>
            <w:tcW w:w="1640" w:type="dxa"/>
          </w:tcPr>
          <w:p w14:paraId="21093E9B" w14:textId="77777777" w:rsidR="00EB0439" w:rsidRDefault="00EB0439" w:rsidP="00EB0439">
            <w:pPr>
              <w:rPr>
                <w:rtl/>
              </w:rPr>
            </w:pPr>
          </w:p>
        </w:tc>
        <w:tc>
          <w:tcPr>
            <w:tcW w:w="3978" w:type="dxa"/>
          </w:tcPr>
          <w:p w14:paraId="7AB37FFF" w14:textId="77777777" w:rsidR="00EB0439" w:rsidRPr="000F514B" w:rsidRDefault="000547A5" w:rsidP="000F514B">
            <w:pPr>
              <w:rPr>
                <w:rFonts w:ascii="Calibri Light" w:hAnsi="Calibri Light" w:cs="Calibri Light"/>
                <w:b/>
                <w:bCs/>
                <w:sz w:val="26"/>
                <w:szCs w:val="26"/>
                <w:rtl/>
              </w:rPr>
            </w:pPr>
            <w:r>
              <w:rPr>
                <w:rFonts w:ascii="Calibri Light" w:hAnsi="Calibri Light" w:cs="Calibri Light" w:hint="cs"/>
                <w:b/>
                <w:bCs/>
                <w:sz w:val="26"/>
                <w:szCs w:val="26"/>
                <w:rtl/>
              </w:rPr>
              <w:t>גוף ידע</w:t>
            </w:r>
          </w:p>
        </w:tc>
        <w:tc>
          <w:tcPr>
            <w:tcW w:w="5057" w:type="dxa"/>
          </w:tcPr>
          <w:p w14:paraId="5342429C" w14:textId="21A58CF0" w:rsidR="00EB0439" w:rsidRDefault="00EA68F9" w:rsidP="00EB0439">
            <w:pPr>
              <w:rPr>
                <w:rFonts w:hint="cs"/>
                <w:rtl/>
                <w:lang w:bidi="ar-SA"/>
              </w:rPr>
            </w:pPr>
            <w:r>
              <w:rPr>
                <w:rFonts w:hint="cs"/>
                <w:rtl/>
                <w:lang w:bidi="ar-SA"/>
              </w:rPr>
              <w:t>كيان معرفيّ</w:t>
            </w:r>
          </w:p>
        </w:tc>
      </w:tr>
      <w:tr w:rsidR="00EB0439" w14:paraId="2DB0D76C" w14:textId="77777777" w:rsidTr="00507681">
        <w:tc>
          <w:tcPr>
            <w:tcW w:w="1640" w:type="dxa"/>
          </w:tcPr>
          <w:p w14:paraId="62687772" w14:textId="77777777" w:rsidR="00EB0439" w:rsidRDefault="00EB0439" w:rsidP="00EB0439">
            <w:pPr>
              <w:rPr>
                <w:rtl/>
              </w:rPr>
            </w:pPr>
          </w:p>
        </w:tc>
        <w:tc>
          <w:tcPr>
            <w:tcW w:w="3978" w:type="dxa"/>
          </w:tcPr>
          <w:p w14:paraId="5CBB3FD5" w14:textId="77777777" w:rsidR="00EB0439" w:rsidRPr="000547A5" w:rsidRDefault="000547A5" w:rsidP="000547A5">
            <w:pPr>
              <w:shd w:val="clear" w:color="auto" w:fill="FFFFFF"/>
              <w:spacing w:before="100" w:beforeAutospacing="1" w:after="300" w:line="276" w:lineRule="auto"/>
              <w:rPr>
                <w:rFonts w:ascii="Calibri Light" w:eastAsia="Times New Roman" w:hAnsi="Calibri Light" w:cs="Calibri Light"/>
                <w:color w:val="383B3F"/>
                <w:sz w:val="26"/>
                <w:szCs w:val="26"/>
                <w:rtl/>
              </w:rPr>
            </w:pPr>
            <w:r w:rsidRPr="008132B4">
              <w:rPr>
                <w:rFonts w:ascii="Calibri Light" w:eastAsia="Times New Roman" w:hAnsi="Calibri Light" w:cs="Calibri Light"/>
                <w:color w:val="383B3F"/>
                <w:sz w:val="26"/>
                <w:szCs w:val="26"/>
                <w:rtl/>
              </w:rPr>
              <w:t>תכנון עירוני מבוסס נתונים הינו משמעותי לרשויות מקומיות בתמיכה בתהליכי הפיתוח והניהול השוטף. אסטרטגיה נכונה של עבודה עם נתונים תומכת במנהיגות מקומית ובבעלי התפקידים בעיצוב פתרונות העונים על הצרכים הקהילתיים והשכונתיים, שיפור השירותים לתושבים וקידום צמיחה ברת קיימא. שימוש בנתונים מפורטים ועדכניים של הקהילה עשוי לגשר על הפער בין תכנון העיר לבין חוויות התושבים המתגוררים בה, ולתמוך במענה אפקטיבי התואם לאופייה של הקהילה</w:t>
            </w:r>
            <w:r w:rsidRPr="008132B4">
              <w:rPr>
                <w:rFonts w:ascii="Calibri Light" w:eastAsia="Times New Roman" w:hAnsi="Calibri Light" w:cs="Calibri Light"/>
                <w:color w:val="383B3F"/>
                <w:sz w:val="26"/>
                <w:szCs w:val="26"/>
              </w:rPr>
              <w:t>.</w:t>
            </w:r>
          </w:p>
        </w:tc>
        <w:tc>
          <w:tcPr>
            <w:tcW w:w="5057" w:type="dxa"/>
          </w:tcPr>
          <w:p w14:paraId="707BCC9E" w14:textId="77777777" w:rsidR="00EB0439" w:rsidRDefault="00EA68F9" w:rsidP="00EB0439">
            <w:pPr>
              <w:rPr>
                <w:rtl/>
                <w:lang w:bidi="ar-SA"/>
              </w:rPr>
            </w:pPr>
            <w:r>
              <w:rPr>
                <w:rFonts w:hint="cs"/>
                <w:rtl/>
                <w:lang w:bidi="ar-SA"/>
              </w:rPr>
              <w:t>التخطيط المدنيّ المستند على بيانات مهمّ للسلطات المحليّة في دعم عمليّات التطوير والإدارة الجارية.</w:t>
            </w:r>
          </w:p>
          <w:p w14:paraId="168CAC0B" w14:textId="6FB18E42" w:rsidR="00EA68F9" w:rsidRDefault="00EA68F9" w:rsidP="00EB0439">
            <w:pPr>
              <w:rPr>
                <w:rFonts w:hint="cs"/>
                <w:lang w:bidi="ar-SA"/>
              </w:rPr>
            </w:pPr>
            <w:r w:rsidRPr="00EA68F9">
              <w:rPr>
                <w:rFonts w:cs="Arial"/>
                <w:rtl/>
                <w:lang w:bidi="ar-SA"/>
              </w:rPr>
              <w:t>تدعم الإستراتيجية الصحيحة للعمل مع البيانات القيادة المحلية وشاغلي الوظائف في تصميم الحلول التي تلبي حاجات المجتمع والأحياء، وتحسين الخدمات المقدمة للسكان وتعزيز النمو المستدام. قد يؤدي استخدام بيانات مجتمعية مفصلة وحديثة إلى سد الفجوة بين تخطيط المدينة وتجارب</w:t>
            </w:r>
            <w:r>
              <w:rPr>
                <w:rFonts w:cs="Arial" w:hint="cs"/>
                <w:rtl/>
                <w:lang w:bidi="ar-SA"/>
              </w:rPr>
              <w:t xml:space="preserve"> المعيشة لدى</w:t>
            </w:r>
            <w:r w:rsidRPr="00EA68F9">
              <w:rPr>
                <w:rFonts w:cs="Arial"/>
                <w:rtl/>
                <w:lang w:bidi="ar-SA"/>
              </w:rPr>
              <w:t xml:space="preserve"> </w:t>
            </w:r>
            <w:r>
              <w:rPr>
                <w:rFonts w:cs="Arial" w:hint="cs"/>
                <w:rtl/>
                <w:lang w:bidi="ar-SA"/>
              </w:rPr>
              <w:t>ساكنيها</w:t>
            </w:r>
            <w:r w:rsidRPr="00EA68F9">
              <w:rPr>
                <w:rFonts w:cs="Arial"/>
                <w:rtl/>
                <w:lang w:bidi="ar-SA"/>
              </w:rPr>
              <w:t>، ودعم الاستجابة الفعالة التي تتناسب مع طابع المجتمع.</w:t>
            </w:r>
          </w:p>
        </w:tc>
      </w:tr>
      <w:tr w:rsidR="00EB0439" w14:paraId="038F04F4" w14:textId="77777777" w:rsidTr="00507681">
        <w:tc>
          <w:tcPr>
            <w:tcW w:w="1640" w:type="dxa"/>
          </w:tcPr>
          <w:p w14:paraId="74451143" w14:textId="77777777" w:rsidR="00EB0439" w:rsidRDefault="00EB0439" w:rsidP="00EB0439">
            <w:pPr>
              <w:rPr>
                <w:rtl/>
              </w:rPr>
            </w:pPr>
          </w:p>
        </w:tc>
        <w:tc>
          <w:tcPr>
            <w:tcW w:w="3978" w:type="dxa"/>
          </w:tcPr>
          <w:p w14:paraId="18B43F0A" w14:textId="77777777" w:rsidR="00EB0439" w:rsidRPr="000547A5" w:rsidRDefault="000547A5" w:rsidP="000547A5">
            <w:pPr>
              <w:shd w:val="clear" w:color="auto" w:fill="FFFFFF"/>
              <w:spacing w:before="100" w:beforeAutospacing="1" w:after="300" w:line="276" w:lineRule="auto"/>
              <w:rPr>
                <w:rFonts w:ascii="Calibri Light" w:eastAsia="Times New Roman" w:hAnsi="Calibri Light" w:cs="Calibri Light"/>
                <w:color w:val="383B3F"/>
                <w:sz w:val="26"/>
                <w:szCs w:val="26"/>
                <w:rtl/>
              </w:rPr>
            </w:pPr>
            <w:r w:rsidRPr="008132B4">
              <w:rPr>
                <w:rFonts w:ascii="Calibri Light" w:eastAsia="Times New Roman" w:hAnsi="Calibri Light" w:cs="Calibri Light"/>
                <w:color w:val="383B3F"/>
                <w:sz w:val="26"/>
                <w:szCs w:val="26"/>
                <w:rtl/>
              </w:rPr>
              <w:t>באורבן95 כלל התכניות ופעולות ההתערבות מעוגנות במחקר ובנתונים עדכניים, וכן נשענות על ידע מקצועי מהארץ והעולם, בתחום ההתחדשות העירונית ובהתאמה לגיל הרך. איסוף הנתונים מתחיל עם איתור הצרכים, דרך מדידה והערכה של תכניות בתחילת דרכן וממשיך עד לצמיחתן או סיומן. את כלל הידע שנאסף אנו מקפידים להביא לשותפים העירוניים ולכלל מקבלי ההחלטות, וכך להציג מידע רלוונטי ומהימן על אתגרים עירוניים הנוגעים לנקודת המבט של בני ובנות הגיל הרך ומטפליהם</w:t>
            </w:r>
            <w:r w:rsidRPr="008132B4">
              <w:rPr>
                <w:rFonts w:ascii="Calibri Light" w:eastAsia="Times New Roman" w:hAnsi="Calibri Light" w:cs="Calibri Light"/>
                <w:color w:val="383B3F"/>
                <w:sz w:val="26"/>
                <w:szCs w:val="26"/>
              </w:rPr>
              <w:t>.</w:t>
            </w:r>
          </w:p>
        </w:tc>
        <w:tc>
          <w:tcPr>
            <w:tcW w:w="5057" w:type="dxa"/>
          </w:tcPr>
          <w:p w14:paraId="55E3144F" w14:textId="2DB25704" w:rsidR="00EB0439" w:rsidRDefault="00E84E18" w:rsidP="00EB0439">
            <w:pPr>
              <w:rPr>
                <w:rFonts w:hint="cs"/>
                <w:rtl/>
                <w:lang w:bidi="ar-SA"/>
              </w:rPr>
            </w:pPr>
            <w:r>
              <w:rPr>
                <w:rFonts w:hint="cs"/>
                <w:rtl/>
                <w:lang w:bidi="ar-SA"/>
              </w:rPr>
              <w:t>في أوربان٩٥ جميع البرامج والنشاطات التدخّلية ترتكز</w:t>
            </w:r>
            <w:r w:rsidRPr="00E6123A">
              <w:rPr>
                <w:rFonts w:cs="Arial"/>
                <w:rtl/>
                <w:lang w:bidi="ar-SA"/>
              </w:rPr>
              <w:t xml:space="preserve"> على الأبحاث والبيانات ال</w:t>
            </w:r>
            <w:r>
              <w:rPr>
                <w:rFonts w:cs="Arial" w:hint="cs"/>
                <w:rtl/>
                <w:lang w:bidi="ar-SA"/>
              </w:rPr>
              <w:t>أخيرة</w:t>
            </w:r>
            <w:r w:rsidRPr="00E6123A">
              <w:rPr>
                <w:rFonts w:cs="Arial"/>
                <w:rtl/>
                <w:lang w:bidi="ar-SA"/>
              </w:rPr>
              <w:t xml:space="preserve">، وتستند أيضًا إلى معرفة مهنية </w:t>
            </w:r>
            <w:r>
              <w:rPr>
                <w:rFonts w:cs="Arial" w:hint="cs"/>
                <w:rtl/>
                <w:lang w:bidi="ar-SA"/>
              </w:rPr>
              <w:t>جُمعَت في</w:t>
            </w:r>
            <w:r w:rsidRPr="00E6123A">
              <w:rPr>
                <w:rFonts w:cs="Arial"/>
                <w:rtl/>
                <w:lang w:bidi="ar-SA"/>
              </w:rPr>
              <w:t xml:space="preserve"> إسرائيل والعالم في مجال التجديد ال</w:t>
            </w:r>
            <w:r>
              <w:rPr>
                <w:rFonts w:cs="Arial" w:hint="cs"/>
                <w:rtl/>
                <w:lang w:bidi="ar-SA"/>
              </w:rPr>
              <w:t>مدَني بما يلائم الطفولة المبكّرة</w:t>
            </w:r>
            <w:r w:rsidRPr="00E6123A">
              <w:rPr>
                <w:rFonts w:cs="Arial"/>
                <w:rtl/>
                <w:lang w:bidi="ar-SA"/>
              </w:rPr>
              <w:t xml:space="preserve">. يبدأ جمع البيانات بتحديد الحاجات، </w:t>
            </w:r>
            <w:r>
              <w:rPr>
                <w:rFonts w:cs="Arial" w:hint="cs"/>
                <w:rtl/>
                <w:lang w:bidi="ar-SA"/>
              </w:rPr>
              <w:t>عن طريق</w:t>
            </w:r>
            <w:r w:rsidRPr="00E6123A">
              <w:rPr>
                <w:rFonts w:cs="Arial"/>
                <w:rtl/>
                <w:lang w:bidi="ar-SA"/>
              </w:rPr>
              <w:t xml:space="preserve"> قياس وتقييم البرامج في بداي</w:t>
            </w:r>
            <w:r>
              <w:rPr>
                <w:rFonts w:cs="Arial" w:hint="cs"/>
                <w:rtl/>
                <w:lang w:bidi="ar-SA"/>
              </w:rPr>
              <w:t>اتها</w:t>
            </w:r>
            <w:r w:rsidRPr="00E6123A">
              <w:rPr>
                <w:rFonts w:cs="Arial"/>
                <w:rtl/>
                <w:lang w:bidi="ar-SA"/>
              </w:rPr>
              <w:t xml:space="preserve">، ويستمر </w:t>
            </w:r>
            <w:r>
              <w:rPr>
                <w:rFonts w:cs="Arial" w:hint="cs"/>
                <w:rtl/>
                <w:lang w:bidi="ar-SA"/>
              </w:rPr>
              <w:t>عبر</w:t>
            </w:r>
            <w:r w:rsidRPr="00E6123A">
              <w:rPr>
                <w:rFonts w:cs="Arial"/>
                <w:rtl/>
                <w:lang w:bidi="ar-SA"/>
              </w:rPr>
              <w:t xml:space="preserve"> نم</w:t>
            </w:r>
            <w:r>
              <w:rPr>
                <w:rFonts w:cs="Arial" w:hint="cs"/>
                <w:rtl/>
                <w:lang w:bidi="ar-SA"/>
              </w:rPr>
              <w:t>ّ</w:t>
            </w:r>
            <w:r w:rsidRPr="00E6123A">
              <w:rPr>
                <w:rFonts w:cs="Arial"/>
                <w:rtl/>
                <w:lang w:bidi="ar-SA"/>
              </w:rPr>
              <w:t>وها أو</w:t>
            </w:r>
            <w:r>
              <w:rPr>
                <w:rFonts w:cs="Arial" w:hint="cs"/>
                <w:rtl/>
                <w:lang w:bidi="ar-SA"/>
              </w:rPr>
              <w:t xml:space="preserve"> حتّى</w:t>
            </w:r>
            <w:r w:rsidRPr="00E6123A">
              <w:rPr>
                <w:rFonts w:cs="Arial"/>
                <w:rtl/>
                <w:lang w:bidi="ar-SA"/>
              </w:rPr>
              <w:t xml:space="preserve"> انتهائها. </w:t>
            </w:r>
            <w:r>
              <w:rPr>
                <w:rFonts w:cs="Arial" w:hint="cs"/>
                <w:rtl/>
                <w:lang w:bidi="ar-SA"/>
              </w:rPr>
              <w:t>نعمل على</w:t>
            </w:r>
            <w:r w:rsidRPr="00E6123A">
              <w:rPr>
                <w:rFonts w:cs="Arial"/>
                <w:rtl/>
                <w:lang w:bidi="ar-SA"/>
              </w:rPr>
              <w:t xml:space="preserve"> تقديم </w:t>
            </w:r>
            <w:r>
              <w:rPr>
                <w:rFonts w:cs="Arial" w:hint="cs"/>
                <w:rtl/>
                <w:lang w:bidi="ar-SA"/>
              </w:rPr>
              <w:t>جُ</w:t>
            </w:r>
            <w:r w:rsidRPr="00E6123A">
              <w:rPr>
                <w:rFonts w:cs="Arial"/>
                <w:rtl/>
                <w:lang w:bidi="ar-SA"/>
              </w:rPr>
              <w:t>ل</w:t>
            </w:r>
            <w:r>
              <w:rPr>
                <w:rFonts w:cs="Arial" w:hint="cs"/>
                <w:rtl/>
                <w:lang w:bidi="ar-SA"/>
              </w:rPr>
              <w:t>ّ</w:t>
            </w:r>
            <w:r w:rsidRPr="00E6123A">
              <w:rPr>
                <w:rFonts w:cs="Arial"/>
                <w:rtl/>
                <w:lang w:bidi="ar-SA"/>
              </w:rPr>
              <w:t xml:space="preserve"> المعرفة التي ج</w:t>
            </w:r>
            <w:r>
              <w:rPr>
                <w:rFonts w:cs="Arial" w:hint="cs"/>
                <w:rtl/>
                <w:lang w:bidi="ar-SA"/>
              </w:rPr>
              <w:t>ُ</w:t>
            </w:r>
            <w:r w:rsidRPr="00E6123A">
              <w:rPr>
                <w:rFonts w:cs="Arial"/>
                <w:rtl/>
                <w:lang w:bidi="ar-SA"/>
              </w:rPr>
              <w:t>م</w:t>
            </w:r>
            <w:r>
              <w:rPr>
                <w:rFonts w:cs="Arial" w:hint="cs"/>
                <w:rtl/>
                <w:lang w:bidi="ar-SA"/>
              </w:rPr>
              <w:t>ِ</w:t>
            </w:r>
            <w:r w:rsidRPr="00E6123A">
              <w:rPr>
                <w:rFonts w:cs="Arial"/>
                <w:rtl/>
                <w:lang w:bidi="ar-SA"/>
              </w:rPr>
              <w:t>ع</w:t>
            </w:r>
            <w:r>
              <w:rPr>
                <w:rFonts w:cs="Arial" w:hint="cs"/>
                <w:rtl/>
                <w:lang w:bidi="ar-SA"/>
              </w:rPr>
              <w:t>َت</w:t>
            </w:r>
            <w:r w:rsidRPr="00E6123A">
              <w:rPr>
                <w:rFonts w:cs="Arial"/>
                <w:rtl/>
                <w:lang w:bidi="ar-SA"/>
              </w:rPr>
              <w:t xml:space="preserve"> إلى شركا</w:t>
            </w:r>
            <w:r>
              <w:rPr>
                <w:rFonts w:cs="Arial" w:hint="cs"/>
                <w:rtl/>
                <w:lang w:bidi="ar-SA"/>
              </w:rPr>
              <w:t>ئنا من الهيئات البلديّة</w:t>
            </w:r>
            <w:r w:rsidRPr="00E6123A">
              <w:rPr>
                <w:rFonts w:cs="Arial"/>
                <w:rtl/>
                <w:lang w:bidi="ar-SA"/>
              </w:rPr>
              <w:t xml:space="preserve"> وجميع صناع القرار، وبالتالي تقديم معلومات </w:t>
            </w:r>
            <w:r>
              <w:rPr>
                <w:rFonts w:cs="Arial" w:hint="cs"/>
                <w:rtl/>
                <w:lang w:bidi="ar-SA"/>
              </w:rPr>
              <w:t>تتعلّق وتسود</w:t>
            </w:r>
            <w:r w:rsidRPr="00E6123A">
              <w:rPr>
                <w:rFonts w:cs="Arial"/>
                <w:rtl/>
                <w:lang w:bidi="ar-SA"/>
              </w:rPr>
              <w:t xml:space="preserve"> </w:t>
            </w:r>
            <w:r>
              <w:rPr>
                <w:rFonts w:cs="Arial" w:hint="cs"/>
                <w:rtl/>
                <w:lang w:bidi="ar-SA"/>
              </w:rPr>
              <w:t>على</w:t>
            </w:r>
            <w:r w:rsidRPr="00E6123A">
              <w:rPr>
                <w:rFonts w:cs="Arial"/>
                <w:rtl/>
                <w:lang w:bidi="ar-SA"/>
              </w:rPr>
              <w:t xml:space="preserve"> التحديات ال</w:t>
            </w:r>
            <w:r>
              <w:rPr>
                <w:rFonts w:cs="Arial" w:hint="cs"/>
                <w:rtl/>
                <w:lang w:bidi="ar-SA"/>
              </w:rPr>
              <w:t>مدنيّ</w:t>
            </w:r>
            <w:r w:rsidRPr="00E6123A">
              <w:rPr>
                <w:rFonts w:cs="Arial"/>
                <w:rtl/>
                <w:lang w:bidi="ar-SA"/>
              </w:rPr>
              <w:t>ة التي ت</w:t>
            </w:r>
            <w:r>
              <w:rPr>
                <w:rFonts w:cs="Arial" w:hint="cs"/>
                <w:rtl/>
                <w:lang w:bidi="ar-SA"/>
              </w:rPr>
              <w:t>لامس</w:t>
            </w:r>
            <w:r w:rsidRPr="00E6123A">
              <w:rPr>
                <w:rFonts w:cs="Arial"/>
                <w:rtl/>
                <w:lang w:bidi="ar-SA"/>
              </w:rPr>
              <w:t xml:space="preserve"> وجهة نظر </w:t>
            </w:r>
            <w:r>
              <w:rPr>
                <w:rFonts w:cs="Arial" w:hint="cs"/>
                <w:rtl/>
                <w:lang w:bidi="ar-SA"/>
              </w:rPr>
              <w:t>ال</w:t>
            </w:r>
            <w:r w:rsidRPr="00E6123A">
              <w:rPr>
                <w:rFonts w:cs="Arial"/>
                <w:rtl/>
                <w:lang w:bidi="ar-SA"/>
              </w:rPr>
              <w:t xml:space="preserve">أطفال </w:t>
            </w:r>
            <w:r>
              <w:rPr>
                <w:rFonts w:cs="Arial" w:hint="cs"/>
                <w:rtl/>
                <w:lang w:bidi="ar-SA"/>
              </w:rPr>
              <w:t xml:space="preserve">في مرحلة الطفولة المبكّرة </w:t>
            </w:r>
            <w:r w:rsidRPr="00E6123A">
              <w:rPr>
                <w:rFonts w:cs="Arial"/>
                <w:rtl/>
                <w:lang w:bidi="ar-SA"/>
              </w:rPr>
              <w:t>ومقدمي الرعاية لهم.</w:t>
            </w:r>
          </w:p>
        </w:tc>
      </w:tr>
      <w:tr w:rsidR="000547A5" w14:paraId="5390ED46" w14:textId="77777777" w:rsidTr="00507681">
        <w:tc>
          <w:tcPr>
            <w:tcW w:w="1640" w:type="dxa"/>
          </w:tcPr>
          <w:p w14:paraId="20BDA77C" w14:textId="77777777" w:rsidR="000547A5" w:rsidRDefault="000547A5" w:rsidP="00EB0439">
            <w:pPr>
              <w:rPr>
                <w:rtl/>
              </w:rPr>
            </w:pPr>
          </w:p>
        </w:tc>
        <w:tc>
          <w:tcPr>
            <w:tcW w:w="3978" w:type="dxa"/>
          </w:tcPr>
          <w:p w14:paraId="26CF0548" w14:textId="77777777" w:rsidR="000547A5" w:rsidRPr="008132B4" w:rsidRDefault="000547A5" w:rsidP="000547A5">
            <w:pPr>
              <w:shd w:val="clear" w:color="auto" w:fill="FFFFFF"/>
              <w:spacing w:before="100" w:beforeAutospacing="1" w:after="300" w:line="276" w:lineRule="auto"/>
              <w:rPr>
                <w:rFonts w:ascii="Assistant" w:eastAsia="Times New Roman" w:hAnsi="Assistant" w:cs="Times New Roman"/>
                <w:color w:val="383B3F"/>
                <w:sz w:val="30"/>
                <w:szCs w:val="30"/>
              </w:rPr>
            </w:pPr>
            <w:r w:rsidRPr="008132B4">
              <w:rPr>
                <w:rFonts w:ascii="Calibri Light" w:eastAsia="Times New Roman" w:hAnsi="Calibri Light" w:cs="Calibri Light"/>
                <w:color w:val="383B3F"/>
                <w:sz w:val="26"/>
                <w:szCs w:val="26"/>
                <w:rtl/>
              </w:rPr>
              <w:t xml:space="preserve">אנו רואות ערך רב בשיתוף הידע הרב שנצבר וברתימת השותפים והגורמים השונים השייכים לכלל מעגלי ההשפעה על פעוטות, ילדים והמלווים הבוגרים שלהם. אנו עורכות כנסים עירוניים, סיורים לימודיים ותכניות הכשרה מקצועיים העוסקים בהשכלה כללית </w:t>
            </w:r>
            <w:r w:rsidRPr="008132B4">
              <w:rPr>
                <w:rFonts w:ascii="Calibri Light" w:eastAsia="Times New Roman" w:hAnsi="Calibri Light" w:cs="Calibri Light"/>
                <w:color w:val="383B3F"/>
                <w:sz w:val="26"/>
                <w:szCs w:val="26"/>
                <w:rtl/>
              </w:rPr>
              <w:lastRenderedPageBreak/>
              <w:t>בתחום הגיל הרך והעמקה בתוכן הנוגע לצרכים עירוניים העולים מהשטח</w:t>
            </w:r>
            <w:r w:rsidRPr="008132B4">
              <w:rPr>
                <w:rFonts w:ascii="Assistant" w:eastAsia="Times New Roman" w:hAnsi="Assistant" w:cs="Times New Roman"/>
                <w:color w:val="383B3F"/>
                <w:sz w:val="30"/>
                <w:szCs w:val="30"/>
              </w:rPr>
              <w:t>.</w:t>
            </w:r>
          </w:p>
          <w:p w14:paraId="6F0A6EB3" w14:textId="77777777" w:rsidR="000547A5" w:rsidRPr="000547A5" w:rsidRDefault="000547A5" w:rsidP="000F514B">
            <w:pPr>
              <w:rPr>
                <w:rFonts w:ascii="Calibri Light" w:hAnsi="Calibri Light" w:cs="Calibri Light"/>
                <w:sz w:val="24"/>
                <w:szCs w:val="24"/>
                <w:rtl/>
              </w:rPr>
            </w:pPr>
          </w:p>
        </w:tc>
        <w:tc>
          <w:tcPr>
            <w:tcW w:w="5057" w:type="dxa"/>
          </w:tcPr>
          <w:p w14:paraId="7E45B72B" w14:textId="3CF3E0C1" w:rsidR="000547A5" w:rsidRDefault="00E84E18" w:rsidP="00EB0439">
            <w:pPr>
              <w:rPr>
                <w:rtl/>
              </w:rPr>
            </w:pPr>
            <w:r w:rsidRPr="00E84E18">
              <w:rPr>
                <w:rFonts w:cs="Arial"/>
                <w:rtl/>
                <w:lang w:bidi="ar-SA"/>
              </w:rPr>
              <w:lastRenderedPageBreak/>
              <w:t>نرى قيمة كبيرة في مشاركة المعرفة الواسعة ال</w:t>
            </w:r>
            <w:r>
              <w:rPr>
                <w:rFonts w:cs="Arial" w:hint="cs"/>
                <w:rtl/>
                <w:lang w:bidi="ar-SA"/>
              </w:rPr>
              <w:t xml:space="preserve">تي </w:t>
            </w:r>
            <w:r w:rsidRPr="00E84E18">
              <w:rPr>
                <w:rFonts w:cs="Arial"/>
                <w:rtl/>
                <w:lang w:bidi="ar-SA"/>
              </w:rPr>
              <w:t xml:space="preserve">تراكمت وفي تسخير الشركاء </w:t>
            </w:r>
            <w:r>
              <w:rPr>
                <w:rFonts w:cs="Arial" w:hint="cs"/>
                <w:rtl/>
                <w:lang w:bidi="ar-SA"/>
              </w:rPr>
              <w:t>والهيئات</w:t>
            </w:r>
            <w:r w:rsidRPr="00E84E18">
              <w:rPr>
                <w:rFonts w:cs="Arial"/>
                <w:rtl/>
                <w:lang w:bidi="ar-SA"/>
              </w:rPr>
              <w:t xml:space="preserve"> المختلفة التي تنتمي إلى جميع دوائر التأثير على الأطفال الصغار والأطفال </w:t>
            </w:r>
            <w:r>
              <w:rPr>
                <w:rFonts w:cs="Arial" w:hint="cs"/>
                <w:rtl/>
                <w:lang w:bidi="ar-SA"/>
              </w:rPr>
              <w:t>ومرافقيهم</w:t>
            </w:r>
            <w:r w:rsidRPr="00E84E18">
              <w:rPr>
                <w:rFonts w:cs="Arial"/>
                <w:rtl/>
                <w:lang w:bidi="ar-SA"/>
              </w:rPr>
              <w:t xml:space="preserve"> البالغين. نقوم بعقد مؤتمرات </w:t>
            </w:r>
            <w:r>
              <w:rPr>
                <w:rFonts w:cs="Arial" w:hint="cs"/>
                <w:rtl/>
                <w:lang w:bidi="ar-SA"/>
              </w:rPr>
              <w:t>مدنيّة</w:t>
            </w:r>
            <w:r w:rsidRPr="00E84E18">
              <w:rPr>
                <w:rFonts w:cs="Arial"/>
                <w:rtl/>
                <w:lang w:bidi="ar-SA"/>
              </w:rPr>
              <w:t xml:space="preserve"> وجولات دراسية وبرامج تدريب مهنية تتناول التعليم العام في مجال الطفولة المبكرة وتعميق المحتوى المتعلق بالحاجات </w:t>
            </w:r>
            <w:r>
              <w:rPr>
                <w:rFonts w:cs="Arial" w:hint="cs"/>
                <w:rtl/>
                <w:lang w:bidi="ar-SA"/>
              </w:rPr>
              <w:t>المدنيّة</w:t>
            </w:r>
            <w:r w:rsidR="0025341C">
              <w:rPr>
                <w:rFonts w:cs="Arial" w:hint="cs"/>
                <w:rtl/>
                <w:lang w:bidi="ar-SA"/>
              </w:rPr>
              <w:t xml:space="preserve"> التي تنشئ من الميدان.</w:t>
            </w:r>
          </w:p>
        </w:tc>
      </w:tr>
      <w:tr w:rsidR="00EB0439" w14:paraId="6BE29126" w14:textId="77777777" w:rsidTr="00507681">
        <w:tc>
          <w:tcPr>
            <w:tcW w:w="1640" w:type="dxa"/>
          </w:tcPr>
          <w:p w14:paraId="79EB6B9F" w14:textId="77777777" w:rsidR="00EB0439" w:rsidRDefault="00EB0439" w:rsidP="00EB0439">
            <w:pPr>
              <w:rPr>
                <w:rtl/>
              </w:rPr>
            </w:pPr>
          </w:p>
        </w:tc>
        <w:tc>
          <w:tcPr>
            <w:tcW w:w="3978" w:type="dxa"/>
          </w:tcPr>
          <w:p w14:paraId="578CA0C1" w14:textId="77777777" w:rsidR="000F514B" w:rsidRPr="00B758DF" w:rsidRDefault="000F514B" w:rsidP="000F514B">
            <w:pPr>
              <w:rPr>
                <w:rFonts w:ascii="Calibri Light" w:hAnsi="Calibri Light" w:cs="Calibri Light"/>
                <w:sz w:val="24"/>
                <w:szCs w:val="24"/>
              </w:rPr>
            </w:pPr>
            <w:r w:rsidRPr="00B758DF">
              <w:rPr>
                <w:rFonts w:ascii="Calibri Light" w:hAnsi="Calibri Light" w:cs="Calibri Light"/>
                <w:sz w:val="24"/>
                <w:szCs w:val="24"/>
                <w:rtl/>
              </w:rPr>
              <w:t>הפרויקטים</w:t>
            </w:r>
          </w:p>
          <w:p w14:paraId="48FFFED4" w14:textId="77777777" w:rsidR="00EB0439" w:rsidRPr="007A27BD" w:rsidRDefault="00EB0439" w:rsidP="00940D1A">
            <w:pPr>
              <w:rPr>
                <w:rFonts w:ascii="Calibri Light" w:eastAsia="Times New Roman" w:hAnsi="Calibri Light" w:cs="Calibri Light"/>
                <w:color w:val="383B3F"/>
                <w:sz w:val="26"/>
                <w:szCs w:val="26"/>
                <w:rtl/>
              </w:rPr>
            </w:pPr>
          </w:p>
        </w:tc>
        <w:tc>
          <w:tcPr>
            <w:tcW w:w="5057" w:type="dxa"/>
          </w:tcPr>
          <w:p w14:paraId="1FDFE861" w14:textId="5F8C9B40" w:rsidR="00EB0439" w:rsidRDefault="00EA68F9" w:rsidP="00EB0439">
            <w:pPr>
              <w:rPr>
                <w:rFonts w:hint="cs"/>
                <w:rtl/>
                <w:lang w:bidi="ar-SA"/>
              </w:rPr>
            </w:pPr>
            <w:r>
              <w:rPr>
                <w:rFonts w:hint="cs"/>
                <w:rtl/>
                <w:lang w:bidi="ar-SA"/>
              </w:rPr>
              <w:t>المشاريع</w:t>
            </w:r>
          </w:p>
        </w:tc>
      </w:tr>
    </w:tbl>
    <w:p w14:paraId="6DE75CAF" w14:textId="77777777" w:rsidR="002B71A4" w:rsidRDefault="002B71A4"/>
    <w:sectPr w:rsidR="002B71A4" w:rsidSect="00507681">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ssistant">
    <w:panose1 w:val="00000000000000000000"/>
    <w:charset w:val="B1"/>
    <w:family w:val="auto"/>
    <w:pitch w:val="variable"/>
    <w:sig w:usb0="A00008FF" w:usb1="4000204B"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5396D"/>
    <w:multiLevelType w:val="hybridMultilevel"/>
    <w:tmpl w:val="B52E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24ED7"/>
    <w:multiLevelType w:val="hybridMultilevel"/>
    <w:tmpl w:val="863E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B4170"/>
    <w:multiLevelType w:val="multilevel"/>
    <w:tmpl w:val="3054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4280E"/>
    <w:multiLevelType w:val="multilevel"/>
    <w:tmpl w:val="AB5C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B323E2"/>
    <w:multiLevelType w:val="multilevel"/>
    <w:tmpl w:val="7E56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F17B8"/>
    <w:multiLevelType w:val="multilevel"/>
    <w:tmpl w:val="5488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E331AC"/>
    <w:multiLevelType w:val="hybridMultilevel"/>
    <w:tmpl w:val="C078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E2D86"/>
    <w:multiLevelType w:val="hybridMultilevel"/>
    <w:tmpl w:val="42FE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51F91"/>
    <w:multiLevelType w:val="hybridMultilevel"/>
    <w:tmpl w:val="489C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0103D5"/>
    <w:multiLevelType w:val="multilevel"/>
    <w:tmpl w:val="4794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8A1359"/>
    <w:multiLevelType w:val="hybridMultilevel"/>
    <w:tmpl w:val="F3CE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0B3075"/>
    <w:multiLevelType w:val="multilevel"/>
    <w:tmpl w:val="62D8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6488082">
    <w:abstractNumId w:val="0"/>
  </w:num>
  <w:num w:numId="2" w16cid:durableId="135530753">
    <w:abstractNumId w:val="5"/>
  </w:num>
  <w:num w:numId="3" w16cid:durableId="687561147">
    <w:abstractNumId w:val="10"/>
  </w:num>
  <w:num w:numId="4" w16cid:durableId="262766543">
    <w:abstractNumId w:val="1"/>
  </w:num>
  <w:num w:numId="5" w16cid:durableId="1647780023">
    <w:abstractNumId w:val="7"/>
  </w:num>
  <w:num w:numId="6" w16cid:durableId="1968125839">
    <w:abstractNumId w:val="6"/>
  </w:num>
  <w:num w:numId="7" w16cid:durableId="1646156962">
    <w:abstractNumId w:val="2"/>
  </w:num>
  <w:num w:numId="8" w16cid:durableId="922183508">
    <w:abstractNumId w:val="9"/>
  </w:num>
  <w:num w:numId="9" w16cid:durableId="461653447">
    <w:abstractNumId w:val="8"/>
  </w:num>
  <w:num w:numId="10" w16cid:durableId="885793889">
    <w:abstractNumId w:val="3"/>
  </w:num>
  <w:num w:numId="11" w16cid:durableId="1737556710">
    <w:abstractNumId w:val="11"/>
  </w:num>
  <w:num w:numId="12" w16cid:durableId="921379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131"/>
    <w:rsid w:val="000547A5"/>
    <w:rsid w:val="000F514B"/>
    <w:rsid w:val="00167C53"/>
    <w:rsid w:val="00212727"/>
    <w:rsid w:val="00235417"/>
    <w:rsid w:val="0025341C"/>
    <w:rsid w:val="00277F2A"/>
    <w:rsid w:val="002B71A4"/>
    <w:rsid w:val="002E3EAF"/>
    <w:rsid w:val="004165CA"/>
    <w:rsid w:val="00507681"/>
    <w:rsid w:val="005A4305"/>
    <w:rsid w:val="0064232E"/>
    <w:rsid w:val="0070713C"/>
    <w:rsid w:val="007A27BD"/>
    <w:rsid w:val="008963D2"/>
    <w:rsid w:val="00940D1A"/>
    <w:rsid w:val="009A1830"/>
    <w:rsid w:val="00A44EB4"/>
    <w:rsid w:val="00A6770E"/>
    <w:rsid w:val="00AB738E"/>
    <w:rsid w:val="00BF10F1"/>
    <w:rsid w:val="00BF4172"/>
    <w:rsid w:val="00BF64E2"/>
    <w:rsid w:val="00CA407B"/>
    <w:rsid w:val="00E41CFF"/>
    <w:rsid w:val="00E57E9C"/>
    <w:rsid w:val="00E84131"/>
    <w:rsid w:val="00E84E18"/>
    <w:rsid w:val="00E8598C"/>
    <w:rsid w:val="00EA68F9"/>
    <w:rsid w:val="00EB0439"/>
    <w:rsid w:val="00EF7C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6D039"/>
  <w15:chartTrackingRefBased/>
  <w15:docId w15:val="{907F0EEC-7316-4120-B168-D70DB0B2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131"/>
    <w:pPr>
      <w:bidi/>
    </w:pPr>
  </w:style>
  <w:style w:type="paragraph" w:styleId="Heading3">
    <w:name w:val="heading 3"/>
    <w:basedOn w:val="Normal"/>
    <w:link w:val="Heading3Char"/>
    <w:uiPriority w:val="9"/>
    <w:qFormat/>
    <w:rsid w:val="00BF64E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4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1CFF"/>
    <w:pPr>
      <w:ind w:left="720"/>
      <w:contextualSpacing/>
    </w:pPr>
  </w:style>
  <w:style w:type="character" w:customStyle="1" w:styleId="Heading3Char">
    <w:name w:val="Heading 3 Char"/>
    <w:basedOn w:val="DefaultParagraphFont"/>
    <w:link w:val="Heading3"/>
    <w:uiPriority w:val="9"/>
    <w:rsid w:val="00BF64E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37000">
      <w:bodyDiv w:val="1"/>
      <w:marLeft w:val="0"/>
      <w:marRight w:val="0"/>
      <w:marTop w:val="0"/>
      <w:marBottom w:val="0"/>
      <w:divBdr>
        <w:top w:val="none" w:sz="0" w:space="0" w:color="auto"/>
        <w:left w:val="none" w:sz="0" w:space="0" w:color="auto"/>
        <w:bottom w:val="none" w:sz="0" w:space="0" w:color="auto"/>
        <w:right w:val="none" w:sz="0" w:space="0" w:color="auto"/>
      </w:divBdr>
    </w:div>
    <w:div w:id="653409889">
      <w:bodyDiv w:val="1"/>
      <w:marLeft w:val="0"/>
      <w:marRight w:val="0"/>
      <w:marTop w:val="0"/>
      <w:marBottom w:val="0"/>
      <w:divBdr>
        <w:top w:val="none" w:sz="0" w:space="0" w:color="auto"/>
        <w:left w:val="none" w:sz="0" w:space="0" w:color="auto"/>
        <w:bottom w:val="none" w:sz="0" w:space="0" w:color="auto"/>
        <w:right w:val="none" w:sz="0" w:space="0" w:color="auto"/>
      </w:divBdr>
    </w:div>
    <w:div w:id="1045761518">
      <w:bodyDiv w:val="1"/>
      <w:marLeft w:val="0"/>
      <w:marRight w:val="0"/>
      <w:marTop w:val="0"/>
      <w:marBottom w:val="0"/>
      <w:divBdr>
        <w:top w:val="none" w:sz="0" w:space="0" w:color="auto"/>
        <w:left w:val="none" w:sz="0" w:space="0" w:color="auto"/>
        <w:bottom w:val="none" w:sz="0" w:space="0" w:color="auto"/>
        <w:right w:val="none" w:sz="0" w:space="0" w:color="auto"/>
      </w:divBdr>
    </w:div>
    <w:div w:id="1085421601">
      <w:bodyDiv w:val="1"/>
      <w:marLeft w:val="0"/>
      <w:marRight w:val="0"/>
      <w:marTop w:val="0"/>
      <w:marBottom w:val="0"/>
      <w:divBdr>
        <w:top w:val="none" w:sz="0" w:space="0" w:color="auto"/>
        <w:left w:val="none" w:sz="0" w:space="0" w:color="auto"/>
        <w:bottom w:val="none" w:sz="0" w:space="0" w:color="auto"/>
        <w:right w:val="none" w:sz="0" w:space="0" w:color="auto"/>
      </w:divBdr>
    </w:div>
    <w:div w:id="1107233209">
      <w:bodyDiv w:val="1"/>
      <w:marLeft w:val="0"/>
      <w:marRight w:val="0"/>
      <w:marTop w:val="0"/>
      <w:marBottom w:val="0"/>
      <w:divBdr>
        <w:top w:val="none" w:sz="0" w:space="0" w:color="auto"/>
        <w:left w:val="none" w:sz="0" w:space="0" w:color="auto"/>
        <w:bottom w:val="none" w:sz="0" w:space="0" w:color="auto"/>
        <w:right w:val="none" w:sz="0" w:space="0" w:color="auto"/>
      </w:divBdr>
    </w:div>
    <w:div w:id="198608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380</Words>
  <Characters>2123</Characters>
  <Application>Microsoft Office Word</Application>
  <DocSecurity>0</DocSecurity>
  <Lines>37</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דניאלה רוטשילד - מנהלת פרויקטים אורבן 95</dc:creator>
  <cp:keywords/>
  <dc:description/>
  <cp:lastModifiedBy>הייא דכור</cp:lastModifiedBy>
  <cp:revision>4</cp:revision>
  <dcterms:created xsi:type="dcterms:W3CDTF">2024-10-14T06:53:00Z</dcterms:created>
  <dcterms:modified xsi:type="dcterms:W3CDTF">2024-11-12T11:13:00Z</dcterms:modified>
</cp:coreProperties>
</file>