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107" w:rsidRPr="00767EF9" w:rsidRDefault="003D6602" w:rsidP="004B387A">
      <w:pPr>
        <w:widowControl w:val="0"/>
        <w:spacing w:line="480" w:lineRule="auto"/>
        <w:rPr>
          <w:b/>
          <w:bCs/>
          <w:rtl/>
        </w:rPr>
      </w:pPr>
      <w:bookmarkStart w:id="0" w:name="_GoBack"/>
      <w:bookmarkEnd w:id="0"/>
      <w:r w:rsidRPr="00E50025">
        <w:rPr>
          <w:rFonts w:hint="cs"/>
          <w:b/>
          <w:bCs/>
          <w:rtl/>
        </w:rPr>
        <w:t xml:space="preserve">פרק </w:t>
      </w:r>
      <w:r w:rsidR="00E50025" w:rsidRPr="00E50025">
        <w:rPr>
          <w:rFonts w:hint="cs"/>
          <w:b/>
          <w:bCs/>
          <w:rtl/>
        </w:rPr>
        <w:t>ד</w:t>
      </w:r>
      <w:r w:rsidRPr="00E50025">
        <w:rPr>
          <w:rFonts w:hint="cs"/>
          <w:b/>
          <w:bCs/>
          <w:rtl/>
        </w:rPr>
        <w:t>:</w:t>
      </w:r>
      <w:r w:rsidRPr="00767EF9">
        <w:rPr>
          <w:rFonts w:hint="cs"/>
          <w:b/>
          <w:bCs/>
          <w:rtl/>
        </w:rPr>
        <w:t xml:space="preserve"> </w:t>
      </w:r>
      <w:r w:rsidR="00E54107" w:rsidRPr="00767EF9">
        <w:rPr>
          <w:rFonts w:hint="cs"/>
          <w:b/>
          <w:bCs/>
          <w:rtl/>
        </w:rPr>
        <w:t>סיפור בני האל</w:t>
      </w:r>
      <w:r w:rsidR="0050409D" w:rsidRPr="00767EF9">
        <w:rPr>
          <w:rFonts w:hint="cs"/>
          <w:b/>
          <w:bCs/>
          <w:rtl/>
        </w:rPr>
        <w:t>ו</w:t>
      </w:r>
      <w:r w:rsidR="00E54107" w:rsidRPr="00767EF9">
        <w:rPr>
          <w:rFonts w:hint="cs"/>
          <w:b/>
          <w:bCs/>
          <w:rtl/>
        </w:rPr>
        <w:t>הים ובנות האדם (בר</w:t>
      </w:r>
      <w:r w:rsidR="004B387A">
        <w:rPr>
          <w:rFonts w:hint="cs"/>
          <w:b/>
          <w:bCs/>
          <w:rtl/>
        </w:rPr>
        <w:t>'</w:t>
      </w:r>
      <w:r w:rsidR="00E54107" w:rsidRPr="00767EF9">
        <w:rPr>
          <w:rFonts w:hint="cs"/>
          <w:b/>
          <w:bCs/>
          <w:rtl/>
        </w:rPr>
        <w:t xml:space="preserve"> ו 1–4) </w:t>
      </w:r>
      <w:r w:rsidR="009B6FC4" w:rsidRPr="00767EF9">
        <w:rPr>
          <w:rFonts w:hint="cs"/>
          <w:b/>
          <w:bCs/>
          <w:rtl/>
        </w:rPr>
        <w:t xml:space="preserve">לאור </w:t>
      </w:r>
      <w:r w:rsidR="00B30F0D">
        <w:rPr>
          <w:rFonts w:hint="cs"/>
          <w:b/>
          <w:bCs/>
          <w:rtl/>
        </w:rPr>
        <w:t>'</w:t>
      </w:r>
      <w:r w:rsidR="00E54107" w:rsidRPr="00767EF9">
        <w:rPr>
          <w:rFonts w:hint="cs"/>
          <w:b/>
          <w:bCs/>
          <w:rtl/>
        </w:rPr>
        <w:t>קטלוג הנשים</w:t>
      </w:r>
      <w:r w:rsidR="00B30F0D">
        <w:rPr>
          <w:rFonts w:hint="cs"/>
          <w:b/>
          <w:bCs/>
          <w:rtl/>
        </w:rPr>
        <w:t>'</w:t>
      </w:r>
      <w:r w:rsidR="00E54107" w:rsidRPr="00767EF9">
        <w:rPr>
          <w:rFonts w:hint="cs"/>
          <w:b/>
          <w:bCs/>
          <w:rtl/>
        </w:rPr>
        <w:t xml:space="preserve"> ההסיודי</w:t>
      </w:r>
    </w:p>
    <w:p w:rsidR="00904CD1" w:rsidRPr="00600D22" w:rsidRDefault="00904CD1" w:rsidP="00064813">
      <w:pPr>
        <w:widowControl w:val="0"/>
        <w:spacing w:line="480" w:lineRule="auto"/>
        <w:rPr>
          <w:rtl/>
        </w:rPr>
      </w:pPr>
    </w:p>
    <w:p w:rsidR="00332065" w:rsidRPr="00600D22" w:rsidRDefault="002F336A" w:rsidP="001E2170">
      <w:pPr>
        <w:widowControl w:val="0"/>
        <w:spacing w:line="480" w:lineRule="auto"/>
        <w:rPr>
          <w:rtl/>
        </w:rPr>
      </w:pPr>
      <w:r w:rsidRPr="00600D22">
        <w:rPr>
          <w:rFonts w:hint="cs"/>
          <w:rtl/>
        </w:rPr>
        <w:t>א</w:t>
      </w:r>
      <w:r w:rsidR="00236072" w:rsidRPr="00600D22">
        <w:rPr>
          <w:rFonts w:hint="cs"/>
          <w:rtl/>
        </w:rPr>
        <w:t xml:space="preserve">רבעת הפסוקים הראשונים בבראשית ו הם מן הפסוקים החידתיים ביותר בתורה. הפרשנים הגדירו </w:t>
      </w:r>
      <w:r w:rsidR="00FA7B0D" w:rsidRPr="00600D22">
        <w:rPr>
          <w:rFonts w:hint="cs"/>
          <w:rtl/>
        </w:rPr>
        <w:t xml:space="preserve">יחידה זו </w:t>
      </w:r>
      <w:r w:rsidR="007F516D" w:rsidRPr="00600D22">
        <w:rPr>
          <w:rFonts w:hint="cs"/>
          <w:rtl/>
        </w:rPr>
        <w:t>כ</w:t>
      </w:r>
      <w:r w:rsidR="00FA7B0D" w:rsidRPr="00600D22">
        <w:rPr>
          <w:rFonts w:hint="cs"/>
          <w:rtl/>
        </w:rPr>
        <w:t>'אחת הסתומות ביותר'</w:t>
      </w:r>
      <w:r w:rsidR="008704A6" w:rsidRPr="00600D22">
        <w:rPr>
          <w:rFonts w:hint="cs"/>
          <w:rtl/>
        </w:rPr>
        <w:t>,</w:t>
      </w:r>
      <w:r w:rsidR="000228F9" w:rsidRPr="00600D22">
        <w:rPr>
          <w:rStyle w:val="FootnoteReference"/>
          <w:rtl/>
        </w:rPr>
        <w:footnoteReference w:id="1"/>
      </w:r>
      <w:r w:rsidR="00F31736" w:rsidRPr="00600D22">
        <w:rPr>
          <w:rFonts w:hint="cs"/>
          <w:rtl/>
        </w:rPr>
        <w:t xml:space="preserve"> ו</w:t>
      </w:r>
      <w:r w:rsidR="00ED4DF9" w:rsidRPr="00600D22">
        <w:rPr>
          <w:rFonts w:hint="cs"/>
          <w:rtl/>
        </w:rPr>
        <w:t>מכיוון שמקריאת</w:t>
      </w:r>
      <w:r w:rsidR="006A70CE" w:rsidRPr="00600D22">
        <w:rPr>
          <w:rFonts w:hint="cs"/>
          <w:rtl/>
        </w:rPr>
        <w:t>ה</w:t>
      </w:r>
      <w:r w:rsidR="00ED4DF9" w:rsidRPr="00600D22">
        <w:rPr>
          <w:rFonts w:hint="cs"/>
          <w:rtl/>
        </w:rPr>
        <w:t xml:space="preserve"> עולה התחושה כי ה</w:t>
      </w:r>
      <w:r w:rsidR="006A70CE" w:rsidRPr="00600D22">
        <w:rPr>
          <w:rFonts w:hint="cs"/>
          <w:rtl/>
        </w:rPr>
        <w:t>יא</w:t>
      </w:r>
      <w:r w:rsidR="00ED4DF9" w:rsidRPr="00600D22">
        <w:rPr>
          <w:rFonts w:hint="cs"/>
          <w:rtl/>
        </w:rPr>
        <w:t xml:space="preserve"> מכסה יותר מאשר מגלה </w:t>
      </w:r>
      <w:r w:rsidR="00F31736" w:rsidRPr="00600D22">
        <w:rPr>
          <w:rFonts w:hint="cs"/>
          <w:rtl/>
        </w:rPr>
        <w:t>הניחו שה</w:t>
      </w:r>
      <w:r w:rsidR="006A70CE" w:rsidRPr="00600D22">
        <w:rPr>
          <w:rFonts w:hint="cs"/>
          <w:rtl/>
        </w:rPr>
        <w:t>י</w:t>
      </w:r>
      <w:r w:rsidR="00F31736" w:rsidRPr="00600D22">
        <w:rPr>
          <w:rFonts w:hint="cs"/>
          <w:rtl/>
        </w:rPr>
        <w:t xml:space="preserve">א </w:t>
      </w:r>
      <w:r w:rsidR="00ED4DF9" w:rsidRPr="00600D22">
        <w:rPr>
          <w:rFonts w:hint="cs"/>
          <w:rtl/>
        </w:rPr>
        <w:t>בוודאי חסר</w:t>
      </w:r>
      <w:r w:rsidR="006A70CE" w:rsidRPr="00600D22">
        <w:rPr>
          <w:rFonts w:hint="cs"/>
          <w:rtl/>
        </w:rPr>
        <w:t>ה</w:t>
      </w:r>
      <w:r w:rsidR="00ED4DF9" w:rsidRPr="00600D22">
        <w:rPr>
          <w:rFonts w:hint="cs"/>
          <w:rtl/>
        </w:rPr>
        <w:t xml:space="preserve"> </w:t>
      </w:r>
      <w:r w:rsidR="00BA3FB8" w:rsidRPr="00600D22">
        <w:rPr>
          <w:rFonts w:hint="cs"/>
          <w:rtl/>
        </w:rPr>
        <w:t>ופ</w:t>
      </w:r>
      <w:r w:rsidR="00F31736" w:rsidRPr="00600D22">
        <w:rPr>
          <w:rFonts w:hint="cs"/>
          <w:rtl/>
        </w:rPr>
        <w:t>ר</w:t>
      </w:r>
      <w:r w:rsidR="00BA3FB8" w:rsidRPr="00600D22">
        <w:rPr>
          <w:rFonts w:hint="cs"/>
          <w:rtl/>
        </w:rPr>
        <w:t>גמנטרי</w:t>
      </w:r>
      <w:r w:rsidR="006A70CE" w:rsidRPr="00600D22">
        <w:rPr>
          <w:rFonts w:hint="cs"/>
          <w:rtl/>
        </w:rPr>
        <w:t>ת</w:t>
      </w:r>
      <w:r w:rsidR="00F31736" w:rsidRPr="00600D22">
        <w:rPr>
          <w:rFonts w:hint="cs"/>
          <w:rtl/>
        </w:rPr>
        <w:t>.</w:t>
      </w:r>
      <w:r w:rsidR="00F31736" w:rsidRPr="00600D22">
        <w:rPr>
          <w:rStyle w:val="FootnoteReference"/>
          <w:rtl/>
        </w:rPr>
        <w:footnoteReference w:id="2"/>
      </w:r>
      <w:r w:rsidR="00BA3FB8" w:rsidRPr="00600D22">
        <w:rPr>
          <w:rFonts w:hint="cs"/>
          <w:rtl/>
        </w:rPr>
        <w:t xml:space="preserve"> אין ספק שהסיפור עבר תהליכים שונים</w:t>
      </w:r>
      <w:r w:rsidR="00DF194E" w:rsidRPr="00600D22">
        <w:rPr>
          <w:rFonts w:hint="cs"/>
          <w:rtl/>
        </w:rPr>
        <w:t xml:space="preserve"> לפני שהגיע לצורתו הסופית,</w:t>
      </w:r>
      <w:r w:rsidR="00ED4DF9" w:rsidRPr="00600D22">
        <w:rPr>
          <w:rFonts w:hint="cs"/>
          <w:rtl/>
        </w:rPr>
        <w:t xml:space="preserve"> </w:t>
      </w:r>
      <w:r w:rsidR="007F516D" w:rsidRPr="00600D22">
        <w:rPr>
          <w:rFonts w:hint="cs"/>
          <w:rtl/>
        </w:rPr>
        <w:t>ו</w:t>
      </w:r>
      <w:r w:rsidR="008704A6" w:rsidRPr="00600D22">
        <w:rPr>
          <w:rFonts w:hint="cs"/>
          <w:rtl/>
        </w:rPr>
        <w:t xml:space="preserve">לפיכך ביקשו </w:t>
      </w:r>
      <w:r w:rsidR="00BA3FB8" w:rsidRPr="00600D22">
        <w:rPr>
          <w:rFonts w:hint="cs"/>
          <w:rtl/>
        </w:rPr>
        <w:t>רבים להתחקות אחר צורתו המקורית ושלבי גלגוליו השונים</w:t>
      </w:r>
      <w:r w:rsidR="006E2A5D" w:rsidRPr="00600D22">
        <w:rPr>
          <w:rFonts w:hint="cs"/>
          <w:rtl/>
        </w:rPr>
        <w:t>.</w:t>
      </w:r>
      <w:r w:rsidR="00ED4DF9" w:rsidRPr="00600D22">
        <w:rPr>
          <w:rFonts w:hint="cs"/>
          <w:rtl/>
        </w:rPr>
        <w:t xml:space="preserve"> </w:t>
      </w:r>
      <w:r w:rsidR="00B72A03" w:rsidRPr="00600D22">
        <w:rPr>
          <w:rFonts w:hint="cs"/>
          <w:rtl/>
        </w:rPr>
        <w:t xml:space="preserve">אולם נראה כי </w:t>
      </w:r>
      <w:r w:rsidR="0002048B" w:rsidRPr="00600D22">
        <w:rPr>
          <w:rFonts w:hint="cs"/>
          <w:rtl/>
        </w:rPr>
        <w:t xml:space="preserve">רוב השאלות לגבי יחידה מקראית זו עדיין עומדות בעינן. </w:t>
      </w:r>
      <w:r w:rsidR="004A3EFA" w:rsidRPr="00600D22">
        <w:rPr>
          <w:rFonts w:hint="cs"/>
          <w:rtl/>
        </w:rPr>
        <w:t>חלק מן הבעיות שעלו במחקר בנוגע לסיפור קצר וחידתי זה עשויות לה</w:t>
      </w:r>
      <w:r w:rsidR="002A3B9C" w:rsidRPr="00600D22">
        <w:rPr>
          <w:rFonts w:hint="cs"/>
          <w:rtl/>
        </w:rPr>
        <w:t>תבאר</w:t>
      </w:r>
      <w:r w:rsidR="004A3EFA" w:rsidRPr="00600D22">
        <w:rPr>
          <w:rFonts w:hint="cs"/>
          <w:rtl/>
        </w:rPr>
        <w:t xml:space="preserve"> לאור ההקבלה לחיבור הגנאלוגי היווני החשוב ביותר מן העולם העתיק</w:t>
      </w:r>
      <w:r w:rsidR="00B72A03" w:rsidRPr="00600D22">
        <w:rPr>
          <w:rFonts w:hint="cs"/>
          <w:rtl/>
        </w:rPr>
        <w:t xml:space="preserve"> </w:t>
      </w:r>
      <w:r w:rsidR="00B72A03" w:rsidRPr="00600D22">
        <w:rPr>
          <w:rFonts w:hint="eastAsia"/>
          <w:rtl/>
        </w:rPr>
        <w:t>–</w:t>
      </w:r>
      <w:r w:rsidR="004A3EFA" w:rsidRPr="00600D22">
        <w:rPr>
          <w:rFonts w:hint="cs"/>
          <w:rtl/>
        </w:rPr>
        <w:t xml:space="preserve"> </w:t>
      </w:r>
      <w:r w:rsidR="008704A6" w:rsidRPr="00600D22">
        <w:rPr>
          <w:rFonts w:hint="cs"/>
          <w:rtl/>
        </w:rPr>
        <w:t>'</w:t>
      </w:r>
      <w:r w:rsidR="004A3EFA" w:rsidRPr="00600D22">
        <w:rPr>
          <w:rFonts w:hint="cs"/>
          <w:rtl/>
        </w:rPr>
        <w:t>קטלוג הנשים</w:t>
      </w:r>
      <w:r w:rsidR="008704A6" w:rsidRPr="00600D22">
        <w:rPr>
          <w:rFonts w:hint="cs"/>
          <w:rtl/>
        </w:rPr>
        <w:t>'</w:t>
      </w:r>
      <w:r w:rsidR="004A3EFA" w:rsidRPr="00600D22">
        <w:rPr>
          <w:rFonts w:hint="cs"/>
          <w:rtl/>
        </w:rPr>
        <w:t xml:space="preserve"> ההסיודי</w:t>
      </w:r>
      <w:r w:rsidR="00681CB8" w:rsidRPr="00600D22">
        <w:rPr>
          <w:rFonts w:hint="cs"/>
          <w:rtl/>
        </w:rPr>
        <w:t>,</w:t>
      </w:r>
      <w:r w:rsidR="00662D37" w:rsidRPr="00600D22">
        <w:rPr>
          <w:rFonts w:hint="cs"/>
          <w:rtl/>
        </w:rPr>
        <w:t xml:space="preserve"> ובעקבות הדיון בהקשרם הגנאלוגי של המקורות</w:t>
      </w:r>
      <w:r w:rsidR="004A3EFA" w:rsidRPr="00600D22">
        <w:rPr>
          <w:rFonts w:hint="cs"/>
          <w:rtl/>
        </w:rPr>
        <w:t xml:space="preserve">. </w:t>
      </w:r>
      <w:r w:rsidR="001A6E99" w:rsidRPr="00600D22">
        <w:rPr>
          <w:rFonts w:hint="cs"/>
          <w:rtl/>
        </w:rPr>
        <w:t>חוקרים אחדים</w:t>
      </w:r>
      <w:r w:rsidR="006E2A5D" w:rsidRPr="00600D22">
        <w:rPr>
          <w:rFonts w:hint="cs"/>
          <w:rtl/>
        </w:rPr>
        <w:t>,</w:t>
      </w:r>
      <w:r w:rsidR="001A6E99" w:rsidRPr="00600D22">
        <w:rPr>
          <w:rFonts w:hint="cs"/>
          <w:rtl/>
        </w:rPr>
        <w:t xml:space="preserve"> הן במחקר העולם הקלסי הן במחקר המקרא, </w:t>
      </w:r>
      <w:r w:rsidR="00C20D4E" w:rsidRPr="00600D22">
        <w:rPr>
          <w:rFonts w:hint="cs"/>
          <w:rtl/>
        </w:rPr>
        <w:t xml:space="preserve">כבר הצביעו </w:t>
      </w:r>
      <w:r w:rsidR="00332065" w:rsidRPr="00600D22">
        <w:rPr>
          <w:rFonts w:hint="cs"/>
          <w:rtl/>
        </w:rPr>
        <w:t xml:space="preserve">על הדמיון </w:t>
      </w:r>
      <w:r w:rsidR="006F16DC" w:rsidRPr="00600D22">
        <w:rPr>
          <w:rFonts w:hint="cs"/>
          <w:rtl/>
        </w:rPr>
        <w:t xml:space="preserve">בין </w:t>
      </w:r>
      <w:r w:rsidR="004A3EFA" w:rsidRPr="00600D22">
        <w:rPr>
          <w:rFonts w:hint="cs"/>
          <w:rtl/>
        </w:rPr>
        <w:t xml:space="preserve">הסיפור </w:t>
      </w:r>
      <w:r w:rsidR="00FC1710" w:rsidRPr="00600D22">
        <w:rPr>
          <w:rFonts w:hint="cs"/>
          <w:rtl/>
        </w:rPr>
        <w:t>הקצר על אודות</w:t>
      </w:r>
      <w:r w:rsidR="004A3EFA" w:rsidRPr="00600D22">
        <w:rPr>
          <w:rFonts w:hint="cs"/>
          <w:rtl/>
        </w:rPr>
        <w:t xml:space="preserve"> בני האל</w:t>
      </w:r>
      <w:r w:rsidR="008704A6" w:rsidRPr="00600D22">
        <w:rPr>
          <w:rFonts w:hint="cs"/>
          <w:rtl/>
        </w:rPr>
        <w:t>ו</w:t>
      </w:r>
      <w:r w:rsidR="004A3EFA" w:rsidRPr="00600D22">
        <w:rPr>
          <w:rFonts w:hint="cs"/>
          <w:rtl/>
        </w:rPr>
        <w:t>הים ובנות האדם (בר' ו 1</w:t>
      </w:r>
      <w:r w:rsidR="004A3EFA" w:rsidRPr="00600D22">
        <w:rPr>
          <w:rFonts w:hint="cs"/>
          <w:rtl/>
        </w:rPr>
        <w:softHyphen/>
      </w:r>
      <w:r w:rsidR="004A3EFA" w:rsidRPr="00600D22">
        <w:rPr>
          <w:rFonts w:hint="eastAsia"/>
          <w:rtl/>
        </w:rPr>
        <w:t>–</w:t>
      </w:r>
      <w:r w:rsidR="004A3EFA" w:rsidRPr="00600D22">
        <w:rPr>
          <w:rFonts w:hint="cs"/>
          <w:rtl/>
        </w:rPr>
        <w:t xml:space="preserve">4) לבין </w:t>
      </w:r>
      <w:r w:rsidR="008F4FCF">
        <w:rPr>
          <w:rFonts w:hint="cs"/>
          <w:rtl/>
        </w:rPr>
        <w:t>'</w:t>
      </w:r>
      <w:r w:rsidR="004A3EFA" w:rsidRPr="00600D22">
        <w:rPr>
          <w:rFonts w:hint="cs"/>
          <w:rtl/>
        </w:rPr>
        <w:t>קטלוג הנשים</w:t>
      </w:r>
      <w:r w:rsidR="008F4FCF">
        <w:rPr>
          <w:rFonts w:hint="cs"/>
          <w:rtl/>
        </w:rPr>
        <w:t>'</w:t>
      </w:r>
      <w:r w:rsidR="00C20D4E" w:rsidRPr="00600D22">
        <w:rPr>
          <w:rFonts w:hint="cs"/>
          <w:rtl/>
        </w:rPr>
        <w:t>,</w:t>
      </w:r>
      <w:r w:rsidR="004A3EFA" w:rsidRPr="00600D22">
        <w:rPr>
          <w:rFonts w:hint="cs"/>
          <w:rtl/>
        </w:rPr>
        <w:t xml:space="preserve"> </w:t>
      </w:r>
      <w:r w:rsidR="004512F6" w:rsidRPr="00600D22">
        <w:rPr>
          <w:rFonts w:hint="cs"/>
          <w:rtl/>
        </w:rPr>
        <w:t>א</w:t>
      </w:r>
      <w:r w:rsidR="00332065" w:rsidRPr="00600D22">
        <w:rPr>
          <w:rFonts w:hint="cs"/>
          <w:rtl/>
        </w:rPr>
        <w:t>ך הגיעו למסקנות שונות</w:t>
      </w:r>
      <w:r w:rsidR="00B72A03" w:rsidRPr="00600D22">
        <w:rPr>
          <w:rFonts w:hint="cs"/>
          <w:rtl/>
        </w:rPr>
        <w:t xml:space="preserve"> מאלו שיוצגו להלן</w:t>
      </w:r>
      <w:r w:rsidR="009D6297" w:rsidRPr="00600D22">
        <w:rPr>
          <w:rFonts w:hint="cs"/>
          <w:rtl/>
        </w:rPr>
        <w:t>,</w:t>
      </w:r>
      <w:r w:rsidR="00332065" w:rsidRPr="00600D22">
        <w:rPr>
          <w:rFonts w:hint="cs"/>
          <w:rtl/>
        </w:rPr>
        <w:t xml:space="preserve"> </w:t>
      </w:r>
      <w:r w:rsidR="006F16DC" w:rsidRPr="00600D22">
        <w:rPr>
          <w:rFonts w:hint="cs"/>
          <w:rtl/>
        </w:rPr>
        <w:t>ו</w:t>
      </w:r>
      <w:r w:rsidR="00332065" w:rsidRPr="00600D22">
        <w:rPr>
          <w:rFonts w:hint="cs"/>
          <w:rtl/>
        </w:rPr>
        <w:t>נראה שעדיין לא התברר די הצור</w:t>
      </w:r>
      <w:r w:rsidR="006659D3" w:rsidRPr="00600D22">
        <w:rPr>
          <w:rFonts w:hint="cs"/>
          <w:rtl/>
        </w:rPr>
        <w:t>ך</w:t>
      </w:r>
      <w:r w:rsidR="00332065" w:rsidRPr="00600D22">
        <w:rPr>
          <w:rFonts w:hint="cs"/>
          <w:rtl/>
        </w:rPr>
        <w:t xml:space="preserve"> היחס בי</w:t>
      </w:r>
      <w:r w:rsidR="006659D3" w:rsidRPr="00600D22">
        <w:rPr>
          <w:rFonts w:hint="cs"/>
          <w:rtl/>
        </w:rPr>
        <w:t>ן</w:t>
      </w:r>
      <w:r w:rsidR="00332065" w:rsidRPr="00600D22">
        <w:rPr>
          <w:rFonts w:hint="cs"/>
          <w:rtl/>
        </w:rPr>
        <w:t xml:space="preserve"> </w:t>
      </w:r>
      <w:r w:rsidR="006659D3" w:rsidRPr="00600D22">
        <w:rPr>
          <w:rFonts w:hint="cs"/>
          <w:rtl/>
        </w:rPr>
        <w:t>ש</w:t>
      </w:r>
      <w:r w:rsidR="00332065" w:rsidRPr="00600D22">
        <w:rPr>
          <w:rFonts w:hint="cs"/>
          <w:rtl/>
        </w:rPr>
        <w:t>ני הטקסטים הללו</w:t>
      </w:r>
      <w:r w:rsidR="006659D3" w:rsidRPr="00600D22">
        <w:rPr>
          <w:rFonts w:hint="cs"/>
          <w:rtl/>
        </w:rPr>
        <w:t>.</w:t>
      </w:r>
      <w:r w:rsidR="004512F6" w:rsidRPr="00600D22">
        <w:rPr>
          <w:rStyle w:val="FootnoteReference"/>
          <w:rtl/>
        </w:rPr>
        <w:footnoteReference w:id="3"/>
      </w:r>
      <w:r w:rsidR="00F51C24">
        <w:rPr>
          <w:rFonts w:hint="cs"/>
          <w:rtl/>
        </w:rPr>
        <w:t xml:space="preserve"> </w:t>
      </w:r>
      <w:r w:rsidR="001E2170">
        <w:rPr>
          <w:rFonts w:hint="cs"/>
          <w:rtl/>
        </w:rPr>
        <w:t xml:space="preserve">על סמך </w:t>
      </w:r>
      <w:r w:rsidR="00F51C24">
        <w:rPr>
          <w:rFonts w:hint="cs"/>
          <w:rtl/>
        </w:rPr>
        <w:t xml:space="preserve">הנתונים שאציג להלן אראה כי בשאלת הדמיון בין הסיפורים יש </w:t>
      </w:r>
      <w:r w:rsidR="00FF3CD6">
        <w:rPr>
          <w:rFonts w:hint="cs"/>
          <w:rtl/>
        </w:rPr>
        <w:t>חשיבות רבה ל</w:t>
      </w:r>
      <w:r w:rsidR="00675422">
        <w:rPr>
          <w:rFonts w:hint="cs"/>
          <w:rtl/>
        </w:rPr>
        <w:t xml:space="preserve">הבנת </w:t>
      </w:r>
      <w:r w:rsidR="00F51C24">
        <w:rPr>
          <w:rFonts w:hint="cs"/>
          <w:rtl/>
        </w:rPr>
        <w:t>מקומו של הסיפור במסורות המוצא וברצפים הגנאלוגיים של ראשית האנושות שהסתובבו במזרח הים התיכון הקדום.</w:t>
      </w:r>
    </w:p>
    <w:p w:rsidR="008704A6" w:rsidRPr="00600D22" w:rsidRDefault="008704A6" w:rsidP="00064813">
      <w:pPr>
        <w:widowControl w:val="0"/>
        <w:spacing w:line="480" w:lineRule="auto"/>
        <w:rPr>
          <w:rtl/>
        </w:rPr>
      </w:pPr>
    </w:p>
    <w:p w:rsidR="00065C38" w:rsidRPr="00600D22" w:rsidRDefault="00BA3FB8" w:rsidP="00064813">
      <w:pPr>
        <w:widowControl w:val="0"/>
        <w:spacing w:line="480" w:lineRule="auto"/>
        <w:rPr>
          <w:b/>
          <w:bCs/>
          <w:rtl/>
        </w:rPr>
      </w:pPr>
      <w:r w:rsidRPr="00600D22">
        <w:rPr>
          <w:rFonts w:hint="cs"/>
          <w:b/>
          <w:bCs/>
          <w:rtl/>
        </w:rPr>
        <w:t xml:space="preserve">א. </w:t>
      </w:r>
      <w:r w:rsidR="00236072" w:rsidRPr="00600D22">
        <w:rPr>
          <w:rFonts w:hint="cs"/>
          <w:b/>
          <w:bCs/>
          <w:rtl/>
        </w:rPr>
        <w:t>המסור</w:t>
      </w:r>
      <w:r w:rsidR="00CF4FC2" w:rsidRPr="00600D22">
        <w:rPr>
          <w:rFonts w:hint="cs"/>
          <w:b/>
          <w:bCs/>
          <w:rtl/>
        </w:rPr>
        <w:t>ת המקראית</w:t>
      </w:r>
    </w:p>
    <w:p w:rsidR="00A00656" w:rsidRPr="00600D22" w:rsidRDefault="0082785D" w:rsidP="004D42AD">
      <w:pPr>
        <w:widowControl w:val="0"/>
        <w:spacing w:line="480" w:lineRule="auto"/>
        <w:rPr>
          <w:rtl/>
        </w:rPr>
      </w:pPr>
      <w:r w:rsidRPr="00600D22">
        <w:rPr>
          <w:rFonts w:hint="cs"/>
          <w:rtl/>
        </w:rPr>
        <w:t>פתיחת</w:t>
      </w:r>
      <w:r w:rsidR="006B785C" w:rsidRPr="00600D22">
        <w:rPr>
          <w:rFonts w:hint="cs"/>
          <w:rtl/>
        </w:rPr>
        <w:t xml:space="preserve"> ה</w:t>
      </w:r>
      <w:r w:rsidRPr="00600D22">
        <w:rPr>
          <w:rFonts w:hint="cs"/>
          <w:rtl/>
        </w:rPr>
        <w:t>יחידה</w:t>
      </w:r>
      <w:r w:rsidR="006B785C" w:rsidRPr="00600D22">
        <w:rPr>
          <w:rFonts w:hint="cs"/>
          <w:rtl/>
        </w:rPr>
        <w:t xml:space="preserve"> בבר</w:t>
      </w:r>
      <w:r w:rsidR="00B30F0D">
        <w:rPr>
          <w:rFonts w:hint="cs"/>
          <w:rtl/>
        </w:rPr>
        <w:t>אשית</w:t>
      </w:r>
      <w:r w:rsidR="006B785C" w:rsidRPr="00600D22">
        <w:rPr>
          <w:rFonts w:hint="cs"/>
          <w:rtl/>
        </w:rPr>
        <w:t xml:space="preserve"> ו 1–4 </w:t>
      </w:r>
      <w:r w:rsidR="00980E7C" w:rsidRPr="00600D22">
        <w:rPr>
          <w:rFonts w:hint="cs"/>
          <w:rtl/>
        </w:rPr>
        <w:t xml:space="preserve">דווקא </w:t>
      </w:r>
      <w:r w:rsidR="006B785C" w:rsidRPr="00600D22">
        <w:rPr>
          <w:rFonts w:hint="cs"/>
          <w:rtl/>
        </w:rPr>
        <w:t>ברור</w:t>
      </w:r>
      <w:r w:rsidRPr="00600D22">
        <w:rPr>
          <w:rFonts w:hint="cs"/>
          <w:rtl/>
        </w:rPr>
        <w:t>ה</w:t>
      </w:r>
      <w:r w:rsidR="006B785C" w:rsidRPr="00600D22">
        <w:rPr>
          <w:rFonts w:hint="cs"/>
          <w:rtl/>
        </w:rPr>
        <w:t xml:space="preserve"> למדי, על אף</w:t>
      </w:r>
      <w:r w:rsidR="00174F61" w:rsidRPr="00600D22">
        <w:rPr>
          <w:rFonts w:hint="cs"/>
          <w:rtl/>
        </w:rPr>
        <w:t xml:space="preserve"> ש</w:t>
      </w:r>
      <w:r w:rsidR="0073531D" w:rsidRPr="00600D22">
        <w:rPr>
          <w:rFonts w:hint="cs"/>
          <w:rtl/>
        </w:rPr>
        <w:t>כמה מ</w:t>
      </w:r>
      <w:r w:rsidR="00174F61" w:rsidRPr="00600D22">
        <w:rPr>
          <w:rFonts w:hint="cs"/>
          <w:rtl/>
        </w:rPr>
        <w:t>הפרשנים במשך הדורות ניסו לטשטש את משמע</w:t>
      </w:r>
      <w:r w:rsidRPr="00600D22">
        <w:rPr>
          <w:rFonts w:hint="cs"/>
          <w:rtl/>
        </w:rPr>
        <w:t>ה</w:t>
      </w:r>
      <w:r w:rsidR="006A5741" w:rsidRPr="00600D22">
        <w:rPr>
          <w:rFonts w:hint="cs"/>
          <w:rtl/>
        </w:rPr>
        <w:t xml:space="preserve">. </w:t>
      </w:r>
      <w:r w:rsidR="00904234" w:rsidRPr="00600D22">
        <w:rPr>
          <w:rFonts w:hint="cs"/>
          <w:rtl/>
        </w:rPr>
        <w:t xml:space="preserve">גיבורי הסיפור, </w:t>
      </w:r>
      <w:r w:rsidR="00FF3CD6">
        <w:rPr>
          <w:rFonts w:hint="cs"/>
          <w:rtl/>
        </w:rPr>
        <w:t>הקרויים "</w:t>
      </w:r>
      <w:r w:rsidR="00904234" w:rsidRPr="00600D22">
        <w:rPr>
          <w:rFonts w:hint="cs"/>
          <w:rtl/>
        </w:rPr>
        <w:t>בני האלהים</w:t>
      </w:r>
      <w:r w:rsidR="00FF3CD6">
        <w:rPr>
          <w:rFonts w:hint="cs"/>
          <w:rtl/>
        </w:rPr>
        <w:t>"</w:t>
      </w:r>
      <w:r w:rsidR="00904234" w:rsidRPr="00600D22">
        <w:rPr>
          <w:rFonts w:hint="cs"/>
          <w:rtl/>
        </w:rPr>
        <w:t xml:space="preserve">, הם </w:t>
      </w:r>
      <w:r w:rsidR="00633D19" w:rsidRPr="00600D22">
        <w:rPr>
          <w:rFonts w:hint="cs"/>
          <w:rtl/>
        </w:rPr>
        <w:t>עדת ה</w:t>
      </w:r>
      <w:r w:rsidR="00904234" w:rsidRPr="00600D22">
        <w:rPr>
          <w:rFonts w:hint="cs"/>
          <w:rtl/>
        </w:rPr>
        <w:t>אלים</w:t>
      </w:r>
      <w:r w:rsidR="00633D19" w:rsidRPr="00600D22">
        <w:rPr>
          <w:rFonts w:hint="cs"/>
          <w:rtl/>
        </w:rPr>
        <w:t>,</w:t>
      </w:r>
      <w:r w:rsidR="00904234" w:rsidRPr="00600D22">
        <w:rPr>
          <w:rFonts w:hint="cs"/>
          <w:rtl/>
        </w:rPr>
        <w:t xml:space="preserve"> </w:t>
      </w:r>
      <w:r w:rsidR="00633D19" w:rsidRPr="00600D22">
        <w:rPr>
          <w:rFonts w:hint="cs"/>
          <w:rtl/>
        </w:rPr>
        <w:t xml:space="preserve">ובתכונותיהם הם </w:t>
      </w:r>
      <w:r w:rsidR="00633D19" w:rsidRPr="00600D22">
        <w:rPr>
          <w:rFonts w:hint="cs"/>
          <w:rtl/>
        </w:rPr>
        <w:lastRenderedPageBreak/>
        <w:t xml:space="preserve">כאלים </w:t>
      </w:r>
      <w:r w:rsidR="00904234" w:rsidRPr="00600D22">
        <w:rPr>
          <w:rFonts w:hint="cs"/>
          <w:rtl/>
        </w:rPr>
        <w:t>לכל דבר ועניין.</w:t>
      </w:r>
      <w:r w:rsidR="00174F61" w:rsidRPr="00600D22">
        <w:rPr>
          <w:rStyle w:val="FootnoteReference"/>
          <w:rtl/>
        </w:rPr>
        <w:footnoteReference w:id="4"/>
      </w:r>
      <w:r w:rsidR="00904234" w:rsidRPr="00600D22">
        <w:rPr>
          <w:rFonts w:hint="cs"/>
          <w:rtl/>
        </w:rPr>
        <w:t xml:space="preserve"> אותם </w:t>
      </w:r>
      <w:r w:rsidR="00633D19" w:rsidRPr="00600D22">
        <w:rPr>
          <w:rFonts w:hint="cs"/>
          <w:rtl/>
        </w:rPr>
        <w:t xml:space="preserve">בני </w:t>
      </w:r>
      <w:r w:rsidR="00904234" w:rsidRPr="00600D22">
        <w:rPr>
          <w:rFonts w:hint="cs"/>
          <w:rtl/>
        </w:rPr>
        <w:t>אל</w:t>
      </w:r>
      <w:r w:rsidR="00434A08" w:rsidRPr="00600D22">
        <w:rPr>
          <w:rFonts w:hint="cs"/>
          <w:rtl/>
        </w:rPr>
        <w:t>ו</w:t>
      </w:r>
      <w:r w:rsidR="006F647D" w:rsidRPr="00600D22">
        <w:rPr>
          <w:rFonts w:hint="cs"/>
          <w:rtl/>
        </w:rPr>
        <w:t>ה</w:t>
      </w:r>
      <w:r w:rsidR="00904234" w:rsidRPr="00600D22">
        <w:rPr>
          <w:rFonts w:hint="cs"/>
          <w:rtl/>
        </w:rPr>
        <w:t>ים ר</w:t>
      </w:r>
      <w:r w:rsidR="00DC3AFA" w:rsidRPr="00600D22">
        <w:rPr>
          <w:rFonts w:hint="cs"/>
          <w:rtl/>
        </w:rPr>
        <w:t>או</w:t>
      </w:r>
      <w:r w:rsidR="00904234" w:rsidRPr="00600D22">
        <w:rPr>
          <w:rFonts w:hint="cs"/>
          <w:rtl/>
        </w:rPr>
        <w:t xml:space="preserve"> </w:t>
      </w:r>
      <w:r w:rsidR="00B65E33" w:rsidRPr="00600D22">
        <w:rPr>
          <w:rFonts w:hint="cs"/>
          <w:rtl/>
        </w:rPr>
        <w:t xml:space="preserve">את יופיין של </w:t>
      </w:r>
      <w:r w:rsidR="00904234" w:rsidRPr="00600D22">
        <w:rPr>
          <w:rFonts w:hint="cs"/>
          <w:rtl/>
        </w:rPr>
        <w:t>בנות הא</w:t>
      </w:r>
      <w:r w:rsidR="002F336A" w:rsidRPr="00600D22">
        <w:rPr>
          <w:rFonts w:hint="cs"/>
          <w:rtl/>
        </w:rPr>
        <w:t>דם</w:t>
      </w:r>
      <w:r w:rsidR="00904234" w:rsidRPr="00600D22">
        <w:rPr>
          <w:rFonts w:hint="cs"/>
          <w:rtl/>
        </w:rPr>
        <w:t xml:space="preserve"> ו</w:t>
      </w:r>
      <w:r w:rsidR="00DC3AFA" w:rsidRPr="00600D22">
        <w:rPr>
          <w:rFonts w:hint="cs"/>
          <w:rtl/>
        </w:rPr>
        <w:t>ב</w:t>
      </w:r>
      <w:r w:rsidR="008F1159" w:rsidRPr="00600D22">
        <w:rPr>
          <w:rFonts w:hint="cs"/>
          <w:rtl/>
        </w:rPr>
        <w:t>י</w:t>
      </w:r>
      <w:r w:rsidR="00DC3AFA" w:rsidRPr="00600D22">
        <w:rPr>
          <w:rFonts w:hint="cs"/>
          <w:rtl/>
        </w:rPr>
        <w:t>קשו</w:t>
      </w:r>
      <w:r w:rsidR="00904234" w:rsidRPr="00600D22">
        <w:rPr>
          <w:rFonts w:hint="cs"/>
          <w:rtl/>
        </w:rPr>
        <w:t xml:space="preserve"> לקחת להם מהן</w:t>
      </w:r>
      <w:r w:rsidR="00DC3AFA" w:rsidRPr="00600D22">
        <w:rPr>
          <w:rFonts w:hint="cs"/>
          <w:rtl/>
        </w:rPr>
        <w:t>.</w:t>
      </w:r>
      <w:r w:rsidR="00904234" w:rsidRPr="00600D22">
        <w:rPr>
          <w:rFonts w:hint="cs"/>
          <w:rtl/>
        </w:rPr>
        <w:t xml:space="preserve"> בבואם אל</w:t>
      </w:r>
      <w:r w:rsidR="00DC3AFA" w:rsidRPr="00600D22">
        <w:rPr>
          <w:rFonts w:hint="cs"/>
          <w:rtl/>
        </w:rPr>
        <w:t xml:space="preserve"> הנשים</w:t>
      </w:r>
      <w:r w:rsidR="00904234" w:rsidRPr="00600D22">
        <w:rPr>
          <w:rFonts w:hint="cs"/>
          <w:rtl/>
        </w:rPr>
        <w:t xml:space="preserve"> נולד גזע מיוחד של אנשים </w:t>
      </w:r>
      <w:r w:rsidR="00904234" w:rsidRPr="00600D22">
        <w:rPr>
          <w:rFonts w:hint="eastAsia"/>
          <w:rtl/>
        </w:rPr>
        <w:t xml:space="preserve">– </w:t>
      </w:r>
      <w:r w:rsidR="00904234" w:rsidRPr="00600D22">
        <w:rPr>
          <w:rFonts w:hint="cs"/>
          <w:rtl/>
        </w:rPr>
        <w:t xml:space="preserve">אלה הגיבורים שחיו בימות עולם, אשר עלילותיהם ומעשי גבורתם זיכו אותם בתואר </w:t>
      </w:r>
      <w:r w:rsidR="001E2170">
        <w:rPr>
          <w:rFonts w:hint="cs"/>
          <w:rtl/>
        </w:rPr>
        <w:t>"</w:t>
      </w:r>
      <w:r w:rsidR="00904234" w:rsidRPr="00600D22">
        <w:rPr>
          <w:rFonts w:hint="cs"/>
          <w:rtl/>
        </w:rPr>
        <w:t>אנשי השם</w:t>
      </w:r>
      <w:r w:rsidR="001E2170">
        <w:rPr>
          <w:rFonts w:hint="cs"/>
          <w:rtl/>
        </w:rPr>
        <w:t>"</w:t>
      </w:r>
      <w:r w:rsidR="00505466" w:rsidRPr="00600D22">
        <w:rPr>
          <w:rFonts w:hint="cs"/>
          <w:rtl/>
        </w:rPr>
        <w:t xml:space="preserve"> (</w:t>
      </w:r>
      <w:r w:rsidR="008F4FCF">
        <w:rPr>
          <w:rFonts w:hint="cs"/>
          <w:rtl/>
        </w:rPr>
        <w:t>"</w:t>
      </w:r>
      <w:r w:rsidR="00505466" w:rsidRPr="00600D22">
        <w:rPr>
          <w:rtl/>
        </w:rPr>
        <w:t>אֲשֶׁר יָבֹאוּ בְּנֵי הָאֱלֹהִים אֶל-בְּנוֹת הָאָדָם וְיָלְדוּ לָהֶם</w:t>
      </w:r>
      <w:r w:rsidR="00505466" w:rsidRPr="00600D22">
        <w:rPr>
          <w:rFonts w:hint="cs"/>
          <w:rtl/>
        </w:rPr>
        <w:t xml:space="preserve">, </w:t>
      </w:r>
      <w:r w:rsidR="00505466" w:rsidRPr="00600D22">
        <w:rPr>
          <w:rtl/>
        </w:rPr>
        <w:t>הֵמָּה הַגִּבֹּרִים אֲשֶׁר מֵעוֹלָם, אַנְשֵׁי הַשֵּׁם</w:t>
      </w:r>
      <w:r w:rsidR="008F4FCF">
        <w:rPr>
          <w:rFonts w:hint="cs"/>
          <w:rtl/>
        </w:rPr>
        <w:t>"</w:t>
      </w:r>
      <w:r w:rsidR="00505466" w:rsidRPr="00600D22">
        <w:rPr>
          <w:rFonts w:hint="cs"/>
          <w:rtl/>
        </w:rPr>
        <w:t xml:space="preserve">, </w:t>
      </w:r>
      <w:r w:rsidR="004D42AD">
        <w:rPr>
          <w:rFonts w:hint="cs"/>
          <w:rtl/>
        </w:rPr>
        <w:t xml:space="preserve">שם, </w:t>
      </w:r>
      <w:r w:rsidR="00505466" w:rsidRPr="00600D22">
        <w:rPr>
          <w:rFonts w:hint="cs"/>
          <w:rtl/>
        </w:rPr>
        <w:t>ו 4</w:t>
      </w:r>
      <w:r w:rsidR="00505466" w:rsidRPr="00600D22">
        <w:rPr>
          <w:rFonts w:hint="cs"/>
          <w:vertAlign w:val="subscript"/>
          <w:rtl/>
        </w:rPr>
        <w:t>א2</w:t>
      </w:r>
      <w:r w:rsidR="00505466" w:rsidRPr="00600D22">
        <w:rPr>
          <w:rFonts w:hint="eastAsia"/>
          <w:vertAlign w:val="subscript"/>
          <w:rtl/>
        </w:rPr>
        <w:t>–</w:t>
      </w:r>
      <w:r w:rsidR="00505466" w:rsidRPr="00600D22">
        <w:rPr>
          <w:rFonts w:hint="cs"/>
          <w:vertAlign w:val="subscript"/>
          <w:rtl/>
        </w:rPr>
        <w:t>ב</w:t>
      </w:r>
      <w:r w:rsidR="00505466" w:rsidRPr="00600D22">
        <w:rPr>
          <w:rFonts w:hint="cs"/>
          <w:rtl/>
        </w:rPr>
        <w:t xml:space="preserve">). </w:t>
      </w:r>
      <w:r w:rsidR="00904234" w:rsidRPr="00600D22">
        <w:rPr>
          <w:rFonts w:hint="cs"/>
          <w:rtl/>
        </w:rPr>
        <w:t xml:space="preserve">ה' </w:t>
      </w:r>
      <w:r w:rsidR="00980E7C" w:rsidRPr="00600D22">
        <w:rPr>
          <w:rFonts w:hint="cs"/>
          <w:rtl/>
        </w:rPr>
        <w:t>לא</w:t>
      </w:r>
      <w:r w:rsidR="00904234" w:rsidRPr="00600D22">
        <w:rPr>
          <w:rFonts w:hint="cs"/>
          <w:rtl/>
        </w:rPr>
        <w:t xml:space="preserve"> ש</w:t>
      </w:r>
      <w:r w:rsidR="006E2A5D" w:rsidRPr="00600D22">
        <w:rPr>
          <w:rFonts w:hint="cs"/>
          <w:rtl/>
        </w:rPr>
        <w:t>ׂ</w:t>
      </w:r>
      <w:r w:rsidR="00980E7C" w:rsidRPr="00600D22">
        <w:rPr>
          <w:rFonts w:hint="cs"/>
          <w:rtl/>
        </w:rPr>
        <w:t>ָ</w:t>
      </w:r>
      <w:r w:rsidR="00904234" w:rsidRPr="00600D22">
        <w:rPr>
          <w:rFonts w:hint="cs"/>
          <w:rtl/>
        </w:rPr>
        <w:t>ב</w:t>
      </w:r>
      <w:r w:rsidR="00980E7C" w:rsidRPr="00600D22">
        <w:rPr>
          <w:rFonts w:hint="cs"/>
          <w:rtl/>
        </w:rPr>
        <w:t>ַ</w:t>
      </w:r>
      <w:r w:rsidR="00904234" w:rsidRPr="00600D22">
        <w:rPr>
          <w:rFonts w:hint="cs"/>
          <w:rtl/>
        </w:rPr>
        <w:t xml:space="preserve">ע רצון ממעשה הזיווג הזה, וגם אם </w:t>
      </w:r>
      <w:r w:rsidR="00434A08" w:rsidRPr="00600D22">
        <w:rPr>
          <w:rFonts w:hint="cs"/>
          <w:rtl/>
        </w:rPr>
        <w:t xml:space="preserve">אי אפשר </w:t>
      </w:r>
      <w:r w:rsidR="00904234" w:rsidRPr="00600D22">
        <w:rPr>
          <w:rFonts w:hint="cs"/>
          <w:rtl/>
        </w:rPr>
        <w:t xml:space="preserve">להבין </w:t>
      </w:r>
      <w:r w:rsidR="00434A08" w:rsidRPr="00600D22">
        <w:rPr>
          <w:rFonts w:hint="cs"/>
          <w:rtl/>
        </w:rPr>
        <w:t>ב</w:t>
      </w:r>
      <w:r w:rsidR="0094567E" w:rsidRPr="00600D22">
        <w:rPr>
          <w:rFonts w:hint="cs"/>
          <w:rtl/>
        </w:rPr>
        <w:t>וודא</w:t>
      </w:r>
      <w:r w:rsidR="00434A08" w:rsidRPr="00600D22">
        <w:rPr>
          <w:rFonts w:hint="cs"/>
          <w:rtl/>
        </w:rPr>
        <w:t>ות</w:t>
      </w:r>
      <w:r w:rsidR="00904234" w:rsidRPr="00600D22">
        <w:rPr>
          <w:rFonts w:hint="cs"/>
          <w:rtl/>
        </w:rPr>
        <w:t xml:space="preserve"> את </w:t>
      </w:r>
      <w:r w:rsidR="00EF4E15" w:rsidRPr="00600D22">
        <w:rPr>
          <w:rFonts w:hint="cs"/>
          <w:rtl/>
        </w:rPr>
        <w:t>תגובת</w:t>
      </w:r>
      <w:r w:rsidR="001E2170">
        <w:rPr>
          <w:rFonts w:hint="cs"/>
          <w:rtl/>
        </w:rPr>
        <w:t>ו</w:t>
      </w:r>
      <w:r w:rsidR="00904234" w:rsidRPr="00600D22">
        <w:rPr>
          <w:rFonts w:hint="cs"/>
          <w:rtl/>
        </w:rPr>
        <w:t xml:space="preserve"> </w:t>
      </w:r>
      <w:r w:rsidR="00EF4E15" w:rsidRPr="00600D22">
        <w:rPr>
          <w:rFonts w:hint="cs"/>
          <w:rtl/>
        </w:rPr>
        <w:t>למעשה זה</w:t>
      </w:r>
      <w:r w:rsidR="0094567E" w:rsidRPr="00600D22">
        <w:rPr>
          <w:rFonts w:hint="cs"/>
          <w:rtl/>
        </w:rPr>
        <w:t>:</w:t>
      </w:r>
      <w:r w:rsidR="003B6EB3" w:rsidRPr="00600D22">
        <w:rPr>
          <w:rFonts w:hint="cs"/>
          <w:rtl/>
        </w:rPr>
        <w:t xml:space="preserve"> </w:t>
      </w:r>
      <w:r w:rsidR="008F4FCF">
        <w:rPr>
          <w:rFonts w:hint="cs"/>
          <w:rtl/>
        </w:rPr>
        <w:t>"</w:t>
      </w:r>
      <w:r w:rsidR="00B65E33" w:rsidRPr="00600D22">
        <w:rPr>
          <w:rtl/>
        </w:rPr>
        <w:t>לֹא-יָדוֹן רוּחִי בָאָדָם לְעֹלָם בְּשַׁגַּם הוּא בָשָׂר וְהָיוּ יָמָיו מֵאָה וְעֶשְׂרִים שָׁנָה</w:t>
      </w:r>
      <w:r w:rsidR="008F4FCF">
        <w:rPr>
          <w:rFonts w:hint="cs"/>
          <w:rtl/>
        </w:rPr>
        <w:t>"</w:t>
      </w:r>
      <w:r w:rsidR="003B6EB3" w:rsidRPr="00600D22">
        <w:rPr>
          <w:rFonts w:hint="cs"/>
          <w:rtl/>
        </w:rPr>
        <w:t xml:space="preserve"> (</w:t>
      </w:r>
      <w:r w:rsidR="004D42AD">
        <w:rPr>
          <w:rFonts w:hint="cs"/>
          <w:rtl/>
        </w:rPr>
        <w:t>שם,</w:t>
      </w:r>
      <w:r w:rsidR="003B6EB3" w:rsidRPr="00600D22">
        <w:rPr>
          <w:rFonts w:hint="cs"/>
          <w:rtl/>
        </w:rPr>
        <w:t xml:space="preserve"> 3)</w:t>
      </w:r>
      <w:r w:rsidR="00904234" w:rsidRPr="00600D22">
        <w:rPr>
          <w:rFonts w:hint="cs"/>
          <w:rtl/>
        </w:rPr>
        <w:t>, משמע</w:t>
      </w:r>
      <w:r w:rsidR="00C03EA2" w:rsidRPr="00600D22">
        <w:rPr>
          <w:rFonts w:hint="cs"/>
          <w:rtl/>
        </w:rPr>
        <w:t>ה</w:t>
      </w:r>
      <w:r w:rsidR="00904234" w:rsidRPr="00600D22">
        <w:rPr>
          <w:rFonts w:hint="cs"/>
          <w:rtl/>
        </w:rPr>
        <w:t xml:space="preserve"> העיקרי ברור: ה' קצב את ימי האדם למאה עשרים שנה,</w:t>
      </w:r>
      <w:r w:rsidR="00904234" w:rsidRPr="00600D22">
        <w:rPr>
          <w:rStyle w:val="FootnoteReference"/>
          <w:rtl/>
        </w:rPr>
        <w:footnoteReference w:id="5"/>
      </w:r>
      <w:r w:rsidR="00904234" w:rsidRPr="00600D22">
        <w:rPr>
          <w:rFonts w:hint="cs"/>
          <w:rtl/>
        </w:rPr>
        <w:t xml:space="preserve"> ורוח</w:t>
      </w:r>
      <w:r w:rsidR="00BC7861" w:rsidRPr="00600D22">
        <w:rPr>
          <w:rFonts w:hint="cs"/>
          <w:rtl/>
        </w:rPr>
        <w:t xml:space="preserve"> ה'</w:t>
      </w:r>
      <w:r w:rsidR="00904234" w:rsidRPr="00600D22">
        <w:rPr>
          <w:rFonts w:hint="cs"/>
          <w:rtl/>
        </w:rPr>
        <w:t xml:space="preserve"> לא תשהה בבני בשר ודם מעבר </w:t>
      </w:r>
      <w:r w:rsidR="0065026A">
        <w:rPr>
          <w:rFonts w:hint="cs"/>
          <w:rtl/>
        </w:rPr>
        <w:t>לזאת</w:t>
      </w:r>
      <w:r w:rsidR="00904234" w:rsidRPr="00600D22">
        <w:rPr>
          <w:rFonts w:hint="cs"/>
          <w:rtl/>
        </w:rPr>
        <w:t>.</w:t>
      </w:r>
      <w:r w:rsidR="00FA19D9" w:rsidRPr="00600D22">
        <w:rPr>
          <w:rStyle w:val="FootnoteReference"/>
          <w:rtl/>
        </w:rPr>
        <w:footnoteReference w:id="6"/>
      </w:r>
    </w:p>
    <w:p w:rsidR="005F2CBE" w:rsidRPr="00600D22" w:rsidRDefault="00287622" w:rsidP="004D42AD">
      <w:pPr>
        <w:widowControl w:val="0"/>
        <w:spacing w:line="480" w:lineRule="auto"/>
        <w:ind w:firstLine="397"/>
        <w:rPr>
          <w:rtl/>
        </w:rPr>
      </w:pPr>
      <w:r w:rsidRPr="00600D22">
        <w:rPr>
          <w:rFonts w:hint="cs"/>
          <w:rtl/>
        </w:rPr>
        <w:t>מלבד אופיו החריג יחסית של סיפור זה בעולם האמונות המקראי</w:t>
      </w:r>
      <w:r w:rsidR="00980E7C" w:rsidRPr="00600D22">
        <w:rPr>
          <w:rFonts w:hint="cs"/>
          <w:rtl/>
        </w:rPr>
        <w:t>,</w:t>
      </w:r>
      <w:r w:rsidRPr="00600D22">
        <w:rPr>
          <w:rFonts w:hint="cs"/>
          <w:rtl/>
        </w:rPr>
        <w:t xml:space="preserve"> וצמצומו הניכר</w:t>
      </w:r>
      <w:r w:rsidR="00980E7C" w:rsidRPr="00600D22">
        <w:rPr>
          <w:rFonts w:hint="cs"/>
          <w:rtl/>
        </w:rPr>
        <w:t>,</w:t>
      </w:r>
      <w:r w:rsidRPr="00600D22">
        <w:rPr>
          <w:rFonts w:hint="cs"/>
          <w:rtl/>
        </w:rPr>
        <w:t xml:space="preserve"> עולה </w:t>
      </w:r>
      <w:r w:rsidR="00E94434" w:rsidRPr="00600D22">
        <w:rPr>
          <w:rFonts w:hint="cs"/>
          <w:rtl/>
        </w:rPr>
        <w:t>ש</w:t>
      </w:r>
      <w:r w:rsidRPr="00600D22">
        <w:rPr>
          <w:rFonts w:hint="cs"/>
          <w:rtl/>
        </w:rPr>
        <w:t>אלה באשר למקומו ברצף</w:t>
      </w:r>
      <w:r w:rsidR="00E11619" w:rsidRPr="00600D22">
        <w:rPr>
          <w:rFonts w:hint="cs"/>
          <w:rtl/>
        </w:rPr>
        <w:t xml:space="preserve"> ה</w:t>
      </w:r>
      <w:r w:rsidR="00633D19" w:rsidRPr="00600D22">
        <w:rPr>
          <w:rFonts w:hint="cs"/>
          <w:rtl/>
        </w:rPr>
        <w:t>לא</w:t>
      </w:r>
      <w:r w:rsidR="0081395F" w:rsidRPr="00600D22">
        <w:rPr>
          <w:rFonts w:hint="cs"/>
          <w:rtl/>
        </w:rPr>
        <w:t>-</w:t>
      </w:r>
      <w:r w:rsidR="00633D19" w:rsidRPr="00600D22">
        <w:rPr>
          <w:rFonts w:hint="cs"/>
          <w:rtl/>
        </w:rPr>
        <w:t>כוהני</w:t>
      </w:r>
      <w:r w:rsidR="00E11619" w:rsidRPr="00600D22">
        <w:rPr>
          <w:rFonts w:hint="cs"/>
          <w:rtl/>
        </w:rPr>
        <w:t xml:space="preserve"> </w:t>
      </w:r>
      <w:r w:rsidRPr="00600D22">
        <w:rPr>
          <w:rFonts w:hint="cs"/>
          <w:rtl/>
        </w:rPr>
        <w:t>וסמיכותו ל</w:t>
      </w:r>
      <w:r w:rsidR="00E11619" w:rsidRPr="00600D22">
        <w:rPr>
          <w:rFonts w:hint="cs"/>
          <w:rtl/>
        </w:rPr>
        <w:t xml:space="preserve">סיפור המבול. </w:t>
      </w:r>
      <w:r w:rsidR="00BC2AC6" w:rsidRPr="00600D22">
        <w:rPr>
          <w:rFonts w:hint="cs"/>
          <w:rtl/>
        </w:rPr>
        <w:t>כבר עמדו על כך כי סיפור בני האל</w:t>
      </w:r>
      <w:r w:rsidR="00A87B20" w:rsidRPr="00600D22">
        <w:rPr>
          <w:rFonts w:hint="cs"/>
          <w:rtl/>
        </w:rPr>
        <w:t>ו</w:t>
      </w:r>
      <w:r w:rsidR="00BC2AC6" w:rsidRPr="00600D22">
        <w:rPr>
          <w:rFonts w:hint="cs"/>
          <w:rtl/>
        </w:rPr>
        <w:t>הים ובנות האדם עומד ברשות עצמו, ולכאורה לא ברור הקשר בינו לבין המבול</w:t>
      </w:r>
      <w:r w:rsidR="006E2A5D" w:rsidRPr="00600D22">
        <w:rPr>
          <w:rFonts w:hint="cs"/>
          <w:rtl/>
        </w:rPr>
        <w:t>,</w:t>
      </w:r>
      <w:r w:rsidR="00BC2AC6" w:rsidRPr="00600D22">
        <w:rPr>
          <w:rFonts w:hint="cs"/>
          <w:rtl/>
        </w:rPr>
        <w:t xml:space="preserve"> הניצב אחריו ברצף; מעשי בני האל</w:t>
      </w:r>
      <w:r w:rsidR="00A87B20" w:rsidRPr="00600D22">
        <w:rPr>
          <w:rFonts w:hint="cs"/>
          <w:rtl/>
        </w:rPr>
        <w:t>ו</w:t>
      </w:r>
      <w:r w:rsidR="00BC2AC6" w:rsidRPr="00600D22">
        <w:rPr>
          <w:rFonts w:hint="cs"/>
          <w:rtl/>
        </w:rPr>
        <w:t>הים בבראשית ו 1–4 אינם הסיבה למבול, אלא רעת האדם,</w:t>
      </w:r>
      <w:r w:rsidR="00BC2AC6" w:rsidRPr="00600D22">
        <w:rPr>
          <w:rStyle w:val="FootnoteReference"/>
          <w:rtl/>
        </w:rPr>
        <w:footnoteReference w:id="7"/>
      </w:r>
      <w:r w:rsidR="00BC2AC6" w:rsidRPr="00600D22">
        <w:rPr>
          <w:rFonts w:hint="cs"/>
          <w:rtl/>
        </w:rPr>
        <w:t xml:space="preserve"> ולבעיית מעשי בני האל</w:t>
      </w:r>
      <w:r w:rsidR="00A87B20" w:rsidRPr="00600D22">
        <w:rPr>
          <w:rFonts w:hint="cs"/>
          <w:rtl/>
        </w:rPr>
        <w:t>ו</w:t>
      </w:r>
      <w:r w:rsidR="00BC2AC6" w:rsidRPr="00600D22">
        <w:rPr>
          <w:rFonts w:hint="cs"/>
          <w:rtl/>
        </w:rPr>
        <w:t xml:space="preserve">הים יש פתרון העומד בפני עצמו </w:t>
      </w:r>
      <w:r w:rsidR="00BC2AC6" w:rsidRPr="00600D22">
        <w:rPr>
          <w:rtl/>
        </w:rPr>
        <w:t>–</w:t>
      </w:r>
      <w:r w:rsidR="00BC2AC6" w:rsidRPr="00600D22">
        <w:rPr>
          <w:rFonts w:hint="cs"/>
          <w:rtl/>
        </w:rPr>
        <w:t xml:space="preserve"> הגבלת תוחלת חייו של אדם למאה ועשרים שנה </w:t>
      </w:r>
      <w:r w:rsidR="00BC2AC6" w:rsidRPr="00600D22">
        <w:rPr>
          <w:rFonts w:hint="cs"/>
          <w:rtl/>
        </w:rPr>
        <w:lastRenderedPageBreak/>
        <w:t>(</w:t>
      </w:r>
      <w:r w:rsidR="004D42AD">
        <w:rPr>
          <w:rFonts w:hint="cs"/>
          <w:rtl/>
        </w:rPr>
        <w:t>שם,</w:t>
      </w:r>
      <w:r w:rsidR="00BC2AC6" w:rsidRPr="00600D22">
        <w:rPr>
          <w:rFonts w:hint="cs"/>
          <w:rtl/>
        </w:rPr>
        <w:t xml:space="preserve"> 3). </w:t>
      </w:r>
      <w:r w:rsidR="006F16DC" w:rsidRPr="00600D22">
        <w:rPr>
          <w:rFonts w:hint="cs"/>
          <w:rtl/>
        </w:rPr>
        <w:t xml:space="preserve">על פניו נראה </w:t>
      </w:r>
      <w:r w:rsidR="005C71EE">
        <w:rPr>
          <w:rFonts w:hint="cs"/>
          <w:rtl/>
        </w:rPr>
        <w:t xml:space="preserve">אפוא </w:t>
      </w:r>
      <w:r w:rsidR="006F16DC" w:rsidRPr="00600D22">
        <w:rPr>
          <w:rFonts w:hint="cs"/>
          <w:rtl/>
        </w:rPr>
        <w:t xml:space="preserve">כי </w:t>
      </w:r>
      <w:r w:rsidR="00BC2AC6" w:rsidRPr="00600D22">
        <w:rPr>
          <w:rFonts w:hint="cs"/>
          <w:rtl/>
        </w:rPr>
        <w:t>מדובר בשתי יחידות נפרדות</w:t>
      </w:r>
      <w:r w:rsidR="00980E7C" w:rsidRPr="00600D22">
        <w:rPr>
          <w:rFonts w:hint="cs"/>
          <w:rtl/>
        </w:rPr>
        <w:t>,</w:t>
      </w:r>
      <w:r w:rsidR="00BC2AC6" w:rsidRPr="00600D22">
        <w:rPr>
          <w:rFonts w:hint="cs"/>
          <w:rtl/>
        </w:rPr>
        <w:t xml:space="preserve"> </w:t>
      </w:r>
      <w:r w:rsidR="006F16DC" w:rsidRPr="00600D22">
        <w:rPr>
          <w:rFonts w:hint="cs"/>
          <w:rtl/>
        </w:rPr>
        <w:t xml:space="preserve">אולם </w:t>
      </w:r>
      <w:r w:rsidR="00AE1D29" w:rsidRPr="00600D22">
        <w:rPr>
          <w:rFonts w:hint="cs"/>
          <w:rtl/>
        </w:rPr>
        <w:t xml:space="preserve">ניתוח הכתובים שלהלן </w:t>
      </w:r>
      <w:r w:rsidR="006F16DC" w:rsidRPr="00600D22">
        <w:rPr>
          <w:rFonts w:hint="cs"/>
          <w:rtl/>
        </w:rPr>
        <w:t xml:space="preserve">עשוי להעלות מסקנות אחרות </w:t>
      </w:r>
      <w:r w:rsidR="006E2A5D" w:rsidRPr="00600D22">
        <w:rPr>
          <w:rFonts w:hint="cs"/>
          <w:rtl/>
        </w:rPr>
        <w:t xml:space="preserve">באשר </w:t>
      </w:r>
      <w:r w:rsidR="006F16DC" w:rsidRPr="00600D22">
        <w:rPr>
          <w:rFonts w:hint="cs"/>
          <w:rtl/>
        </w:rPr>
        <w:t xml:space="preserve">לזיקה בין </w:t>
      </w:r>
      <w:r w:rsidR="00E3017A" w:rsidRPr="00600D22">
        <w:rPr>
          <w:rFonts w:hint="cs"/>
          <w:rtl/>
        </w:rPr>
        <w:t>סיפור בני האל</w:t>
      </w:r>
      <w:r w:rsidR="00A87B20" w:rsidRPr="00600D22">
        <w:rPr>
          <w:rFonts w:hint="cs"/>
          <w:rtl/>
        </w:rPr>
        <w:t>ו</w:t>
      </w:r>
      <w:r w:rsidR="00E3017A" w:rsidRPr="00600D22">
        <w:rPr>
          <w:rFonts w:hint="cs"/>
          <w:rtl/>
        </w:rPr>
        <w:t>הים ובנות האדם (</w:t>
      </w:r>
      <w:r w:rsidR="004D42AD">
        <w:rPr>
          <w:rFonts w:hint="cs"/>
          <w:rtl/>
        </w:rPr>
        <w:t>שם,</w:t>
      </w:r>
      <w:r w:rsidR="00E3017A" w:rsidRPr="00600D22">
        <w:rPr>
          <w:rFonts w:hint="cs"/>
          <w:rtl/>
        </w:rPr>
        <w:t xml:space="preserve"> 1</w:t>
      </w:r>
      <w:r w:rsidR="00E3017A" w:rsidRPr="00600D22">
        <w:rPr>
          <w:rFonts w:hint="eastAsia"/>
          <w:rtl/>
        </w:rPr>
        <w:t>–</w:t>
      </w:r>
      <w:r w:rsidR="00E3017A" w:rsidRPr="00600D22">
        <w:rPr>
          <w:rFonts w:hint="cs"/>
          <w:rtl/>
        </w:rPr>
        <w:t>4) וסיפור המבול (</w:t>
      </w:r>
      <w:r w:rsidR="004D42AD">
        <w:rPr>
          <w:rFonts w:hint="cs"/>
          <w:rtl/>
        </w:rPr>
        <w:t xml:space="preserve">שם, </w:t>
      </w:r>
      <w:r w:rsidR="004512F6" w:rsidRPr="00600D22">
        <w:rPr>
          <w:rFonts w:hint="cs"/>
          <w:rtl/>
        </w:rPr>
        <w:t>ו 5</w:t>
      </w:r>
      <w:r w:rsidR="004512F6" w:rsidRPr="00600D22">
        <w:rPr>
          <w:rFonts w:hint="eastAsia"/>
          <w:rtl/>
        </w:rPr>
        <w:t>–</w:t>
      </w:r>
      <w:r w:rsidR="004512F6" w:rsidRPr="00600D22">
        <w:rPr>
          <w:rFonts w:hint="cs"/>
          <w:rtl/>
        </w:rPr>
        <w:t>ט 17</w:t>
      </w:r>
      <w:r w:rsidR="006E7A5A" w:rsidRPr="00600D22">
        <w:rPr>
          <w:rFonts w:hint="cs"/>
          <w:rtl/>
        </w:rPr>
        <w:t>).</w:t>
      </w:r>
    </w:p>
    <w:p w:rsidR="009E364E" w:rsidRPr="00600D22" w:rsidRDefault="009E364E" w:rsidP="004D42AD">
      <w:pPr>
        <w:widowControl w:val="0"/>
        <w:spacing w:line="480" w:lineRule="auto"/>
        <w:ind w:firstLine="397"/>
        <w:rPr>
          <w:rtl/>
        </w:rPr>
      </w:pPr>
      <w:r w:rsidRPr="00600D22">
        <w:rPr>
          <w:rFonts w:hint="cs"/>
          <w:rtl/>
        </w:rPr>
        <w:t>את עיקר הקושי בבראשית ו 1</w:t>
      </w:r>
      <w:r w:rsidRPr="00600D22">
        <w:rPr>
          <w:rFonts w:hint="eastAsia"/>
          <w:rtl/>
        </w:rPr>
        <w:t>–</w:t>
      </w:r>
      <w:r w:rsidRPr="00600D22">
        <w:rPr>
          <w:rFonts w:hint="cs"/>
          <w:rtl/>
        </w:rPr>
        <w:t>4 מעורר פסוק 3</w:t>
      </w:r>
      <w:r w:rsidR="00A87B20" w:rsidRPr="00600D22">
        <w:rPr>
          <w:rFonts w:hint="cs"/>
          <w:rtl/>
        </w:rPr>
        <w:t>:</w:t>
      </w:r>
      <w:r w:rsidRPr="00600D22">
        <w:rPr>
          <w:rFonts w:hint="cs"/>
          <w:rtl/>
        </w:rPr>
        <w:t xml:space="preserve"> </w:t>
      </w:r>
      <w:r w:rsidR="008F4FCF">
        <w:rPr>
          <w:rFonts w:hint="cs"/>
          <w:rtl/>
        </w:rPr>
        <w:t>"</w:t>
      </w:r>
      <w:r w:rsidRPr="00600D22">
        <w:rPr>
          <w:rtl/>
        </w:rPr>
        <w:t xml:space="preserve">וַיֹּאמֶר </w:t>
      </w:r>
      <w:r w:rsidRPr="00600D22">
        <w:rPr>
          <w:rFonts w:hint="cs"/>
          <w:rtl/>
        </w:rPr>
        <w:t>ה'</w:t>
      </w:r>
      <w:r w:rsidRPr="00600D22">
        <w:rPr>
          <w:rtl/>
        </w:rPr>
        <w:t xml:space="preserve"> לֹא-יָדוֹן רוּחִי בָאָדָם לְעֹלָם בְּשַׁגַּם הוּא בָשָׂר וְהָיוּ יָמָיו מֵאָה וְעֶשְׂרִים שָׁנָה</w:t>
      </w:r>
      <w:r w:rsidR="008F4FCF">
        <w:rPr>
          <w:rFonts w:hint="cs"/>
          <w:rtl/>
        </w:rPr>
        <w:t>"</w:t>
      </w:r>
      <w:r w:rsidRPr="00600D22">
        <w:rPr>
          <w:rFonts w:hint="cs"/>
          <w:rtl/>
        </w:rPr>
        <w:t>, שלדעת רבים איננו נחשב חלק מן הרובד הראשוני של הסיפור.</w:t>
      </w:r>
      <w:r w:rsidRPr="00600D22">
        <w:rPr>
          <w:rStyle w:val="FootnoteReference"/>
          <w:rtl/>
        </w:rPr>
        <w:footnoteReference w:id="8"/>
      </w:r>
      <w:r w:rsidRPr="00600D22">
        <w:rPr>
          <w:rFonts w:hint="cs"/>
          <w:rtl/>
        </w:rPr>
        <w:t xml:space="preserve"> ראשית, ניתן לראות כי הפסוק אינו ניצב במקום נוח מבחינת רצף הסיפור. פסוק 3 מתייחס לצאצאי הזיווגים בין בני אדם לבני אל</w:t>
      </w:r>
      <w:r w:rsidR="00A87B20" w:rsidRPr="00600D22">
        <w:rPr>
          <w:rFonts w:hint="cs"/>
          <w:rtl/>
        </w:rPr>
        <w:t>ו</w:t>
      </w:r>
      <w:r w:rsidRPr="00600D22">
        <w:rPr>
          <w:rFonts w:hint="cs"/>
          <w:rtl/>
        </w:rPr>
        <w:t>הים, שכן הגבלת חיי האדם תמנע מצאצאי הזיווגים לחיות חיי אלמוות, אולם למעשה זיווגים אלו וצאצאיהם נזכרים מפורשות רק בפסוק הבא</w:t>
      </w:r>
      <w:r w:rsidR="004B387A">
        <w:rPr>
          <w:rFonts w:hint="cs"/>
          <w:rtl/>
        </w:rPr>
        <w:t>:</w:t>
      </w:r>
      <w:r w:rsidRPr="00600D22">
        <w:rPr>
          <w:rFonts w:hint="cs"/>
          <w:rtl/>
        </w:rPr>
        <w:t xml:space="preserve"> </w:t>
      </w:r>
      <w:r w:rsidR="008F4FCF">
        <w:rPr>
          <w:rFonts w:hint="cs"/>
          <w:rtl/>
        </w:rPr>
        <w:t>"</w:t>
      </w:r>
      <w:r w:rsidRPr="00600D22">
        <w:rPr>
          <w:rtl/>
        </w:rPr>
        <w:t>אֲשֶׁר יָבֹאוּ בְּנֵי הָאֱלֹהִים אֶל-בְּנוֹת הָאָדָם וְיָלְדוּ לָהֶם</w:t>
      </w:r>
      <w:r w:rsidRPr="00600D22">
        <w:rPr>
          <w:rFonts w:hint="cs"/>
          <w:rtl/>
        </w:rPr>
        <w:t xml:space="preserve"> </w:t>
      </w:r>
      <w:r w:rsidRPr="00600D22">
        <w:rPr>
          <w:rtl/>
        </w:rPr>
        <w:t>הֵמָּה הַגִּבֹּרִים אֲשֶׁר מֵעוֹלָם</w:t>
      </w:r>
      <w:r w:rsidRPr="00600D22">
        <w:rPr>
          <w:rFonts w:hint="cs"/>
          <w:rtl/>
        </w:rPr>
        <w:t>,</w:t>
      </w:r>
      <w:r w:rsidRPr="00600D22">
        <w:rPr>
          <w:rtl/>
        </w:rPr>
        <w:t xml:space="preserve"> אַנְשֵׁי הַשֵּׁם</w:t>
      </w:r>
      <w:r w:rsidR="008F4FCF">
        <w:rPr>
          <w:rFonts w:hint="cs"/>
          <w:rtl/>
        </w:rPr>
        <w:t>"</w:t>
      </w:r>
      <w:r w:rsidRPr="00600D22">
        <w:rPr>
          <w:rFonts w:hint="cs"/>
          <w:rtl/>
        </w:rPr>
        <w:t xml:space="preserve"> (</w:t>
      </w:r>
      <w:r w:rsidR="004D42AD">
        <w:rPr>
          <w:rFonts w:hint="cs"/>
          <w:rtl/>
        </w:rPr>
        <w:t>שם,</w:t>
      </w:r>
      <w:r w:rsidRPr="00600D22">
        <w:rPr>
          <w:rFonts w:hint="cs"/>
          <w:rtl/>
        </w:rPr>
        <w:t xml:space="preserve"> 4</w:t>
      </w:r>
      <w:r w:rsidRPr="00600D22">
        <w:rPr>
          <w:rFonts w:hint="cs"/>
          <w:vertAlign w:val="subscript"/>
          <w:rtl/>
        </w:rPr>
        <w:t>א2,ב</w:t>
      </w:r>
      <w:r w:rsidRPr="00600D22">
        <w:rPr>
          <w:rFonts w:hint="cs"/>
          <w:rtl/>
        </w:rPr>
        <w:t xml:space="preserve">). נראה שסדר טוב יותר היה מושג </w:t>
      </w:r>
      <w:r w:rsidR="00A87B20" w:rsidRPr="00600D22">
        <w:rPr>
          <w:rFonts w:hint="cs"/>
          <w:rtl/>
        </w:rPr>
        <w:t xml:space="preserve">אילו </w:t>
      </w:r>
      <w:r w:rsidR="004B387A">
        <w:rPr>
          <w:rFonts w:hint="cs"/>
          <w:rtl/>
        </w:rPr>
        <w:t xml:space="preserve">עמד </w:t>
      </w:r>
      <w:r w:rsidRPr="00600D22">
        <w:rPr>
          <w:rFonts w:hint="cs"/>
          <w:rtl/>
        </w:rPr>
        <w:t>פס</w:t>
      </w:r>
      <w:r w:rsidR="004B387A">
        <w:rPr>
          <w:rFonts w:hint="cs"/>
          <w:rtl/>
        </w:rPr>
        <w:t>וק</w:t>
      </w:r>
      <w:r w:rsidRPr="00600D22">
        <w:rPr>
          <w:rFonts w:hint="cs"/>
          <w:rtl/>
        </w:rPr>
        <w:t xml:space="preserve"> 3 אחרי פס</w:t>
      </w:r>
      <w:r w:rsidR="004B387A">
        <w:rPr>
          <w:rFonts w:hint="cs"/>
          <w:rtl/>
        </w:rPr>
        <w:t>וק</w:t>
      </w:r>
      <w:r w:rsidRPr="00600D22">
        <w:rPr>
          <w:rFonts w:hint="cs"/>
          <w:rtl/>
        </w:rPr>
        <w:t xml:space="preserve"> 4, אך לא כך הדבר.</w:t>
      </w:r>
      <w:r w:rsidR="004D5276" w:rsidRPr="00600D22">
        <w:rPr>
          <w:rStyle w:val="FootnoteReference"/>
          <w:rtl/>
        </w:rPr>
        <w:footnoteReference w:id="9"/>
      </w:r>
    </w:p>
    <w:p w:rsidR="009E364E" w:rsidRPr="00600D22" w:rsidRDefault="009E364E" w:rsidP="001A1DD1">
      <w:pPr>
        <w:widowControl w:val="0"/>
        <w:spacing w:line="480" w:lineRule="auto"/>
        <w:ind w:firstLine="397"/>
      </w:pPr>
      <w:r w:rsidRPr="00600D22">
        <w:rPr>
          <w:rFonts w:hint="cs"/>
          <w:rtl/>
        </w:rPr>
        <w:t>שני</w:t>
      </w:r>
      <w:r w:rsidR="001A1DD1">
        <w:rPr>
          <w:rFonts w:hint="cs"/>
          <w:rtl/>
        </w:rPr>
        <w:t>ת,</w:t>
      </w:r>
      <w:r w:rsidRPr="00600D22">
        <w:rPr>
          <w:rFonts w:hint="cs"/>
          <w:rtl/>
        </w:rPr>
        <w:t xml:space="preserve"> עולה</w:t>
      </w:r>
      <w:r w:rsidR="001A1DD1">
        <w:rPr>
          <w:rFonts w:hint="cs"/>
          <w:rtl/>
        </w:rPr>
        <w:t xml:space="preserve"> קושי</w:t>
      </w:r>
      <w:r w:rsidRPr="00600D22">
        <w:rPr>
          <w:rFonts w:hint="cs"/>
          <w:rtl/>
        </w:rPr>
        <w:t xml:space="preserve"> מתוכנו של פסוק 3 ברצף הסיפורי. </w:t>
      </w:r>
      <w:r w:rsidRPr="00600D22">
        <w:rPr>
          <w:rFonts w:eastAsia="Times New Roman" w:hint="cs"/>
          <w:rtl/>
        </w:rPr>
        <w:t xml:space="preserve">מעשי הזיווגים הללו בין בני אלמוות לבני תמותה </w:t>
      </w:r>
      <w:r w:rsidR="006D6F9A" w:rsidRPr="00600D22">
        <w:rPr>
          <w:rFonts w:eastAsia="Times New Roman" w:hint="cs"/>
          <w:rtl/>
        </w:rPr>
        <w:t xml:space="preserve">הם </w:t>
      </w:r>
      <w:r w:rsidRPr="00600D22">
        <w:rPr>
          <w:rFonts w:eastAsia="Times New Roman" w:hint="cs"/>
          <w:rtl/>
        </w:rPr>
        <w:t xml:space="preserve">הפרה בוטה של גבול האנושיות וטשטוש התחומים בין אנושי לאלוהי. רעיון זה </w:t>
      </w:r>
      <w:r w:rsidR="006D6F9A" w:rsidRPr="00600D22">
        <w:rPr>
          <w:rFonts w:eastAsia="Times New Roman" w:hint="cs"/>
          <w:rtl/>
        </w:rPr>
        <w:t xml:space="preserve">הוא </w:t>
      </w:r>
      <w:r w:rsidRPr="00600D22">
        <w:rPr>
          <w:rFonts w:eastAsia="Times New Roman" w:hint="cs"/>
          <w:rtl/>
        </w:rPr>
        <w:t>כידוע מוטיב מרכזי בסיפורי הראשית של המחבר היהוויסטי; כך למשל בסיפור גן העדן כאשר האדם אכל מפרי עץ הדעת טוב ורע והפך כאל</w:t>
      </w:r>
      <w:r w:rsidR="006D6F9A" w:rsidRPr="00600D22">
        <w:rPr>
          <w:rFonts w:eastAsia="Times New Roman" w:hint="cs"/>
          <w:rtl/>
        </w:rPr>
        <w:t>ו</w:t>
      </w:r>
      <w:r w:rsidRPr="00600D22">
        <w:rPr>
          <w:rFonts w:eastAsia="Times New Roman" w:hint="cs"/>
          <w:rtl/>
        </w:rPr>
        <w:t>הים, וה' חשש כי כעת יהיה גם בן אלמוות</w:t>
      </w:r>
      <w:r w:rsidR="004B387A">
        <w:rPr>
          <w:rFonts w:eastAsia="Times New Roman" w:hint="cs"/>
          <w:rtl/>
        </w:rPr>
        <w:t>:</w:t>
      </w:r>
      <w:r w:rsidRPr="00600D22">
        <w:rPr>
          <w:rFonts w:eastAsia="Times New Roman" w:hint="cs"/>
          <w:rtl/>
        </w:rPr>
        <w:t xml:space="preserve"> </w:t>
      </w:r>
      <w:r w:rsidR="008F4FCF">
        <w:rPr>
          <w:rFonts w:hint="cs"/>
          <w:rtl/>
        </w:rPr>
        <w:t>"</w:t>
      </w:r>
      <w:r w:rsidRPr="00600D22">
        <w:rPr>
          <w:rtl/>
        </w:rPr>
        <w:t>הֵן הָאָדָם הָיָה כְּאַחַד מִמֶּנּוּ לָדַעַת טוֹב וָרָע וְעַתָּה פֶּן-יִשְׁלַח יָדוֹ וְלָקַח גַּם מֵעֵץ הַחַיִּים וְאָכַל וָחַי לְעֹלָם</w:t>
      </w:r>
      <w:r w:rsidR="008F4FCF">
        <w:rPr>
          <w:rFonts w:hint="cs"/>
          <w:rtl/>
        </w:rPr>
        <w:t>"</w:t>
      </w:r>
      <w:r w:rsidRPr="00600D22">
        <w:rPr>
          <w:rFonts w:hint="cs"/>
          <w:rtl/>
        </w:rPr>
        <w:t xml:space="preserve"> </w:t>
      </w:r>
      <w:r w:rsidRPr="00600D22">
        <w:rPr>
          <w:rFonts w:eastAsia="Times New Roman" w:hint="cs"/>
          <w:rtl/>
        </w:rPr>
        <w:t>(</w:t>
      </w:r>
      <w:r w:rsidR="001A1DD1">
        <w:rPr>
          <w:rFonts w:eastAsia="Times New Roman" w:hint="cs"/>
          <w:rtl/>
        </w:rPr>
        <w:t>שם,</w:t>
      </w:r>
      <w:r w:rsidRPr="00600D22">
        <w:rPr>
          <w:rFonts w:eastAsia="Times New Roman" w:hint="cs"/>
          <w:rtl/>
        </w:rPr>
        <w:t xml:space="preserve"> ג 22). כך גם בסיפור מגדל בבל (</w:t>
      </w:r>
      <w:r w:rsidR="004B387A">
        <w:rPr>
          <w:rFonts w:eastAsia="Times New Roman" w:hint="cs"/>
          <w:rtl/>
        </w:rPr>
        <w:t xml:space="preserve">שם, </w:t>
      </w:r>
      <w:r w:rsidRPr="00600D22">
        <w:rPr>
          <w:rFonts w:eastAsia="Times New Roman" w:hint="cs"/>
          <w:rtl/>
        </w:rPr>
        <w:t xml:space="preserve">יא 6–7), שבו ביקשו בני האדם לעשות לעצמם </w:t>
      </w:r>
      <w:r w:rsidRPr="00600D22">
        <w:rPr>
          <w:rtl/>
        </w:rPr>
        <w:t>שֵׁם</w:t>
      </w:r>
      <w:r w:rsidRPr="00600D22">
        <w:rPr>
          <w:rFonts w:hint="cs"/>
          <w:rtl/>
        </w:rPr>
        <w:t>,</w:t>
      </w:r>
      <w:r w:rsidRPr="00600D22">
        <w:rPr>
          <w:rStyle w:val="FootnoteReference"/>
          <w:rtl/>
        </w:rPr>
        <w:footnoteReference w:id="10"/>
      </w:r>
      <w:r w:rsidRPr="00600D22">
        <w:rPr>
          <w:rFonts w:hint="cs"/>
          <w:rtl/>
        </w:rPr>
        <w:t xml:space="preserve"> </w:t>
      </w:r>
      <w:r w:rsidRPr="00600D22">
        <w:rPr>
          <w:rFonts w:eastAsia="Times New Roman" w:hint="cs"/>
          <w:rtl/>
        </w:rPr>
        <w:t>וה' חשש כי מעתה יהפוך האדם לכל יכול</w:t>
      </w:r>
      <w:r w:rsidR="004B387A">
        <w:rPr>
          <w:rFonts w:eastAsia="Times New Roman" w:hint="cs"/>
          <w:rtl/>
        </w:rPr>
        <w:t>,</w:t>
      </w:r>
      <w:r w:rsidRPr="00600D22">
        <w:rPr>
          <w:rFonts w:eastAsia="Times New Roman" w:hint="cs"/>
          <w:rtl/>
        </w:rPr>
        <w:t xml:space="preserve"> </w:t>
      </w:r>
      <w:r w:rsidR="008F4FCF">
        <w:rPr>
          <w:rFonts w:hint="cs"/>
          <w:rtl/>
        </w:rPr>
        <w:t>"</w:t>
      </w:r>
      <w:r w:rsidRPr="00600D22">
        <w:rPr>
          <w:rtl/>
        </w:rPr>
        <w:t>הֵן עַם אֶחָד וְשָׂפָה אַחַת לְכֻלָּם וְזֶה הַחִלָּם לַעֲשׂוֹת וְעַתָּה לֹא-יִבָּצֵר מֵהֶם כֹּל אֲשֶׁר יָזְמוּ לַעֲשׂוֹת</w:t>
      </w:r>
      <w:r w:rsidR="008F4FCF">
        <w:rPr>
          <w:rFonts w:hint="cs"/>
          <w:rtl/>
        </w:rPr>
        <w:t>"</w:t>
      </w:r>
      <w:r w:rsidRPr="00600D22">
        <w:rPr>
          <w:rFonts w:hint="cs"/>
          <w:rtl/>
        </w:rPr>
        <w:t xml:space="preserve"> (</w:t>
      </w:r>
      <w:r w:rsidR="004B387A">
        <w:rPr>
          <w:rFonts w:hint="cs"/>
          <w:rtl/>
        </w:rPr>
        <w:t xml:space="preserve">שם, </w:t>
      </w:r>
      <w:r w:rsidRPr="00600D22">
        <w:rPr>
          <w:rFonts w:hint="cs"/>
          <w:rtl/>
        </w:rPr>
        <w:t>6)</w:t>
      </w:r>
      <w:r w:rsidRPr="00600D22">
        <w:rPr>
          <w:rFonts w:eastAsia="Times New Roman" w:hint="cs"/>
          <w:rtl/>
        </w:rPr>
        <w:t>. בסיפור בבראשית ו 1</w:t>
      </w:r>
      <w:r w:rsidRPr="00600D22">
        <w:rPr>
          <w:rFonts w:eastAsia="Times New Roman" w:hint="eastAsia"/>
          <w:rtl/>
        </w:rPr>
        <w:t>–</w:t>
      </w:r>
      <w:r w:rsidRPr="00600D22">
        <w:rPr>
          <w:rFonts w:eastAsia="Times New Roman" w:hint="cs"/>
          <w:rtl/>
        </w:rPr>
        <w:t>4 הסכנה חמורה אף יותר שכן זיווגי תערובת בין אדם לאל</w:t>
      </w:r>
      <w:r w:rsidR="006D6F9A" w:rsidRPr="00600D22">
        <w:rPr>
          <w:rFonts w:eastAsia="Times New Roman" w:hint="cs"/>
          <w:rtl/>
        </w:rPr>
        <w:t>ו</w:t>
      </w:r>
      <w:r w:rsidRPr="00600D22">
        <w:rPr>
          <w:rFonts w:eastAsia="Times New Roman" w:hint="cs"/>
          <w:rtl/>
        </w:rPr>
        <w:t>הים יניבו אלים</w:t>
      </w:r>
      <w:r w:rsidR="006D6F9A" w:rsidRPr="00600D22">
        <w:rPr>
          <w:rFonts w:eastAsia="Times New Roman" w:hint="cs"/>
          <w:rtl/>
        </w:rPr>
        <w:t xml:space="preserve"> למחצה</w:t>
      </w:r>
      <w:r w:rsidRPr="00600D22">
        <w:rPr>
          <w:rFonts w:eastAsia="Times New Roman" w:hint="cs"/>
          <w:rtl/>
        </w:rPr>
        <w:t>. לפיכך, החליט ה' להגביל את חיי האדם</w:t>
      </w:r>
      <w:r w:rsidR="004B387A">
        <w:rPr>
          <w:rFonts w:eastAsia="Times New Roman" w:hint="cs"/>
          <w:rtl/>
        </w:rPr>
        <w:t>, כמשתמע מפסוק 3</w:t>
      </w:r>
      <w:r w:rsidRPr="00600D22">
        <w:rPr>
          <w:rFonts w:eastAsia="Times New Roman" w:hint="cs"/>
          <w:rtl/>
        </w:rPr>
        <w:t xml:space="preserve">. אולם הגבלת חיי האדם איננה מספקת פתרון ראוי, שהרי אין בכך להפסיק את מעשי הזיווגים החמורים בין אלים לאדם, </w:t>
      </w:r>
      <w:r w:rsidR="00AE1D29" w:rsidRPr="00600D22">
        <w:rPr>
          <w:rFonts w:eastAsia="Times New Roman" w:hint="cs"/>
          <w:rtl/>
        </w:rPr>
        <w:t>ויתרה מזו</w:t>
      </w:r>
      <w:r w:rsidRPr="00600D22">
        <w:rPr>
          <w:rFonts w:eastAsia="Times New Roman" w:hint="cs"/>
          <w:rtl/>
        </w:rPr>
        <w:t xml:space="preserve">, </w:t>
      </w:r>
      <w:r w:rsidR="00AE1D29" w:rsidRPr="00600D22">
        <w:rPr>
          <w:rFonts w:eastAsia="Times New Roman" w:hint="cs"/>
          <w:rtl/>
        </w:rPr>
        <w:t xml:space="preserve">לפי המסופר בסיפור כפי שהוא לפנינו, מעשים חמורים אלו אף </w:t>
      </w:r>
      <w:r w:rsidR="00EB0E89" w:rsidRPr="00600D22">
        <w:rPr>
          <w:rFonts w:eastAsia="Times New Roman" w:hint="cs"/>
          <w:rtl/>
        </w:rPr>
        <w:t>ה</w:t>
      </w:r>
      <w:r w:rsidR="00AE1D29" w:rsidRPr="00600D22">
        <w:rPr>
          <w:rFonts w:eastAsia="Times New Roman" w:hint="cs"/>
          <w:rtl/>
        </w:rPr>
        <w:t>משיכו ו</w:t>
      </w:r>
      <w:r w:rsidR="00EB0E89" w:rsidRPr="00600D22">
        <w:rPr>
          <w:rFonts w:eastAsia="Times New Roman" w:hint="cs"/>
          <w:rtl/>
        </w:rPr>
        <w:t>ה</w:t>
      </w:r>
      <w:r w:rsidR="00AE1D29" w:rsidRPr="00600D22">
        <w:rPr>
          <w:rFonts w:eastAsia="Times New Roman" w:hint="cs"/>
          <w:rtl/>
        </w:rPr>
        <w:t xml:space="preserve">תקיימו גם </w:t>
      </w:r>
      <w:r w:rsidR="00EB0E89" w:rsidRPr="00600D22">
        <w:rPr>
          <w:rFonts w:eastAsia="Times New Roman" w:hint="cs"/>
          <w:rtl/>
        </w:rPr>
        <w:t xml:space="preserve">מאוחר יותר </w:t>
      </w:r>
      <w:r w:rsidR="00AE1D29" w:rsidRPr="00600D22">
        <w:rPr>
          <w:rFonts w:eastAsia="Times New Roman" w:hint="cs"/>
          <w:rtl/>
        </w:rPr>
        <w:t>(</w:t>
      </w:r>
      <w:r w:rsidR="004D42AD">
        <w:rPr>
          <w:rFonts w:eastAsia="Times New Roman" w:hint="cs"/>
          <w:rtl/>
        </w:rPr>
        <w:t>שם,</w:t>
      </w:r>
      <w:r w:rsidR="00AE1D29" w:rsidRPr="00600D22">
        <w:rPr>
          <w:rFonts w:eastAsia="Times New Roman" w:hint="cs"/>
          <w:rtl/>
        </w:rPr>
        <w:t xml:space="preserve"> 4</w:t>
      </w:r>
      <w:r w:rsidR="00AE1D29" w:rsidRPr="00600D22">
        <w:rPr>
          <w:rFonts w:eastAsia="Times New Roman" w:hint="cs"/>
          <w:vertAlign w:val="subscript"/>
          <w:rtl/>
        </w:rPr>
        <w:t>א1</w:t>
      </w:r>
      <w:r w:rsidR="00AE1D29" w:rsidRPr="00600D22">
        <w:rPr>
          <w:rFonts w:eastAsia="Times New Roman" w:hint="cs"/>
          <w:rtl/>
        </w:rPr>
        <w:t>). ועוד, ממילא</w:t>
      </w:r>
      <w:r w:rsidR="00295C54" w:rsidRPr="00600D22">
        <w:rPr>
          <w:rFonts w:eastAsia="Times New Roman" w:hint="cs"/>
          <w:rtl/>
        </w:rPr>
        <w:t>, על פי כל ספרויות העולם הקדום,</w:t>
      </w:r>
      <w:r w:rsidR="00AE1D29" w:rsidRPr="00600D22">
        <w:rPr>
          <w:rFonts w:eastAsia="Times New Roman" w:hint="cs"/>
          <w:rtl/>
        </w:rPr>
        <w:t xml:space="preserve"> </w:t>
      </w:r>
      <w:r w:rsidRPr="00600D22">
        <w:rPr>
          <w:rFonts w:eastAsia="Times New Roman" w:hint="cs"/>
          <w:rtl/>
        </w:rPr>
        <w:t>ילידי תערובת של אלים ואדם</w:t>
      </w:r>
      <w:r w:rsidR="00295C54" w:rsidRPr="00600D22">
        <w:rPr>
          <w:rFonts w:eastAsia="Times New Roman" w:hint="cs"/>
          <w:rtl/>
        </w:rPr>
        <w:t>, כדוגמת גלגמש או אכילס</w:t>
      </w:r>
      <w:r w:rsidRPr="00600D22">
        <w:rPr>
          <w:rFonts w:eastAsia="Times New Roman" w:hint="cs"/>
          <w:rtl/>
        </w:rPr>
        <w:t>, אינם חיים בהכרח חיי אלמוות</w:t>
      </w:r>
      <w:r w:rsidR="00EB0E89" w:rsidRPr="00600D22">
        <w:rPr>
          <w:rFonts w:eastAsia="Times New Roman" w:hint="cs"/>
          <w:rtl/>
        </w:rPr>
        <w:t>,</w:t>
      </w:r>
      <w:r w:rsidRPr="00600D22">
        <w:rPr>
          <w:rFonts w:eastAsia="Times New Roman" w:hint="cs"/>
          <w:rtl/>
        </w:rPr>
        <w:t xml:space="preserve"> ולהגבלת חייהם אין חשיבות של ממש. מתבקש היה כאן פתרון </w:t>
      </w:r>
      <w:r w:rsidR="00EB0E89" w:rsidRPr="00600D22">
        <w:rPr>
          <w:rFonts w:eastAsia="Times New Roman" w:hint="cs"/>
          <w:rtl/>
        </w:rPr>
        <w:t xml:space="preserve">מוצלח </w:t>
      </w:r>
      <w:r w:rsidRPr="00600D22">
        <w:rPr>
          <w:rFonts w:eastAsia="Times New Roman" w:hint="cs"/>
          <w:rtl/>
        </w:rPr>
        <w:t xml:space="preserve">יותר מזה המצוי לפנינו </w:t>
      </w:r>
      <w:r w:rsidR="0033587D" w:rsidRPr="00600D22">
        <w:rPr>
          <w:rFonts w:eastAsia="Times New Roman" w:hint="cs"/>
          <w:rtl/>
        </w:rPr>
        <w:t>לעצירת</w:t>
      </w:r>
      <w:r w:rsidRPr="00600D22">
        <w:rPr>
          <w:rFonts w:eastAsia="Times New Roman" w:hint="cs"/>
          <w:rtl/>
        </w:rPr>
        <w:t xml:space="preserve"> עירוב התחומים של אלוהי וארצי.</w:t>
      </w:r>
    </w:p>
    <w:p w:rsidR="009E364E" w:rsidRPr="00600D22" w:rsidRDefault="001A1DD1" w:rsidP="001A1DD1">
      <w:pPr>
        <w:widowControl w:val="0"/>
        <w:spacing w:line="480" w:lineRule="auto"/>
        <w:ind w:firstLine="397"/>
        <w:rPr>
          <w:rtl/>
        </w:rPr>
      </w:pPr>
      <w:r>
        <w:rPr>
          <w:rFonts w:hint="cs"/>
          <w:rtl/>
        </w:rPr>
        <w:lastRenderedPageBreak/>
        <w:t xml:space="preserve">שלישית, </w:t>
      </w:r>
      <w:r w:rsidR="008F4FCF">
        <w:rPr>
          <w:rFonts w:hint="cs"/>
          <w:rtl/>
        </w:rPr>
        <w:t>מחלקו הראשון של פס</w:t>
      </w:r>
      <w:r w:rsidR="004074A2">
        <w:rPr>
          <w:rFonts w:hint="cs"/>
          <w:rtl/>
        </w:rPr>
        <w:t>וק</w:t>
      </w:r>
      <w:r w:rsidR="008F4FCF">
        <w:rPr>
          <w:rFonts w:hint="cs"/>
          <w:rtl/>
        </w:rPr>
        <w:t xml:space="preserve"> 4: "</w:t>
      </w:r>
      <w:r w:rsidR="009E364E" w:rsidRPr="00600D22">
        <w:rPr>
          <w:rtl/>
        </w:rPr>
        <w:t>הַנְּפִלִים הָיוּ בָאָרֶץ בַּיָּמִים הָהֵם וְגַם אַחֲרֵי כֵן</w:t>
      </w:r>
      <w:r w:rsidR="008F4FCF">
        <w:rPr>
          <w:rFonts w:hint="cs"/>
          <w:rtl/>
        </w:rPr>
        <w:t>"</w:t>
      </w:r>
      <w:r w:rsidR="009E364E" w:rsidRPr="00600D22">
        <w:rPr>
          <w:rFonts w:hint="cs"/>
          <w:rtl/>
        </w:rPr>
        <w:t xml:space="preserve"> (</w:t>
      </w:r>
      <w:r w:rsidR="004D42AD">
        <w:rPr>
          <w:rFonts w:hint="cs"/>
          <w:rtl/>
        </w:rPr>
        <w:t>שם,</w:t>
      </w:r>
      <w:r w:rsidR="009E364E" w:rsidRPr="00600D22">
        <w:rPr>
          <w:rFonts w:hint="cs"/>
          <w:rtl/>
        </w:rPr>
        <w:t xml:space="preserve"> 4</w:t>
      </w:r>
      <w:r w:rsidR="009E364E" w:rsidRPr="00600D22">
        <w:rPr>
          <w:rFonts w:hint="cs"/>
          <w:vertAlign w:val="subscript"/>
          <w:rtl/>
        </w:rPr>
        <w:t>א1</w:t>
      </w:r>
      <w:r w:rsidR="009E364E" w:rsidRPr="00600D22">
        <w:rPr>
          <w:rFonts w:hint="cs"/>
          <w:rtl/>
        </w:rPr>
        <w:t>)</w:t>
      </w:r>
      <w:r>
        <w:rPr>
          <w:rFonts w:hint="cs"/>
          <w:rtl/>
        </w:rPr>
        <w:t>,</w:t>
      </w:r>
      <w:r w:rsidR="009E364E" w:rsidRPr="00600D22">
        <w:rPr>
          <w:rFonts w:hint="cs"/>
          <w:rtl/>
        </w:rPr>
        <w:t xml:space="preserve"> </w:t>
      </w:r>
      <w:r>
        <w:rPr>
          <w:rFonts w:hint="cs"/>
          <w:rtl/>
        </w:rPr>
        <w:t>עולה</w:t>
      </w:r>
      <w:r w:rsidRPr="00600D22">
        <w:rPr>
          <w:rFonts w:hint="cs"/>
          <w:rtl/>
        </w:rPr>
        <w:t xml:space="preserve"> קושי מסוג אחר, אף כי פשוט יות</w:t>
      </w:r>
      <w:r>
        <w:rPr>
          <w:rFonts w:hint="cs"/>
          <w:rtl/>
        </w:rPr>
        <w:t xml:space="preserve">ר. </w:t>
      </w:r>
      <w:r w:rsidR="0055310A" w:rsidRPr="00600D22">
        <w:rPr>
          <w:rFonts w:hint="cs"/>
          <w:rtl/>
        </w:rPr>
        <w:t xml:space="preserve">עד עתה תואר המתרחש כסיפור עלילתי, אך </w:t>
      </w:r>
      <w:r w:rsidR="00EE068E" w:rsidRPr="00600D22">
        <w:rPr>
          <w:rFonts w:hint="cs"/>
          <w:rtl/>
        </w:rPr>
        <w:t>חלקו הראשון של פס</w:t>
      </w:r>
      <w:r w:rsidR="004074A2">
        <w:rPr>
          <w:rFonts w:hint="cs"/>
          <w:rtl/>
        </w:rPr>
        <w:t>וק</w:t>
      </w:r>
      <w:r w:rsidR="00EE068E" w:rsidRPr="00600D22">
        <w:rPr>
          <w:rFonts w:hint="cs"/>
          <w:rtl/>
        </w:rPr>
        <w:t xml:space="preserve"> 4</w:t>
      </w:r>
      <w:r w:rsidR="0055310A" w:rsidRPr="00600D22">
        <w:rPr>
          <w:rFonts w:hint="cs"/>
          <w:rtl/>
        </w:rPr>
        <w:t xml:space="preserve"> מנוסח כהער</w:t>
      </w:r>
      <w:r w:rsidR="00EE068E" w:rsidRPr="00600D22">
        <w:rPr>
          <w:rFonts w:hint="cs"/>
          <w:rtl/>
        </w:rPr>
        <w:t>תו</w:t>
      </w:r>
      <w:r w:rsidR="0055310A" w:rsidRPr="00600D22">
        <w:rPr>
          <w:rFonts w:hint="cs"/>
          <w:rtl/>
        </w:rPr>
        <w:t xml:space="preserve"> של סופר המתבונן מן הצד על המאורעות</w:t>
      </w:r>
      <w:r w:rsidR="00EE068E" w:rsidRPr="00600D22">
        <w:rPr>
          <w:rFonts w:hint="cs"/>
          <w:rtl/>
        </w:rPr>
        <w:t>,</w:t>
      </w:r>
      <w:r w:rsidR="0055310A" w:rsidRPr="00600D22">
        <w:rPr>
          <w:rFonts w:hint="cs"/>
          <w:rtl/>
        </w:rPr>
        <w:t xml:space="preserve"> מתוך פרספקטיבה של מרחק</w:t>
      </w:r>
      <w:r w:rsidR="00EE068E" w:rsidRPr="00600D22">
        <w:rPr>
          <w:rFonts w:hint="cs"/>
          <w:rtl/>
        </w:rPr>
        <w:t xml:space="preserve"> בזמן</w:t>
      </w:r>
      <w:r w:rsidR="0055310A" w:rsidRPr="00600D22">
        <w:rPr>
          <w:rFonts w:hint="cs"/>
          <w:rtl/>
        </w:rPr>
        <w:t>; הסופר מגיב ע</w:t>
      </w:r>
      <w:r w:rsidR="004074A2">
        <w:rPr>
          <w:rFonts w:hint="cs"/>
          <w:rtl/>
        </w:rPr>
        <w:t>ל שהתרחש אז ומעדכן על מה שיקרה "</w:t>
      </w:r>
      <w:r w:rsidR="0055310A" w:rsidRPr="00600D22">
        <w:rPr>
          <w:rtl/>
        </w:rPr>
        <w:t>אַחֲרֵי כֵן</w:t>
      </w:r>
      <w:r w:rsidR="004074A2">
        <w:rPr>
          <w:rFonts w:hint="cs"/>
          <w:rtl/>
        </w:rPr>
        <w:t>"</w:t>
      </w:r>
      <w:r w:rsidR="00401CBA" w:rsidRPr="00600D22">
        <w:rPr>
          <w:rFonts w:hint="cs"/>
          <w:rtl/>
        </w:rPr>
        <w:t xml:space="preserve"> מתוך מודעות למאורעות אחרים</w:t>
      </w:r>
      <w:r w:rsidR="0055310A" w:rsidRPr="00600D22">
        <w:rPr>
          <w:rFonts w:hint="cs"/>
          <w:rtl/>
        </w:rPr>
        <w:t>. ניתן לראות גם כי משפט זה אינו משתמש במונח 'בני האל</w:t>
      </w:r>
      <w:r>
        <w:rPr>
          <w:rFonts w:hint="cs"/>
          <w:rtl/>
        </w:rPr>
        <w:t>ו</w:t>
      </w:r>
      <w:r w:rsidR="0055310A" w:rsidRPr="00600D22">
        <w:rPr>
          <w:rFonts w:hint="cs"/>
          <w:rtl/>
        </w:rPr>
        <w:t>הים'</w:t>
      </w:r>
      <w:r w:rsidR="00EE068E" w:rsidRPr="00600D22">
        <w:rPr>
          <w:rFonts w:hint="cs"/>
          <w:rtl/>
        </w:rPr>
        <w:t>,</w:t>
      </w:r>
      <w:r w:rsidR="0055310A" w:rsidRPr="00600D22">
        <w:rPr>
          <w:rFonts w:hint="cs"/>
          <w:rtl/>
        </w:rPr>
        <w:t xml:space="preserve"> או באחד מהמונחים האחרים שהופיעו קודם לכן בסיפור, אלא במונח חדש</w:t>
      </w:r>
      <w:r w:rsidR="00EE068E" w:rsidRPr="00600D22">
        <w:rPr>
          <w:rFonts w:hint="cs"/>
          <w:rtl/>
        </w:rPr>
        <w:t>,</w:t>
      </w:r>
      <w:r w:rsidR="0055310A" w:rsidRPr="00600D22">
        <w:rPr>
          <w:rFonts w:hint="cs"/>
          <w:rtl/>
        </w:rPr>
        <w:t xml:space="preserve"> 'נפילים'. </w:t>
      </w:r>
      <w:r w:rsidR="00DB7A08">
        <w:rPr>
          <w:rFonts w:hint="cs"/>
          <w:rtl/>
        </w:rPr>
        <w:t>מלה</w:t>
      </w:r>
      <w:r w:rsidR="0056567C" w:rsidRPr="00600D22">
        <w:rPr>
          <w:rFonts w:hint="cs"/>
          <w:rtl/>
        </w:rPr>
        <w:t xml:space="preserve"> זו מופיעה שוב במקרא רק</w:t>
      </w:r>
      <w:r w:rsidR="009E364E" w:rsidRPr="00600D22">
        <w:rPr>
          <w:rFonts w:hint="cs"/>
          <w:rtl/>
        </w:rPr>
        <w:t xml:space="preserve"> בכתוב </w:t>
      </w:r>
      <w:r w:rsidR="00401CBA" w:rsidRPr="00600D22">
        <w:rPr>
          <w:rFonts w:hint="cs"/>
          <w:rtl/>
        </w:rPr>
        <w:t xml:space="preserve">אחד </w:t>
      </w:r>
      <w:r w:rsidR="009E364E" w:rsidRPr="00600D22">
        <w:rPr>
          <w:rFonts w:hint="cs"/>
          <w:rtl/>
        </w:rPr>
        <w:t xml:space="preserve">נוסף, בסיפור המרגלים (במ' יג 33), ועולה הרושם כי </w:t>
      </w:r>
      <w:r w:rsidR="0056567C" w:rsidRPr="00600D22">
        <w:rPr>
          <w:rFonts w:hint="cs"/>
          <w:rtl/>
        </w:rPr>
        <w:t>חציו הראשון של פס</w:t>
      </w:r>
      <w:r w:rsidR="004074A2">
        <w:rPr>
          <w:rFonts w:hint="cs"/>
          <w:rtl/>
        </w:rPr>
        <w:t>וק</w:t>
      </w:r>
      <w:r w:rsidR="0056567C" w:rsidRPr="00600D22">
        <w:rPr>
          <w:rFonts w:hint="cs"/>
          <w:rtl/>
        </w:rPr>
        <w:t xml:space="preserve"> 4 הוא</w:t>
      </w:r>
      <w:r w:rsidR="009E364E" w:rsidRPr="00600D22">
        <w:rPr>
          <w:rFonts w:hint="cs"/>
          <w:rtl/>
        </w:rPr>
        <w:t xml:space="preserve"> הערתו של סופר </w:t>
      </w:r>
      <w:r w:rsidR="0056567C" w:rsidRPr="00600D22">
        <w:rPr>
          <w:rFonts w:hint="cs"/>
          <w:rtl/>
        </w:rPr>
        <w:t>מאוחר</w:t>
      </w:r>
      <w:r w:rsidR="00401CBA" w:rsidRPr="00600D22">
        <w:rPr>
          <w:rFonts w:hint="cs"/>
          <w:rtl/>
        </w:rPr>
        <w:t>,</w:t>
      </w:r>
      <w:r w:rsidR="0056567C" w:rsidRPr="00600D22">
        <w:rPr>
          <w:rFonts w:hint="cs"/>
          <w:rtl/>
        </w:rPr>
        <w:t xml:space="preserve"> </w:t>
      </w:r>
      <w:r w:rsidR="006E2A5D" w:rsidRPr="00600D22">
        <w:rPr>
          <w:rFonts w:hint="cs"/>
          <w:rtl/>
        </w:rPr>
        <w:t xml:space="preserve">שהיה </w:t>
      </w:r>
      <w:r w:rsidR="009E364E" w:rsidRPr="00600D22">
        <w:rPr>
          <w:rFonts w:hint="cs"/>
          <w:rtl/>
        </w:rPr>
        <w:t xml:space="preserve">מודע </w:t>
      </w:r>
      <w:r w:rsidR="00EB0E89" w:rsidRPr="00600D22">
        <w:rPr>
          <w:rFonts w:hint="cs"/>
          <w:rtl/>
        </w:rPr>
        <w:t xml:space="preserve">להימצאותם בארץ של </w:t>
      </w:r>
      <w:r w:rsidR="009E364E" w:rsidRPr="00600D22">
        <w:rPr>
          <w:rFonts w:hint="cs"/>
          <w:rtl/>
        </w:rPr>
        <w:t>יצורים מעין אלו שנזכרו בבר</w:t>
      </w:r>
      <w:r w:rsidR="004074A2">
        <w:rPr>
          <w:rFonts w:hint="cs"/>
          <w:rtl/>
        </w:rPr>
        <w:t>אשית</w:t>
      </w:r>
      <w:r w:rsidR="009E364E" w:rsidRPr="00600D22">
        <w:rPr>
          <w:rFonts w:hint="cs"/>
          <w:rtl/>
        </w:rPr>
        <w:t xml:space="preserve"> ו 1</w:t>
      </w:r>
      <w:r w:rsidR="009E364E" w:rsidRPr="00600D22">
        <w:rPr>
          <w:rtl/>
        </w:rPr>
        <w:softHyphen/>
      </w:r>
      <w:r w:rsidR="004074A2">
        <w:rPr>
          <w:rFonts w:hint="cs"/>
          <w:rtl/>
        </w:rPr>
        <w:t>–4</w:t>
      </w:r>
      <w:r w:rsidR="009E364E" w:rsidRPr="00600D22">
        <w:rPr>
          <w:rFonts w:hint="cs"/>
          <w:rtl/>
        </w:rPr>
        <w:t xml:space="preserve"> גם ב</w:t>
      </w:r>
      <w:r w:rsidR="004074A2">
        <w:rPr>
          <w:rFonts w:hint="cs"/>
          <w:rtl/>
        </w:rPr>
        <w:t>ְּ</w:t>
      </w:r>
      <w:r w:rsidR="009E364E" w:rsidRPr="00600D22">
        <w:rPr>
          <w:rFonts w:hint="cs"/>
          <w:rtl/>
        </w:rPr>
        <w:t xml:space="preserve">דור שאחרי המבול, בימי המרגלים בכניסה לארץ, וזיהה בין </w:t>
      </w:r>
      <w:r w:rsidR="0056567C" w:rsidRPr="00600D22">
        <w:rPr>
          <w:rFonts w:hint="cs"/>
          <w:rtl/>
        </w:rPr>
        <w:t>ילידי הזיווגים בין אל</w:t>
      </w:r>
      <w:r w:rsidR="00EB0E89" w:rsidRPr="00600D22">
        <w:rPr>
          <w:rFonts w:hint="cs"/>
          <w:rtl/>
        </w:rPr>
        <w:t>ו</w:t>
      </w:r>
      <w:r w:rsidR="0056567C" w:rsidRPr="00600D22">
        <w:rPr>
          <w:rFonts w:hint="cs"/>
          <w:rtl/>
        </w:rPr>
        <w:t xml:space="preserve">הים לבנות אדם מבראשית </w:t>
      </w:r>
      <w:r w:rsidR="008F4FCF">
        <w:rPr>
          <w:rFonts w:hint="cs"/>
          <w:rtl/>
        </w:rPr>
        <w:t>"</w:t>
      </w:r>
      <w:r w:rsidR="009E364E" w:rsidRPr="00600D22">
        <w:rPr>
          <w:rtl/>
        </w:rPr>
        <w:t>הַגִּבֹּרִים אֲשֶׁר מֵעוֹלָם</w:t>
      </w:r>
      <w:r w:rsidR="009E364E" w:rsidRPr="00600D22">
        <w:rPr>
          <w:rFonts w:hint="cs"/>
          <w:rtl/>
        </w:rPr>
        <w:t>,</w:t>
      </w:r>
      <w:r w:rsidR="009E364E" w:rsidRPr="00600D22">
        <w:rPr>
          <w:rtl/>
        </w:rPr>
        <w:t xml:space="preserve"> אַנְשֵׁי הַשֵּׁם</w:t>
      </w:r>
      <w:r w:rsidR="008F4FCF">
        <w:rPr>
          <w:rFonts w:hint="cs"/>
          <w:rtl/>
        </w:rPr>
        <w:t>"</w:t>
      </w:r>
      <w:r w:rsidR="009E364E" w:rsidRPr="00600D22">
        <w:rPr>
          <w:rFonts w:hint="cs"/>
          <w:rtl/>
        </w:rPr>
        <w:t xml:space="preserve"> לבין 'הנפילים' ב</w:t>
      </w:r>
      <w:r w:rsidR="004D42AD">
        <w:rPr>
          <w:rFonts w:hint="cs"/>
          <w:rtl/>
        </w:rPr>
        <w:t xml:space="preserve">ספר </w:t>
      </w:r>
      <w:r w:rsidR="009E364E" w:rsidRPr="00600D22">
        <w:rPr>
          <w:rFonts w:hint="cs"/>
          <w:rtl/>
        </w:rPr>
        <w:t>במדבר.</w:t>
      </w:r>
      <w:r w:rsidR="009E364E" w:rsidRPr="00600D22">
        <w:rPr>
          <w:rStyle w:val="FootnoteReference"/>
          <w:rtl/>
        </w:rPr>
        <w:footnoteReference w:id="11"/>
      </w:r>
      <w:r w:rsidR="009E364E" w:rsidRPr="00600D22">
        <w:rPr>
          <w:rFonts w:hint="cs"/>
          <w:rtl/>
        </w:rPr>
        <w:t xml:space="preserve"> </w:t>
      </w:r>
      <w:r w:rsidR="004074A2">
        <w:rPr>
          <w:rFonts w:hint="cs"/>
          <w:rtl/>
        </w:rPr>
        <w:t>נראה אפוא כי חציו הראשון של פסוק</w:t>
      </w:r>
      <w:r w:rsidR="00401CBA" w:rsidRPr="00600D22">
        <w:rPr>
          <w:rFonts w:hint="cs"/>
          <w:rtl/>
        </w:rPr>
        <w:t xml:space="preserve"> 4 הוא הערה של סופר מאוחר</w:t>
      </w:r>
      <w:r w:rsidR="00EB0E89" w:rsidRPr="00600D22">
        <w:rPr>
          <w:rFonts w:hint="cs"/>
          <w:rtl/>
        </w:rPr>
        <w:t>,</w:t>
      </w:r>
      <w:r w:rsidR="00401CBA" w:rsidRPr="00600D22">
        <w:rPr>
          <w:rFonts w:hint="cs"/>
          <w:rtl/>
        </w:rPr>
        <w:t xml:space="preserve"> וההמשך הטבעי של </w:t>
      </w:r>
      <w:r w:rsidR="0056567C" w:rsidRPr="00600D22">
        <w:rPr>
          <w:rFonts w:hint="cs"/>
          <w:rtl/>
        </w:rPr>
        <w:t xml:space="preserve">התיאור העלילתי הקדום היה </w:t>
      </w:r>
      <w:r w:rsidR="00401CBA" w:rsidRPr="00600D22">
        <w:rPr>
          <w:rFonts w:hint="cs"/>
          <w:rtl/>
        </w:rPr>
        <w:t>מעין</w:t>
      </w:r>
      <w:r w:rsidR="0056567C" w:rsidRPr="00600D22">
        <w:rPr>
          <w:rFonts w:hint="cs"/>
          <w:rtl/>
        </w:rPr>
        <w:t xml:space="preserve"> </w:t>
      </w:r>
      <w:r w:rsidR="008F4FCF">
        <w:rPr>
          <w:rFonts w:hint="cs"/>
          <w:rtl/>
        </w:rPr>
        <w:t>"</w:t>
      </w:r>
      <w:r w:rsidR="00065FBB" w:rsidRPr="00600D22">
        <w:rPr>
          <w:rFonts w:hint="cs"/>
          <w:rtl/>
        </w:rPr>
        <w:t>וַ</w:t>
      </w:r>
      <w:r w:rsidR="0056567C" w:rsidRPr="00600D22">
        <w:rPr>
          <w:rtl/>
        </w:rPr>
        <w:t>יָ</w:t>
      </w:r>
      <w:r w:rsidR="004D5276">
        <w:rPr>
          <w:rFonts w:hint="cs"/>
          <w:rtl/>
        </w:rPr>
        <w:t>ּ</w:t>
      </w:r>
      <w:r w:rsidR="0056567C" w:rsidRPr="00600D22">
        <w:rPr>
          <w:rtl/>
        </w:rPr>
        <w:t>בֹאוּ</w:t>
      </w:r>
      <w:r w:rsidR="00065FBB" w:rsidRPr="00600D22">
        <w:rPr>
          <w:rFonts w:hint="cs"/>
          <w:rtl/>
        </w:rPr>
        <w:t>*</w:t>
      </w:r>
      <w:r w:rsidR="0056567C" w:rsidRPr="00600D22">
        <w:rPr>
          <w:rtl/>
        </w:rPr>
        <w:t xml:space="preserve"> </w:t>
      </w:r>
      <w:r w:rsidR="00065FBB" w:rsidRPr="00600D22">
        <w:rPr>
          <w:rFonts w:hint="cs"/>
          <w:rtl/>
        </w:rPr>
        <w:t xml:space="preserve">(נה"מ: </w:t>
      </w:r>
      <w:r w:rsidR="008F5F97" w:rsidRPr="00600D22">
        <w:rPr>
          <w:rtl/>
        </w:rPr>
        <w:t>אֲשֶׁר יָבֹאוּ</w:t>
      </w:r>
      <w:r w:rsidR="008F5F97" w:rsidRPr="00600D22">
        <w:rPr>
          <w:rFonts w:hint="cs"/>
          <w:rtl/>
        </w:rPr>
        <w:t xml:space="preserve">) </w:t>
      </w:r>
      <w:r w:rsidR="0056567C" w:rsidRPr="00600D22">
        <w:rPr>
          <w:rtl/>
        </w:rPr>
        <w:t>בְּנֵי הָאֱלֹהִים אֶל-בְּנוֹת הָאָדָם וְיָלְדוּ לָהֶם</w:t>
      </w:r>
      <w:r w:rsidR="008F5F97" w:rsidRPr="00600D22">
        <w:rPr>
          <w:rFonts w:hint="cs"/>
          <w:rtl/>
        </w:rPr>
        <w:t xml:space="preserve"> </w:t>
      </w:r>
      <w:r w:rsidR="0056567C" w:rsidRPr="00600D22">
        <w:rPr>
          <w:rtl/>
        </w:rPr>
        <w:t>הֵמָּה הַגִּבֹּרִים אֲשֶׁר מֵעוֹלָם אַנְשֵׁי הַשֵּׁם</w:t>
      </w:r>
      <w:r w:rsidR="008F4FCF">
        <w:rPr>
          <w:rFonts w:hint="cs"/>
          <w:rtl/>
        </w:rPr>
        <w:t>"</w:t>
      </w:r>
      <w:r w:rsidR="008F5F97" w:rsidRPr="00600D22">
        <w:rPr>
          <w:rFonts w:hint="cs"/>
          <w:rtl/>
        </w:rPr>
        <w:t xml:space="preserve"> (בר' ו 4</w:t>
      </w:r>
      <w:r w:rsidR="008F5F97" w:rsidRPr="00600D22">
        <w:rPr>
          <w:rFonts w:hint="cs"/>
          <w:vertAlign w:val="subscript"/>
          <w:rtl/>
        </w:rPr>
        <w:t>א2</w:t>
      </w:r>
      <w:r w:rsidR="008F5F97" w:rsidRPr="00600D22">
        <w:rPr>
          <w:rFonts w:hint="eastAsia"/>
          <w:vertAlign w:val="subscript"/>
          <w:rtl/>
        </w:rPr>
        <w:t>–</w:t>
      </w:r>
      <w:r w:rsidR="008F5F97" w:rsidRPr="00600D22">
        <w:rPr>
          <w:rFonts w:hint="cs"/>
          <w:vertAlign w:val="subscript"/>
          <w:rtl/>
        </w:rPr>
        <w:t>ב</w:t>
      </w:r>
      <w:r w:rsidR="008F5F97" w:rsidRPr="00600D22">
        <w:rPr>
          <w:rFonts w:hint="cs"/>
          <w:rtl/>
        </w:rPr>
        <w:t>).</w:t>
      </w:r>
    </w:p>
    <w:p w:rsidR="009E364E" w:rsidRPr="00600D22" w:rsidRDefault="009E364E" w:rsidP="004D42AD">
      <w:pPr>
        <w:widowControl w:val="0"/>
        <w:spacing w:line="480" w:lineRule="auto"/>
        <w:ind w:firstLine="397"/>
        <w:rPr>
          <w:rtl/>
        </w:rPr>
      </w:pPr>
      <w:r w:rsidRPr="00600D22">
        <w:rPr>
          <w:rFonts w:hint="cs"/>
          <w:rtl/>
        </w:rPr>
        <w:t>ללא חלקו הראשון של פס</w:t>
      </w:r>
      <w:r w:rsidR="004074A2">
        <w:rPr>
          <w:rFonts w:hint="cs"/>
          <w:rtl/>
        </w:rPr>
        <w:t>וק</w:t>
      </w:r>
      <w:r w:rsidRPr="00600D22">
        <w:rPr>
          <w:rFonts w:hint="cs"/>
          <w:rtl/>
        </w:rPr>
        <w:t xml:space="preserve"> 4, שהוא הערת סופר מאוחר, וללא פס</w:t>
      </w:r>
      <w:r w:rsidR="004074A2">
        <w:rPr>
          <w:rFonts w:hint="cs"/>
          <w:rtl/>
        </w:rPr>
        <w:t>וק</w:t>
      </w:r>
      <w:r w:rsidRPr="00600D22">
        <w:rPr>
          <w:rFonts w:hint="cs"/>
          <w:rtl/>
        </w:rPr>
        <w:t xml:space="preserve"> 3 בצורתו הנוכחית, אשר </w:t>
      </w:r>
      <w:r w:rsidR="009010CC">
        <w:rPr>
          <w:rFonts w:hint="cs"/>
          <w:rtl/>
        </w:rPr>
        <w:t xml:space="preserve">אין בו </w:t>
      </w:r>
      <w:r w:rsidRPr="00600D22">
        <w:rPr>
          <w:rFonts w:hint="cs"/>
          <w:rtl/>
        </w:rPr>
        <w:t>פתרון של ממש לבעיית הזיווגים בין בני אל</w:t>
      </w:r>
      <w:r w:rsidR="00EB0E89" w:rsidRPr="00600D22">
        <w:rPr>
          <w:rFonts w:hint="cs"/>
          <w:rtl/>
        </w:rPr>
        <w:t>ו</w:t>
      </w:r>
      <w:r w:rsidRPr="00600D22">
        <w:rPr>
          <w:rFonts w:hint="cs"/>
          <w:rtl/>
        </w:rPr>
        <w:t>הים לאדם, הרצף שיתקבל יהיה חלק יותר לכאורה, אולם כעת סיפור זה חסר משמעות, נטול התפתחות ושיא. הוא איננו אלא אפיזודה אטיולוגית קצרה, שעיקרה כיצד נולדו הגיבורים, בני האלים למחצה.</w:t>
      </w:r>
      <w:r w:rsidRPr="00600D22">
        <w:rPr>
          <w:rStyle w:val="FootnoteReference"/>
          <w:rtl/>
        </w:rPr>
        <w:footnoteReference w:id="12"/>
      </w:r>
      <w:r w:rsidRPr="00600D22">
        <w:rPr>
          <w:rFonts w:hint="cs"/>
          <w:rtl/>
        </w:rPr>
        <w:t xml:space="preserve"> קשה להבין את מניעיה של אטיולוגיה זו, ומה מצא המחבר המקראי לספר סיפור כה חריג על לידתם של גיבורים מיוחדים לאלים בעלי תשוקות</w:t>
      </w:r>
      <w:r w:rsidR="001A1DD1">
        <w:rPr>
          <w:rFonts w:hint="cs"/>
          <w:rtl/>
        </w:rPr>
        <w:t xml:space="preserve"> ומאוויים הנוהגים ככל האדם. וכן</w:t>
      </w:r>
      <w:r w:rsidRPr="00600D22">
        <w:rPr>
          <w:rFonts w:hint="cs"/>
          <w:rtl/>
        </w:rPr>
        <w:t xml:space="preserve"> כאמור, לאור המסופר בבראשית א</w:t>
      </w:r>
      <w:r w:rsidRPr="00600D22">
        <w:rPr>
          <w:rFonts w:hint="eastAsia"/>
          <w:rtl/>
        </w:rPr>
        <w:t>–</w:t>
      </w:r>
      <w:r w:rsidRPr="00600D22">
        <w:rPr>
          <w:rFonts w:hint="cs"/>
          <w:rtl/>
        </w:rPr>
        <w:t>יא (</w:t>
      </w:r>
      <w:r w:rsidR="004D42AD">
        <w:rPr>
          <w:rFonts w:hint="cs"/>
          <w:rtl/>
        </w:rPr>
        <w:t xml:space="preserve">שם, </w:t>
      </w:r>
      <w:r w:rsidRPr="00600D22">
        <w:rPr>
          <w:rFonts w:hint="cs"/>
          <w:rtl/>
        </w:rPr>
        <w:t>ג 22</w:t>
      </w:r>
      <w:r w:rsidR="004D42AD">
        <w:rPr>
          <w:rFonts w:hint="cs"/>
          <w:rtl/>
        </w:rPr>
        <w:t>,</w:t>
      </w:r>
      <w:r w:rsidRPr="00600D22">
        <w:rPr>
          <w:rFonts w:hint="cs"/>
          <w:rtl/>
        </w:rPr>
        <w:t xml:space="preserve"> יא 6</w:t>
      </w:r>
      <w:r w:rsidRPr="00600D22">
        <w:rPr>
          <w:rFonts w:hint="eastAsia"/>
          <w:rtl/>
        </w:rPr>
        <w:t>–</w:t>
      </w:r>
      <w:r w:rsidRPr="00600D22">
        <w:rPr>
          <w:rFonts w:hint="cs"/>
          <w:rtl/>
        </w:rPr>
        <w:t xml:space="preserve">7) </w:t>
      </w:r>
      <w:r w:rsidR="00EB0E89" w:rsidRPr="00600D22">
        <w:rPr>
          <w:rFonts w:hint="cs"/>
          <w:rtl/>
        </w:rPr>
        <w:t xml:space="preserve">אין </w:t>
      </w:r>
      <w:r w:rsidRPr="00600D22">
        <w:rPr>
          <w:rFonts w:hint="cs"/>
          <w:rtl/>
        </w:rPr>
        <w:t>להניח שמפגשים אלו בין בני אל</w:t>
      </w:r>
      <w:r w:rsidR="00EB0E89" w:rsidRPr="00600D22">
        <w:rPr>
          <w:rFonts w:hint="cs"/>
          <w:rtl/>
        </w:rPr>
        <w:t>ו</w:t>
      </w:r>
      <w:r w:rsidRPr="00600D22">
        <w:rPr>
          <w:rFonts w:hint="cs"/>
          <w:rtl/>
        </w:rPr>
        <w:t xml:space="preserve">הים לבנות אדם </w:t>
      </w:r>
      <w:r w:rsidR="00EB0E89" w:rsidRPr="00600D22">
        <w:rPr>
          <w:rFonts w:hint="cs"/>
          <w:rtl/>
        </w:rPr>
        <w:t xml:space="preserve">עשויים </w:t>
      </w:r>
      <w:r w:rsidRPr="00600D22">
        <w:rPr>
          <w:rFonts w:hint="cs"/>
          <w:rtl/>
        </w:rPr>
        <w:t xml:space="preserve">היו </w:t>
      </w:r>
      <w:r w:rsidR="00EB0E89" w:rsidRPr="00600D22">
        <w:rPr>
          <w:rFonts w:hint="cs"/>
          <w:rtl/>
        </w:rPr>
        <w:t xml:space="preserve">להיגמר </w:t>
      </w:r>
      <w:r w:rsidRPr="00600D22">
        <w:rPr>
          <w:rFonts w:hint="cs"/>
          <w:rtl/>
        </w:rPr>
        <w:t xml:space="preserve">בלא כלום ועוד </w:t>
      </w:r>
      <w:r w:rsidR="00EB0E89" w:rsidRPr="00600D22">
        <w:rPr>
          <w:rFonts w:hint="cs"/>
          <w:rtl/>
        </w:rPr>
        <w:t xml:space="preserve">להמשיך </w:t>
      </w:r>
      <w:r w:rsidR="001C5C8D" w:rsidRPr="00600D22">
        <w:rPr>
          <w:rFonts w:hint="cs"/>
          <w:rtl/>
        </w:rPr>
        <w:t>ו</w:t>
      </w:r>
      <w:r w:rsidRPr="00600D22">
        <w:rPr>
          <w:rFonts w:hint="cs"/>
          <w:rtl/>
        </w:rPr>
        <w:t xml:space="preserve">להתקיים בעתיד ללא הפסקה; </w:t>
      </w:r>
      <w:r w:rsidR="009010CC" w:rsidRPr="00600D22">
        <w:rPr>
          <w:rFonts w:hint="cs"/>
          <w:rtl/>
        </w:rPr>
        <w:t>כאמור</w:t>
      </w:r>
      <w:r w:rsidR="009010CC">
        <w:rPr>
          <w:rFonts w:hint="cs"/>
          <w:rtl/>
        </w:rPr>
        <w:t>,</w:t>
      </w:r>
      <w:r w:rsidR="009010CC" w:rsidRPr="00600D22">
        <w:rPr>
          <w:rFonts w:hint="cs"/>
          <w:rtl/>
        </w:rPr>
        <w:t xml:space="preserve"> </w:t>
      </w:r>
      <w:r w:rsidRPr="00600D22">
        <w:rPr>
          <w:rFonts w:hint="cs"/>
          <w:rtl/>
        </w:rPr>
        <w:t>מתבקשת ה</w:t>
      </w:r>
      <w:r w:rsidR="00EB0E89" w:rsidRPr="00600D22">
        <w:rPr>
          <w:rFonts w:hint="cs"/>
          <w:rtl/>
        </w:rPr>
        <w:t>י</w:t>
      </w:r>
      <w:r w:rsidRPr="00600D22">
        <w:rPr>
          <w:rFonts w:hint="cs"/>
          <w:rtl/>
        </w:rPr>
        <w:t xml:space="preserve">יתה כאן התערבות </w:t>
      </w:r>
      <w:r w:rsidR="00EF4E15" w:rsidRPr="00600D22">
        <w:rPr>
          <w:rFonts w:hint="cs"/>
          <w:rtl/>
        </w:rPr>
        <w:t>בולטת</w:t>
      </w:r>
      <w:r w:rsidR="00EB0E89" w:rsidRPr="00600D22">
        <w:rPr>
          <w:rFonts w:hint="cs"/>
          <w:rtl/>
        </w:rPr>
        <w:t xml:space="preserve"> </w:t>
      </w:r>
      <w:r w:rsidRPr="00600D22">
        <w:rPr>
          <w:rFonts w:hint="cs"/>
          <w:rtl/>
        </w:rPr>
        <w:t>יותר של האל</w:t>
      </w:r>
      <w:r w:rsidR="00EB0E89" w:rsidRPr="00600D22">
        <w:rPr>
          <w:rFonts w:hint="cs"/>
          <w:rtl/>
        </w:rPr>
        <w:t>ו</w:t>
      </w:r>
      <w:r w:rsidRPr="00600D22">
        <w:rPr>
          <w:rFonts w:hint="cs"/>
          <w:rtl/>
        </w:rPr>
        <w:t>הים</w:t>
      </w:r>
      <w:r w:rsidR="00EB0E89" w:rsidRPr="00600D22">
        <w:rPr>
          <w:rFonts w:hint="cs"/>
          <w:rtl/>
        </w:rPr>
        <w:t>,</w:t>
      </w:r>
      <w:r w:rsidRPr="00600D22">
        <w:rPr>
          <w:rFonts w:hint="cs"/>
          <w:rtl/>
        </w:rPr>
        <w:t xml:space="preserve"> כדי למנוע את עירוב התחומים בין אלוהי לארצי</w:t>
      </w:r>
      <w:r w:rsidR="00EB0E89" w:rsidRPr="00600D22">
        <w:rPr>
          <w:rFonts w:hint="cs"/>
          <w:rtl/>
        </w:rPr>
        <w:t>,</w:t>
      </w:r>
      <w:r w:rsidRPr="00600D22">
        <w:rPr>
          <w:rFonts w:hint="cs"/>
          <w:rtl/>
        </w:rPr>
        <w:t xml:space="preserve"> ואף </w:t>
      </w:r>
      <w:r w:rsidRPr="00600D22">
        <w:rPr>
          <w:rFonts w:hint="cs"/>
          <w:rtl/>
        </w:rPr>
        <w:lastRenderedPageBreak/>
        <w:t xml:space="preserve">השמדה </w:t>
      </w:r>
      <w:r w:rsidR="006E7A5A" w:rsidRPr="00600D22">
        <w:rPr>
          <w:rFonts w:hint="cs"/>
          <w:rtl/>
        </w:rPr>
        <w:t>מוחלטת של אותו דור גיבורים.</w:t>
      </w:r>
    </w:p>
    <w:p w:rsidR="0055310A" w:rsidRPr="00600D22" w:rsidRDefault="0055310A" w:rsidP="00064813">
      <w:pPr>
        <w:widowControl w:val="0"/>
        <w:spacing w:line="480" w:lineRule="auto"/>
        <w:ind w:firstLine="397"/>
        <w:rPr>
          <w:rtl/>
        </w:rPr>
      </w:pPr>
    </w:p>
    <w:p w:rsidR="009E364E" w:rsidRPr="00600D22" w:rsidRDefault="00951222" w:rsidP="00064813">
      <w:pPr>
        <w:widowControl w:val="0"/>
        <w:spacing w:line="480" w:lineRule="auto"/>
        <w:rPr>
          <w:rtl/>
        </w:rPr>
      </w:pPr>
      <w:r w:rsidRPr="00600D22">
        <w:rPr>
          <w:rFonts w:hint="cs"/>
          <w:b/>
          <w:bCs/>
          <w:rtl/>
        </w:rPr>
        <w:t xml:space="preserve">ב. פרגמנט 204 </w:t>
      </w:r>
      <w:r w:rsidR="00AE1D29" w:rsidRPr="00600D22">
        <w:rPr>
          <w:rFonts w:hint="cs"/>
          <w:b/>
          <w:bCs/>
          <w:rtl/>
        </w:rPr>
        <w:t>(</w:t>
      </w:r>
      <w:r w:rsidR="00AE1D29" w:rsidRPr="00600D22">
        <w:rPr>
          <w:b/>
          <w:bCs/>
        </w:rPr>
        <w:t>M-W</w:t>
      </w:r>
      <w:r w:rsidR="00AE1D29" w:rsidRPr="00600D22">
        <w:rPr>
          <w:rFonts w:hint="cs"/>
          <w:b/>
          <w:bCs/>
          <w:rtl/>
        </w:rPr>
        <w:t xml:space="preserve">) </w:t>
      </w:r>
      <w:r w:rsidRPr="00600D22">
        <w:rPr>
          <w:rFonts w:hint="cs"/>
          <w:b/>
          <w:bCs/>
          <w:rtl/>
        </w:rPr>
        <w:t>ב</w:t>
      </w:r>
      <w:r w:rsidR="00B140F2">
        <w:rPr>
          <w:rFonts w:hint="cs"/>
          <w:b/>
          <w:bCs/>
          <w:rtl/>
        </w:rPr>
        <w:t>'</w:t>
      </w:r>
      <w:r w:rsidRPr="00600D22">
        <w:rPr>
          <w:rFonts w:hint="cs"/>
          <w:b/>
          <w:bCs/>
          <w:rtl/>
        </w:rPr>
        <w:t>קטלוג הנשים</w:t>
      </w:r>
      <w:r w:rsidR="00B140F2">
        <w:rPr>
          <w:rFonts w:hint="cs"/>
          <w:b/>
          <w:bCs/>
          <w:rtl/>
        </w:rPr>
        <w:t>'</w:t>
      </w:r>
      <w:r w:rsidRPr="00600D22">
        <w:rPr>
          <w:rFonts w:hint="cs"/>
          <w:b/>
          <w:bCs/>
          <w:rtl/>
        </w:rPr>
        <w:t xml:space="preserve"> ההסיודי ומסורות יווניות קרובות</w:t>
      </w:r>
    </w:p>
    <w:p w:rsidR="005A7391" w:rsidRPr="00600D22" w:rsidRDefault="00EB0E89" w:rsidP="0082766C">
      <w:pPr>
        <w:widowControl w:val="0"/>
        <w:spacing w:line="480" w:lineRule="auto"/>
        <w:rPr>
          <w:rtl/>
        </w:rPr>
      </w:pPr>
      <w:r w:rsidRPr="00600D22">
        <w:rPr>
          <w:rFonts w:hint="cs"/>
          <w:rtl/>
        </w:rPr>
        <w:t xml:space="preserve">אף </w:t>
      </w:r>
      <w:r w:rsidR="002F2964" w:rsidRPr="00600D22">
        <w:rPr>
          <w:rFonts w:hint="cs"/>
          <w:rtl/>
        </w:rPr>
        <w:t>שהספרות המסופוטמית נידונה רבות באשר לסיפורי ראשית האנושות בספר בראשית</w:t>
      </w:r>
      <w:r w:rsidR="00E45648" w:rsidRPr="00600D22">
        <w:rPr>
          <w:rFonts w:hint="cs"/>
          <w:rtl/>
        </w:rPr>
        <w:t>,</w:t>
      </w:r>
      <w:r w:rsidR="002F2964" w:rsidRPr="00600D22">
        <w:rPr>
          <w:rFonts w:hint="cs"/>
          <w:rtl/>
        </w:rPr>
        <w:t xml:space="preserve"> אין מקור מקביל ממסופוטמיה </w:t>
      </w:r>
      <w:r w:rsidR="00F64466" w:rsidRPr="00600D22">
        <w:rPr>
          <w:rFonts w:hint="cs"/>
          <w:rtl/>
        </w:rPr>
        <w:t>שיכול להאיר על הסיפור הקצר בבראשית ו 1</w:t>
      </w:r>
      <w:r w:rsidR="00F64466" w:rsidRPr="00600D22">
        <w:rPr>
          <w:rFonts w:hint="eastAsia"/>
          <w:rtl/>
        </w:rPr>
        <w:t>–</w:t>
      </w:r>
      <w:r w:rsidR="00F64466" w:rsidRPr="00600D22">
        <w:rPr>
          <w:rFonts w:hint="cs"/>
          <w:rtl/>
        </w:rPr>
        <w:t>4</w:t>
      </w:r>
      <w:r w:rsidR="002F2964" w:rsidRPr="00600D22">
        <w:rPr>
          <w:rFonts w:hint="cs"/>
          <w:rtl/>
        </w:rPr>
        <w:t>.</w:t>
      </w:r>
      <w:r w:rsidR="009E2A7C" w:rsidRPr="00600D22">
        <w:rPr>
          <w:rFonts w:hint="cs"/>
          <w:rtl/>
        </w:rPr>
        <w:t xml:space="preserve"> </w:t>
      </w:r>
      <w:r w:rsidR="00F630C7" w:rsidRPr="00600D22">
        <w:rPr>
          <w:rFonts w:hint="cs"/>
          <w:rtl/>
        </w:rPr>
        <w:t>עם זאת</w:t>
      </w:r>
      <w:r w:rsidR="002F2964" w:rsidRPr="00600D22">
        <w:rPr>
          <w:rFonts w:hint="cs"/>
          <w:rtl/>
        </w:rPr>
        <w:t xml:space="preserve"> </w:t>
      </w:r>
      <w:r w:rsidR="009E2A7C" w:rsidRPr="00600D22">
        <w:rPr>
          <w:rFonts w:hint="cs"/>
          <w:rtl/>
        </w:rPr>
        <w:t>דווק</w:t>
      </w:r>
      <w:r w:rsidR="002F2964" w:rsidRPr="00600D22">
        <w:rPr>
          <w:rFonts w:hint="cs"/>
          <w:rtl/>
        </w:rPr>
        <w:t xml:space="preserve">א בעולם היווני הקדום נמצא קטע פפירוס המשמר סיפור מקביל מבחינות רבות לסיפור הקצר בבראשית </w:t>
      </w:r>
      <w:r w:rsidR="002F2964" w:rsidRPr="00600D22">
        <w:rPr>
          <w:rFonts w:hint="eastAsia"/>
          <w:rtl/>
        </w:rPr>
        <w:t>–</w:t>
      </w:r>
      <w:r w:rsidR="002F2964" w:rsidRPr="00600D22">
        <w:rPr>
          <w:rFonts w:hint="cs"/>
          <w:rtl/>
        </w:rPr>
        <w:t xml:space="preserve"> זהו פפירוס ברלין 10560</w:t>
      </w:r>
      <w:r w:rsidR="00F630C7" w:rsidRPr="00600D22">
        <w:rPr>
          <w:rFonts w:hint="cs"/>
          <w:rtl/>
        </w:rPr>
        <w:t>,</w:t>
      </w:r>
      <w:r w:rsidR="002F2964" w:rsidRPr="00600D22">
        <w:rPr>
          <w:rFonts w:hint="cs"/>
          <w:rtl/>
        </w:rPr>
        <w:t xml:space="preserve"> המשמר חלקים מן הספר החמישי והאחרון של </w:t>
      </w:r>
      <w:r w:rsidR="00B140F2">
        <w:rPr>
          <w:rFonts w:hint="cs"/>
          <w:rtl/>
        </w:rPr>
        <w:t>'</w:t>
      </w:r>
      <w:r w:rsidR="00065C38" w:rsidRPr="00600D22">
        <w:rPr>
          <w:rFonts w:hint="cs"/>
          <w:rtl/>
        </w:rPr>
        <w:t>קטלוג הנשים</w:t>
      </w:r>
      <w:r w:rsidR="00B140F2">
        <w:rPr>
          <w:rFonts w:hint="cs"/>
          <w:rtl/>
        </w:rPr>
        <w:t>'</w:t>
      </w:r>
      <w:r w:rsidR="00065C38" w:rsidRPr="00600D22">
        <w:rPr>
          <w:rFonts w:hint="cs"/>
          <w:rtl/>
        </w:rPr>
        <w:t xml:space="preserve"> </w:t>
      </w:r>
      <w:r w:rsidR="00796647" w:rsidRPr="00600D22">
        <w:rPr>
          <w:rFonts w:hint="cs"/>
          <w:rtl/>
        </w:rPr>
        <w:t>(</w:t>
      </w:r>
      <w:proofErr w:type="spellStart"/>
      <w:r w:rsidR="00796647" w:rsidRPr="00600D22">
        <w:rPr>
          <w:i/>
          <w:iCs/>
        </w:rPr>
        <w:t>Γυναικῶν</w:t>
      </w:r>
      <w:proofErr w:type="spellEnd"/>
      <w:r w:rsidR="00796647" w:rsidRPr="00600D22">
        <w:rPr>
          <w:i/>
          <w:iCs/>
        </w:rPr>
        <w:t xml:space="preserve"> </w:t>
      </w:r>
      <w:proofErr w:type="spellStart"/>
      <w:r w:rsidR="00796647" w:rsidRPr="00600D22">
        <w:rPr>
          <w:i/>
          <w:iCs/>
        </w:rPr>
        <w:t>Κατάλογος</w:t>
      </w:r>
      <w:proofErr w:type="spellEnd"/>
      <w:r w:rsidR="00796647" w:rsidRPr="00600D22">
        <w:rPr>
          <w:rFonts w:hint="cs"/>
          <w:rtl/>
        </w:rPr>
        <w:t>)</w:t>
      </w:r>
      <w:r w:rsidR="00AC7E62">
        <w:rPr>
          <w:rFonts w:hint="cs"/>
          <w:rtl/>
        </w:rPr>
        <w:t>,</w:t>
      </w:r>
      <w:r w:rsidR="00796647" w:rsidRPr="00600D22">
        <w:rPr>
          <w:rFonts w:hint="cs"/>
          <w:rtl/>
        </w:rPr>
        <w:t xml:space="preserve"> </w:t>
      </w:r>
      <w:r w:rsidR="00065C38" w:rsidRPr="00600D22">
        <w:rPr>
          <w:rFonts w:hint="cs"/>
          <w:rtl/>
        </w:rPr>
        <w:t>ה</w:t>
      </w:r>
      <w:r w:rsidR="00236072" w:rsidRPr="00600D22">
        <w:rPr>
          <w:rFonts w:hint="cs"/>
          <w:rtl/>
        </w:rPr>
        <w:t>מיוחס להסיודוס</w:t>
      </w:r>
      <w:r w:rsidR="002F2964" w:rsidRPr="00600D22">
        <w:rPr>
          <w:rFonts w:hint="cs"/>
          <w:rtl/>
        </w:rPr>
        <w:t xml:space="preserve">. חיבור זה </w:t>
      </w:r>
      <w:r w:rsidR="00F630C7" w:rsidRPr="00600D22">
        <w:rPr>
          <w:rFonts w:hint="cs"/>
          <w:rtl/>
        </w:rPr>
        <w:t>היה מן החיבורים הפופולריים בעולם הקל</w:t>
      </w:r>
      <w:r w:rsidR="006F16DC" w:rsidRPr="00600D22">
        <w:rPr>
          <w:rFonts w:hint="cs"/>
          <w:rtl/>
        </w:rPr>
        <w:t>סי עד המאות הראשונות לספירה</w:t>
      </w:r>
      <w:r w:rsidR="002F2964" w:rsidRPr="00600D22">
        <w:rPr>
          <w:rFonts w:hint="cs"/>
          <w:rtl/>
        </w:rPr>
        <w:t xml:space="preserve">, אך </w:t>
      </w:r>
      <w:r w:rsidR="0094567E" w:rsidRPr="00600D22">
        <w:rPr>
          <w:rFonts w:hint="cs"/>
          <w:rtl/>
        </w:rPr>
        <w:t>לא שרד במלואו</w:t>
      </w:r>
      <w:r w:rsidR="002F2964" w:rsidRPr="00600D22">
        <w:rPr>
          <w:rFonts w:hint="cs"/>
          <w:rtl/>
        </w:rPr>
        <w:t>.</w:t>
      </w:r>
      <w:r w:rsidR="0094567E" w:rsidRPr="00600D22">
        <w:rPr>
          <w:rFonts w:hint="cs"/>
          <w:rtl/>
        </w:rPr>
        <w:t xml:space="preserve"> חלקים ממנו הגיעו אלינו דרך הציטוטים של סופרי העולם העתיק, ו</w:t>
      </w:r>
      <w:r w:rsidR="00796647" w:rsidRPr="00600D22">
        <w:rPr>
          <w:rFonts w:hint="cs"/>
          <w:rtl/>
        </w:rPr>
        <w:t xml:space="preserve">בדורות האחרונים נוסף גם מספר </w:t>
      </w:r>
      <w:r w:rsidR="00726CBD" w:rsidRPr="00600D22">
        <w:rPr>
          <w:rFonts w:hint="cs"/>
          <w:rtl/>
        </w:rPr>
        <w:t>מרשים</w:t>
      </w:r>
      <w:r w:rsidR="00244B64" w:rsidRPr="00600D22">
        <w:rPr>
          <w:rFonts w:hint="cs"/>
          <w:rtl/>
        </w:rPr>
        <w:t xml:space="preserve"> </w:t>
      </w:r>
      <w:r w:rsidR="00796647" w:rsidRPr="00600D22">
        <w:rPr>
          <w:rFonts w:hint="cs"/>
          <w:rtl/>
        </w:rPr>
        <w:t xml:space="preserve">של חלקי פפירוסים המכילים קטעים </w:t>
      </w:r>
      <w:r w:rsidR="00F630C7" w:rsidRPr="00600D22">
        <w:rPr>
          <w:rFonts w:hint="cs"/>
          <w:rtl/>
        </w:rPr>
        <w:t xml:space="preserve">ניכרים </w:t>
      </w:r>
      <w:r w:rsidR="00796647" w:rsidRPr="00600D22">
        <w:rPr>
          <w:rFonts w:hint="cs"/>
          <w:rtl/>
        </w:rPr>
        <w:t>מן החיבור.</w:t>
      </w:r>
      <w:r w:rsidR="005A7391" w:rsidRPr="00600D22">
        <w:rPr>
          <w:rFonts w:hint="cs"/>
          <w:rtl/>
        </w:rPr>
        <w:t xml:space="preserve"> פרסומם של הפפירוסים ופרגמנטים נוספים במהדורות המעודכנות של ריינולד מרקלבך ומרטין וסט (196</w:t>
      </w:r>
      <w:r w:rsidR="00952257" w:rsidRPr="00600D22">
        <w:rPr>
          <w:rFonts w:hint="cs"/>
          <w:rtl/>
        </w:rPr>
        <w:t>7</w:t>
      </w:r>
      <w:r w:rsidR="005A7391" w:rsidRPr="00600D22">
        <w:rPr>
          <w:rFonts w:hint="cs"/>
          <w:vertAlign w:val="superscript"/>
          <w:rtl/>
        </w:rPr>
        <w:t>1</w:t>
      </w:r>
      <w:r w:rsidR="005A7391" w:rsidRPr="00600D22">
        <w:rPr>
          <w:rFonts w:hint="cs"/>
          <w:rtl/>
        </w:rPr>
        <w:t>; 1990</w:t>
      </w:r>
      <w:r w:rsidR="005A7391" w:rsidRPr="00600D22">
        <w:rPr>
          <w:rFonts w:hint="cs"/>
          <w:vertAlign w:val="superscript"/>
          <w:rtl/>
        </w:rPr>
        <w:t>3</w:t>
      </w:r>
      <w:r w:rsidR="005A7391" w:rsidRPr="00600D22">
        <w:rPr>
          <w:rFonts w:hint="cs"/>
          <w:rtl/>
        </w:rPr>
        <w:t xml:space="preserve">), </w:t>
      </w:r>
      <w:r w:rsidR="00D22D15" w:rsidRPr="00600D22">
        <w:rPr>
          <w:rFonts w:hint="cs"/>
          <w:rtl/>
        </w:rPr>
        <w:t>מר</w:t>
      </w:r>
      <w:r w:rsidR="0052256C" w:rsidRPr="00600D22">
        <w:rPr>
          <w:rFonts w:hint="cs"/>
          <w:rtl/>
        </w:rPr>
        <w:t>טינה</w:t>
      </w:r>
      <w:r w:rsidR="00D22D15" w:rsidRPr="00600D22">
        <w:rPr>
          <w:rFonts w:hint="cs"/>
          <w:rtl/>
        </w:rPr>
        <w:t xml:space="preserve"> </w:t>
      </w:r>
      <w:r w:rsidR="005A7391" w:rsidRPr="00600D22">
        <w:rPr>
          <w:rFonts w:hint="cs"/>
          <w:rtl/>
        </w:rPr>
        <w:t xml:space="preserve">הירשברגר (2004) וגלן מוסט (2007) הביאו להתקדמות </w:t>
      </w:r>
      <w:r w:rsidR="00F630C7" w:rsidRPr="00600D22">
        <w:rPr>
          <w:rFonts w:hint="cs"/>
          <w:rtl/>
        </w:rPr>
        <w:t xml:space="preserve">רבה </w:t>
      </w:r>
      <w:r w:rsidR="005A7391" w:rsidRPr="00600D22">
        <w:rPr>
          <w:rFonts w:hint="cs"/>
          <w:rtl/>
        </w:rPr>
        <w:t xml:space="preserve">בשנים האחרונות בהבנת יצירה זו וחיבורים גנאלוגיים יווניים </w:t>
      </w:r>
      <w:r w:rsidR="007146E8" w:rsidRPr="00600D22">
        <w:rPr>
          <w:rFonts w:hint="cs"/>
          <w:rtl/>
        </w:rPr>
        <w:t>נוספים</w:t>
      </w:r>
      <w:r w:rsidR="005A7391" w:rsidRPr="00600D22">
        <w:rPr>
          <w:rFonts w:hint="cs"/>
          <w:rtl/>
        </w:rPr>
        <w:t>.</w:t>
      </w:r>
      <w:r w:rsidR="005A7391" w:rsidRPr="00600D22">
        <w:rPr>
          <w:rStyle w:val="FootnoteReference"/>
          <w:rtl/>
        </w:rPr>
        <w:footnoteReference w:id="13"/>
      </w:r>
      <w:r w:rsidR="005A7391" w:rsidRPr="00600D22">
        <w:rPr>
          <w:rFonts w:hint="cs"/>
          <w:rtl/>
        </w:rPr>
        <w:t xml:space="preserve"> </w:t>
      </w:r>
      <w:r w:rsidR="009A61C4" w:rsidRPr="00600D22">
        <w:rPr>
          <w:rFonts w:hint="cs"/>
          <w:rtl/>
        </w:rPr>
        <w:t>ה</w:t>
      </w:r>
      <w:r w:rsidR="00681007" w:rsidRPr="00600D22">
        <w:rPr>
          <w:rFonts w:hint="cs"/>
          <w:rtl/>
        </w:rPr>
        <w:t xml:space="preserve">חיבור </w:t>
      </w:r>
      <w:r w:rsidR="00D673A5">
        <w:rPr>
          <w:rFonts w:hint="cs"/>
          <w:rtl/>
        </w:rPr>
        <w:t>'</w:t>
      </w:r>
      <w:r w:rsidR="009A61C4" w:rsidRPr="00600D22">
        <w:rPr>
          <w:rFonts w:hint="cs"/>
          <w:rtl/>
        </w:rPr>
        <w:t>קטלוג הנשים</w:t>
      </w:r>
      <w:r w:rsidR="00D673A5">
        <w:rPr>
          <w:rFonts w:hint="cs"/>
          <w:rtl/>
        </w:rPr>
        <w:t>'</w:t>
      </w:r>
      <w:r w:rsidR="00681007" w:rsidRPr="00600D22">
        <w:rPr>
          <w:rFonts w:hint="cs"/>
          <w:rtl/>
        </w:rPr>
        <w:t>, בן חמש</w:t>
      </w:r>
      <w:r w:rsidR="00726CBD" w:rsidRPr="00600D22">
        <w:rPr>
          <w:rFonts w:hint="cs"/>
          <w:rtl/>
        </w:rPr>
        <w:t>ת</w:t>
      </w:r>
      <w:r w:rsidR="00681007" w:rsidRPr="00600D22">
        <w:rPr>
          <w:rFonts w:hint="cs"/>
          <w:rtl/>
        </w:rPr>
        <w:t xml:space="preserve"> </w:t>
      </w:r>
      <w:r w:rsidR="00726CBD" w:rsidRPr="00600D22">
        <w:rPr>
          <w:rFonts w:hint="cs"/>
          <w:rtl/>
        </w:rPr>
        <w:t>ה</w:t>
      </w:r>
      <w:r w:rsidR="00681007" w:rsidRPr="00600D22">
        <w:rPr>
          <w:rFonts w:hint="cs"/>
          <w:rtl/>
        </w:rPr>
        <w:t xml:space="preserve">ספרים, הנקרא גם </w:t>
      </w:r>
      <w:r w:rsidR="0057703F" w:rsidRPr="00600D22">
        <w:rPr>
          <w:rFonts w:hint="cs"/>
          <w:rtl/>
        </w:rPr>
        <w:t>'</w:t>
      </w:r>
      <w:r w:rsidR="00681007" w:rsidRPr="00600D22">
        <w:rPr>
          <w:rFonts w:hint="cs"/>
          <w:rtl/>
        </w:rPr>
        <w:t>אֵהו</w:t>
      </w:r>
      <w:r w:rsidR="00B140F2">
        <w:rPr>
          <w:rFonts w:hint="cs"/>
          <w:rtl/>
        </w:rPr>
        <w:t>ֹ</w:t>
      </w:r>
      <w:r w:rsidR="00681007" w:rsidRPr="00600D22">
        <w:rPr>
          <w:rFonts w:hint="cs"/>
          <w:rtl/>
        </w:rPr>
        <w:t>יאָי</w:t>
      </w:r>
      <w:r w:rsidR="0057703F" w:rsidRPr="00600D22">
        <w:rPr>
          <w:rFonts w:hint="cs"/>
          <w:rtl/>
        </w:rPr>
        <w:t>'</w:t>
      </w:r>
      <w:r w:rsidR="00681007" w:rsidRPr="00600D22">
        <w:rPr>
          <w:rFonts w:hint="cs"/>
          <w:rtl/>
        </w:rPr>
        <w:t xml:space="preserve"> (</w:t>
      </w:r>
      <w:proofErr w:type="spellStart"/>
      <w:r w:rsidR="00681007" w:rsidRPr="00600D22">
        <w:rPr>
          <w:i/>
          <w:iCs/>
        </w:rPr>
        <w:t>Ἠοῖαι</w:t>
      </w:r>
      <w:proofErr w:type="spellEnd"/>
      <w:r w:rsidR="00681007" w:rsidRPr="00600D22">
        <w:rPr>
          <w:rFonts w:hint="cs"/>
          <w:rtl/>
        </w:rPr>
        <w:t>), אמנם יוחס להסי</w:t>
      </w:r>
      <w:r w:rsidR="00F630C7" w:rsidRPr="00600D22">
        <w:rPr>
          <w:rFonts w:hint="cs"/>
          <w:rtl/>
        </w:rPr>
        <w:t xml:space="preserve">ודוס, אך כפי הנראה התחבר במהלך </w:t>
      </w:r>
      <w:r w:rsidR="00681007" w:rsidRPr="00600D22">
        <w:rPr>
          <w:rFonts w:hint="cs"/>
          <w:rtl/>
        </w:rPr>
        <w:t xml:space="preserve">מאה </w:t>
      </w:r>
      <w:r w:rsidR="00F630C7" w:rsidRPr="00600D22">
        <w:rPr>
          <w:rFonts w:hint="cs"/>
          <w:rtl/>
        </w:rPr>
        <w:t>ו'</w:t>
      </w:r>
      <w:r w:rsidR="00681007" w:rsidRPr="00600D22">
        <w:rPr>
          <w:rFonts w:hint="cs"/>
          <w:rtl/>
        </w:rPr>
        <w:t xml:space="preserve"> לפ</w:t>
      </w:r>
      <w:r w:rsidR="00F630C7" w:rsidRPr="00600D22">
        <w:rPr>
          <w:rFonts w:hint="cs"/>
          <w:rtl/>
        </w:rPr>
        <w:t>סה"</w:t>
      </w:r>
      <w:r w:rsidR="00681007" w:rsidRPr="00600D22">
        <w:rPr>
          <w:rFonts w:hint="cs"/>
          <w:rtl/>
        </w:rPr>
        <w:t>נ, כמאה שנים אחרי תיארו</w:t>
      </w:r>
      <w:r w:rsidR="0082766C">
        <w:rPr>
          <w:rFonts w:hint="cs"/>
          <w:rtl/>
        </w:rPr>
        <w:t>כו</w:t>
      </w:r>
      <w:r w:rsidR="00681007" w:rsidRPr="00600D22">
        <w:rPr>
          <w:rFonts w:hint="cs"/>
          <w:rtl/>
        </w:rPr>
        <w:t xml:space="preserve"> המסורתי.</w:t>
      </w:r>
      <w:r w:rsidR="005A7391" w:rsidRPr="00600D22">
        <w:rPr>
          <w:rStyle w:val="FootnoteReference"/>
          <w:rtl/>
        </w:rPr>
        <w:footnoteReference w:id="14"/>
      </w:r>
      <w:r w:rsidR="00681007" w:rsidRPr="00600D22">
        <w:rPr>
          <w:rFonts w:hint="cs"/>
          <w:rtl/>
        </w:rPr>
        <w:t xml:space="preserve"> שם החיבור ניתן לו משום שבמוקד החיבור הגנאלוגי נ</w:t>
      </w:r>
      <w:r w:rsidR="00ED54C3" w:rsidRPr="00600D22">
        <w:rPr>
          <w:rFonts w:hint="cs"/>
          <w:rtl/>
        </w:rPr>
        <w:t>י</w:t>
      </w:r>
      <w:r w:rsidR="00681007" w:rsidRPr="00600D22">
        <w:rPr>
          <w:rFonts w:hint="cs"/>
          <w:rtl/>
        </w:rPr>
        <w:t>צבות הנשים המפורסמות של המיתולוגיה היוונית אשר ילדו במשכבן עם האלים את הגיבורים והאבות האפונימיים היווניים. ה</w:t>
      </w:r>
      <w:r w:rsidR="00B72A03" w:rsidRPr="00600D22">
        <w:rPr>
          <w:rFonts w:hint="cs"/>
          <w:rtl/>
        </w:rPr>
        <w:t>כינוי הרווח</w:t>
      </w:r>
      <w:r w:rsidR="00681007" w:rsidRPr="00600D22">
        <w:rPr>
          <w:rFonts w:hint="cs"/>
          <w:rtl/>
        </w:rPr>
        <w:t xml:space="preserve">, </w:t>
      </w:r>
      <w:r w:rsidR="0057703F" w:rsidRPr="00600D22">
        <w:rPr>
          <w:rFonts w:hint="cs"/>
          <w:rtl/>
        </w:rPr>
        <w:t>'</w:t>
      </w:r>
      <w:r w:rsidR="00681007" w:rsidRPr="00600D22">
        <w:rPr>
          <w:rFonts w:hint="cs"/>
          <w:rtl/>
        </w:rPr>
        <w:t>אֵהו</w:t>
      </w:r>
      <w:r w:rsidR="00295974">
        <w:rPr>
          <w:rFonts w:hint="cs"/>
          <w:rtl/>
        </w:rPr>
        <w:t>ֹ</w:t>
      </w:r>
      <w:r w:rsidR="00681007" w:rsidRPr="00600D22">
        <w:rPr>
          <w:rFonts w:hint="cs"/>
          <w:rtl/>
        </w:rPr>
        <w:t>יאָי</w:t>
      </w:r>
      <w:r w:rsidR="0057703F" w:rsidRPr="00600D22">
        <w:rPr>
          <w:rFonts w:hint="cs"/>
          <w:rtl/>
        </w:rPr>
        <w:t>'</w:t>
      </w:r>
      <w:r w:rsidR="00681007" w:rsidRPr="00600D22">
        <w:rPr>
          <w:rFonts w:hint="cs"/>
          <w:rtl/>
        </w:rPr>
        <w:t xml:space="preserve"> (</w:t>
      </w:r>
      <w:proofErr w:type="spellStart"/>
      <w:r w:rsidR="00681007" w:rsidRPr="00600D22">
        <w:rPr>
          <w:i/>
          <w:iCs/>
        </w:rPr>
        <w:t>Ἠοῖαι</w:t>
      </w:r>
      <w:proofErr w:type="spellEnd"/>
      <w:r w:rsidR="00681007" w:rsidRPr="00600D22">
        <w:rPr>
          <w:rFonts w:hint="cs"/>
          <w:rtl/>
        </w:rPr>
        <w:t xml:space="preserve">), ניתן לו בשל הנוסחה החוזרת </w:t>
      </w:r>
      <w:r w:rsidR="00D673A5">
        <w:rPr>
          <w:rFonts w:cs="Times New Roman"/>
        </w:rPr>
        <w:t>“</w:t>
      </w:r>
      <w:r w:rsidR="00681007" w:rsidRPr="00600D22">
        <w:t xml:space="preserve">ἢ </w:t>
      </w:r>
      <w:proofErr w:type="spellStart"/>
      <w:r w:rsidR="00681007" w:rsidRPr="00600D22">
        <w:t>οἵη</w:t>
      </w:r>
      <w:proofErr w:type="spellEnd"/>
      <w:r w:rsidR="00D673A5">
        <w:rPr>
          <w:rFonts w:cs="Times New Roman"/>
        </w:rPr>
        <w:t>”</w:t>
      </w:r>
      <w:r w:rsidR="00AC7E62">
        <w:rPr>
          <w:rFonts w:hint="cs"/>
          <w:rtl/>
        </w:rPr>
        <w:t xml:space="preserve"> (= או היא אשר [...]</w:t>
      </w:r>
      <w:r w:rsidR="00681007" w:rsidRPr="00600D22">
        <w:rPr>
          <w:rFonts w:hint="cs"/>
          <w:rtl/>
        </w:rPr>
        <w:t>) הפותחת כל יחידה בחיבור, כשלאחריה עובר המחבר לקורותיה של אישה אחרת וצאצאי</w:t>
      </w:r>
      <w:r w:rsidR="00AC7E62">
        <w:rPr>
          <w:rFonts w:hint="cs"/>
          <w:rtl/>
        </w:rPr>
        <w:t>ה</w:t>
      </w:r>
      <w:r w:rsidR="00681007" w:rsidRPr="00600D22">
        <w:rPr>
          <w:rFonts w:hint="cs"/>
          <w:rtl/>
        </w:rPr>
        <w:t xml:space="preserve">. </w:t>
      </w:r>
      <w:r w:rsidR="005A7391" w:rsidRPr="00600D22">
        <w:rPr>
          <w:rFonts w:hint="cs"/>
          <w:rtl/>
        </w:rPr>
        <w:t>על פי המצוי בידינו נראה כי ב</w:t>
      </w:r>
      <w:r w:rsidR="00AC7E62">
        <w:rPr>
          <w:rFonts w:hint="cs"/>
          <w:rtl/>
        </w:rPr>
        <w:t>'</w:t>
      </w:r>
      <w:r w:rsidR="005A7391" w:rsidRPr="00600D22">
        <w:rPr>
          <w:rFonts w:hint="cs"/>
          <w:rtl/>
        </w:rPr>
        <w:t>קטלוג הנשים</w:t>
      </w:r>
      <w:r w:rsidR="00AC7E62">
        <w:rPr>
          <w:rFonts w:hint="cs"/>
          <w:rtl/>
        </w:rPr>
        <w:t>'</w:t>
      </w:r>
      <w:r w:rsidR="005A7391" w:rsidRPr="00600D22">
        <w:rPr>
          <w:rFonts w:hint="cs"/>
          <w:rtl/>
        </w:rPr>
        <w:t xml:space="preserve"> </w:t>
      </w:r>
      <w:r w:rsidR="006042B0" w:rsidRPr="00600D22">
        <w:rPr>
          <w:rFonts w:hint="cs"/>
          <w:rtl/>
        </w:rPr>
        <w:t>תוארו תולדותיהם של כמעט כל הגיבורים והאבות האפונימיים היווניים על פי סדר משפחתי וג</w:t>
      </w:r>
      <w:r w:rsidR="00D673A5">
        <w:rPr>
          <w:rFonts w:hint="cs"/>
          <w:rtl/>
        </w:rPr>
        <w:t>י</w:t>
      </w:r>
      <w:r w:rsidR="006042B0" w:rsidRPr="00600D22">
        <w:rPr>
          <w:rFonts w:hint="cs"/>
          <w:rtl/>
        </w:rPr>
        <w:t>אוגרפי, החל מדאוקליון</w:t>
      </w:r>
      <w:r w:rsidR="00ED54C3" w:rsidRPr="00600D22">
        <w:rPr>
          <w:rFonts w:hint="cs"/>
          <w:rtl/>
        </w:rPr>
        <w:t>,</w:t>
      </w:r>
      <w:r w:rsidR="006042B0" w:rsidRPr="00600D22">
        <w:rPr>
          <w:rFonts w:hint="cs"/>
          <w:rtl/>
        </w:rPr>
        <w:t xml:space="preserve"> גיבור המבול היווני</w:t>
      </w:r>
      <w:r w:rsidR="00ED54C3" w:rsidRPr="00600D22">
        <w:rPr>
          <w:rFonts w:hint="cs"/>
          <w:rtl/>
        </w:rPr>
        <w:t>,</w:t>
      </w:r>
      <w:r w:rsidR="006042B0" w:rsidRPr="00600D22">
        <w:rPr>
          <w:rFonts w:hint="cs"/>
          <w:rtl/>
        </w:rPr>
        <w:t xml:space="preserve"> </w:t>
      </w:r>
      <w:r w:rsidR="00B72A03" w:rsidRPr="00600D22">
        <w:rPr>
          <w:rFonts w:hint="cs"/>
          <w:rtl/>
        </w:rPr>
        <w:t>וכלה</w:t>
      </w:r>
      <w:r w:rsidR="005A7391" w:rsidRPr="00600D22">
        <w:rPr>
          <w:rFonts w:hint="cs"/>
          <w:rtl/>
        </w:rPr>
        <w:t xml:space="preserve"> </w:t>
      </w:r>
      <w:r w:rsidR="00E851B4" w:rsidRPr="00600D22">
        <w:rPr>
          <w:rFonts w:hint="cs"/>
          <w:rtl/>
        </w:rPr>
        <w:t>ב</w:t>
      </w:r>
      <w:r w:rsidR="005A7391" w:rsidRPr="00600D22">
        <w:rPr>
          <w:rFonts w:hint="cs"/>
          <w:rtl/>
        </w:rPr>
        <w:t>ק</w:t>
      </w:r>
      <w:r w:rsidR="00ED54C3" w:rsidRPr="00600D22">
        <w:rPr>
          <w:rFonts w:hint="cs"/>
          <w:rtl/>
        </w:rPr>
        <w:t>ִ</w:t>
      </w:r>
      <w:r w:rsidR="005A7391" w:rsidRPr="00600D22">
        <w:rPr>
          <w:rFonts w:hint="cs"/>
          <w:rtl/>
        </w:rPr>
        <w:t>צו של דור הגיבורים שלחם במלחמת טרויה</w:t>
      </w:r>
      <w:r w:rsidR="00B72A03" w:rsidRPr="00600D22">
        <w:rPr>
          <w:rFonts w:hint="cs"/>
          <w:rtl/>
        </w:rPr>
        <w:t xml:space="preserve"> או מעט אחרי כן</w:t>
      </w:r>
      <w:r w:rsidR="005A7391" w:rsidRPr="00600D22">
        <w:rPr>
          <w:rFonts w:hint="cs"/>
          <w:rtl/>
        </w:rPr>
        <w:t>.</w:t>
      </w:r>
    </w:p>
    <w:p w:rsidR="0083745D" w:rsidRPr="00600D22" w:rsidRDefault="00E851B4" w:rsidP="00064813">
      <w:pPr>
        <w:widowControl w:val="0"/>
        <w:spacing w:line="480" w:lineRule="auto"/>
        <w:ind w:firstLine="220"/>
        <w:rPr>
          <w:rtl/>
        </w:rPr>
      </w:pPr>
      <w:r w:rsidRPr="00600D22">
        <w:rPr>
          <w:rFonts w:hint="cs"/>
          <w:rtl/>
        </w:rPr>
        <w:t xml:space="preserve">כאמור, </w:t>
      </w:r>
      <w:r w:rsidR="00141584" w:rsidRPr="00600D22">
        <w:rPr>
          <w:rFonts w:hint="cs"/>
          <w:rtl/>
        </w:rPr>
        <w:t xml:space="preserve">זיווגים בין בנות אדם לאלים נסקרים לאורך כל </w:t>
      </w:r>
      <w:r w:rsidR="00D673A5">
        <w:rPr>
          <w:rFonts w:hint="cs"/>
          <w:rtl/>
        </w:rPr>
        <w:t>'</w:t>
      </w:r>
      <w:r w:rsidR="00141584" w:rsidRPr="00600D22">
        <w:rPr>
          <w:rFonts w:hint="cs"/>
          <w:rtl/>
        </w:rPr>
        <w:t>קטלוג הנשים</w:t>
      </w:r>
      <w:r w:rsidR="00D673A5">
        <w:rPr>
          <w:rFonts w:hint="cs"/>
          <w:rtl/>
        </w:rPr>
        <w:t>'</w:t>
      </w:r>
      <w:r w:rsidR="00141584" w:rsidRPr="00600D22">
        <w:rPr>
          <w:rFonts w:hint="cs"/>
          <w:rtl/>
        </w:rPr>
        <w:t xml:space="preserve">, וכך נאמר </w:t>
      </w:r>
      <w:r w:rsidR="00065C38" w:rsidRPr="00600D22">
        <w:rPr>
          <w:rFonts w:hint="cs"/>
          <w:rtl/>
        </w:rPr>
        <w:t>כבר בשורות הפתיחה של</w:t>
      </w:r>
      <w:r w:rsidR="00ED54C3" w:rsidRPr="00600D22">
        <w:rPr>
          <w:rFonts w:hint="cs"/>
          <w:rtl/>
        </w:rPr>
        <w:t>ו</w:t>
      </w:r>
      <w:r w:rsidR="006A5741" w:rsidRPr="00600D22">
        <w:rPr>
          <w:rFonts w:hint="cs"/>
          <w:rtl/>
        </w:rPr>
        <w:t xml:space="preserve"> (</w:t>
      </w:r>
      <w:r w:rsidR="006A5741" w:rsidRPr="00600D22">
        <w:t>F 1 M</w:t>
      </w:r>
      <w:r w:rsidR="00ED54C3" w:rsidRPr="00600D22">
        <w:t>–</w:t>
      </w:r>
      <w:r w:rsidR="006A5741" w:rsidRPr="00600D22">
        <w:t>W = P. Oxy. 2354; 1–2:</w:t>
      </w:r>
      <w:r w:rsidR="00ED54C3" w:rsidRPr="00600D22">
        <w:rPr>
          <w:i/>
          <w:iCs/>
        </w:rPr>
        <w:t xml:space="preserve"> </w:t>
      </w:r>
      <w:proofErr w:type="spellStart"/>
      <w:r w:rsidR="006A5741" w:rsidRPr="00600D22">
        <w:rPr>
          <w:i/>
          <w:iCs/>
        </w:rPr>
        <w:t>Theog</w:t>
      </w:r>
      <w:proofErr w:type="spellEnd"/>
      <w:r w:rsidR="006A5741" w:rsidRPr="00600D22">
        <w:rPr>
          <w:i/>
          <w:iCs/>
        </w:rPr>
        <w:t>.</w:t>
      </w:r>
      <w:r w:rsidR="006A5741" w:rsidRPr="00600D22">
        <w:t xml:space="preserve"> 1021–22; 6–7: Orig., </w:t>
      </w:r>
      <w:proofErr w:type="spellStart"/>
      <w:r w:rsidR="006A5741" w:rsidRPr="00600D22">
        <w:rPr>
          <w:i/>
          <w:iCs/>
        </w:rPr>
        <w:t>C.Cels</w:t>
      </w:r>
      <w:proofErr w:type="spellEnd"/>
      <w:r w:rsidR="006A5741" w:rsidRPr="00600D22">
        <w:rPr>
          <w:i/>
          <w:iCs/>
        </w:rPr>
        <w:t>.</w:t>
      </w:r>
      <w:r w:rsidR="006A5741" w:rsidRPr="00600D22">
        <w:t xml:space="preserve"> 4.79</w:t>
      </w:r>
      <w:r w:rsidR="006A5741" w:rsidRPr="00600D22">
        <w:rPr>
          <w:rFonts w:hint="cs"/>
          <w:rtl/>
        </w:rPr>
        <w:t>):</w:t>
      </w:r>
    </w:p>
    <w:p w:rsidR="006A5741" w:rsidRPr="00600D22" w:rsidRDefault="00065C38" w:rsidP="00064813">
      <w:pPr>
        <w:widowControl w:val="0"/>
        <w:spacing w:line="480" w:lineRule="auto"/>
        <w:ind w:firstLine="220"/>
        <w:rPr>
          <w:rtl/>
        </w:rPr>
      </w:pPr>
      <w:r w:rsidRPr="00600D22">
        <w:rPr>
          <w:rFonts w:hint="cs"/>
          <w:rtl/>
        </w:rPr>
        <w:t xml:space="preserve"> </w:t>
      </w:r>
    </w:p>
    <w:p w:rsidR="006A5741" w:rsidRPr="00600D22" w:rsidRDefault="00AA5829" w:rsidP="00DA3173">
      <w:pPr>
        <w:widowControl w:val="0"/>
        <w:spacing w:line="480" w:lineRule="auto"/>
        <w:ind w:left="680" w:rightChars="500" w:right="1100"/>
        <w:rPr>
          <w:rFonts w:eastAsia="Times New Roman"/>
          <w:rtl/>
        </w:rPr>
      </w:pPr>
      <w:r w:rsidRPr="00434A6C">
        <w:rPr>
          <w:rFonts w:eastAsia="Times New Roman" w:hint="cs"/>
          <w:vertAlign w:val="subscript"/>
          <w:rtl/>
        </w:rPr>
        <w:t>(</w:t>
      </w:r>
      <w:r w:rsidR="006A5741" w:rsidRPr="00434A6C">
        <w:rPr>
          <w:rFonts w:eastAsia="Times New Roman" w:hint="cs"/>
          <w:vertAlign w:val="subscript"/>
          <w:rtl/>
        </w:rPr>
        <w:t>1</w:t>
      </w:r>
      <w:r w:rsidRPr="00434A6C">
        <w:rPr>
          <w:rFonts w:eastAsia="Times New Roman" w:hint="cs"/>
          <w:vertAlign w:val="subscript"/>
          <w:rtl/>
        </w:rPr>
        <w:t>)</w:t>
      </w:r>
      <w:r w:rsidR="006A5741" w:rsidRPr="00600D22">
        <w:rPr>
          <w:rFonts w:eastAsia="Times New Roman" w:hint="cs"/>
          <w:rtl/>
        </w:rPr>
        <w:t xml:space="preserve"> ועתה שירו </w:t>
      </w:r>
      <w:r w:rsidR="00ED54C3" w:rsidRPr="00600D22">
        <w:rPr>
          <w:rFonts w:eastAsia="Times New Roman" w:hint="cs"/>
          <w:rtl/>
        </w:rPr>
        <w:t xml:space="preserve">על </w:t>
      </w:r>
      <w:r w:rsidR="006A5741" w:rsidRPr="00600D22">
        <w:rPr>
          <w:rFonts w:eastAsia="Times New Roman" w:hint="cs"/>
          <w:rtl/>
        </w:rPr>
        <w:t xml:space="preserve">אודות עדת הנשים </w:t>
      </w:r>
      <w:r w:rsidR="006A5741" w:rsidRPr="00600D22">
        <w:rPr>
          <w:rFonts w:eastAsia="Times New Roman" w:hint="eastAsia"/>
          <w:rtl/>
        </w:rPr>
        <w:t>–</w:t>
      </w:r>
      <w:r w:rsidR="006A5741" w:rsidRPr="00600D22">
        <w:rPr>
          <w:rFonts w:eastAsia="Times New Roman" w:hint="cs"/>
          <w:rtl/>
        </w:rPr>
        <w:t xml:space="preserve"> </w:t>
      </w:r>
      <w:r w:rsidR="003C3631" w:rsidRPr="00600D22">
        <w:rPr>
          <w:rFonts w:eastAsia="Times New Roman" w:hint="cs"/>
          <w:rtl/>
        </w:rPr>
        <w:t xml:space="preserve">(שירו) </w:t>
      </w:r>
      <w:r w:rsidR="006A5741" w:rsidRPr="00600D22">
        <w:rPr>
          <w:rFonts w:eastAsia="Times New Roman" w:hint="cs"/>
          <w:rtl/>
        </w:rPr>
        <w:t>נעימות הזמר</w:t>
      </w:r>
      <w:r w:rsidR="00ED54C3" w:rsidRPr="00600D22">
        <w:rPr>
          <w:rFonts w:eastAsia="Times New Roman" w:hint="cs"/>
          <w:rtl/>
        </w:rPr>
        <w:t>,</w:t>
      </w:r>
    </w:p>
    <w:p w:rsidR="006A5741" w:rsidRPr="00600D22" w:rsidRDefault="006A5741" w:rsidP="00DA3173">
      <w:pPr>
        <w:widowControl w:val="0"/>
        <w:spacing w:line="480" w:lineRule="auto"/>
        <w:ind w:left="680" w:rightChars="500" w:right="1100"/>
        <w:rPr>
          <w:rFonts w:eastAsia="Times New Roman"/>
          <w:rtl/>
        </w:rPr>
      </w:pPr>
      <w:r w:rsidRPr="00600D22">
        <w:rPr>
          <w:rFonts w:eastAsia="Times New Roman" w:hint="cs"/>
          <w:rtl/>
        </w:rPr>
        <w:lastRenderedPageBreak/>
        <w:t>מוזות השוכנות באולימפוס, בנות זאוס האוחז באיגיס –</w:t>
      </w:r>
    </w:p>
    <w:p w:rsidR="006A5741" w:rsidRPr="00600D22" w:rsidRDefault="00ED54C3" w:rsidP="00DA3173">
      <w:pPr>
        <w:widowControl w:val="0"/>
        <w:spacing w:line="480" w:lineRule="auto"/>
        <w:ind w:left="680" w:rightChars="500" w:right="1100"/>
        <w:rPr>
          <w:rFonts w:eastAsia="Times New Roman"/>
          <w:rtl/>
        </w:rPr>
      </w:pPr>
      <w:r w:rsidRPr="00600D22">
        <w:rPr>
          <w:rFonts w:eastAsia="Times New Roman" w:hint="cs"/>
          <w:rtl/>
        </w:rPr>
        <w:t xml:space="preserve">על </w:t>
      </w:r>
      <w:r w:rsidR="006A5741" w:rsidRPr="00600D22">
        <w:rPr>
          <w:rFonts w:eastAsia="Times New Roman" w:hint="cs"/>
          <w:rtl/>
        </w:rPr>
        <w:t>אודות אלה שהיו אז המצוינות [והיפות ביותר בקרב הארץ</w:t>
      </w:r>
      <w:r w:rsidRPr="00600D22">
        <w:rPr>
          <w:rFonts w:eastAsia="Times New Roman" w:hint="cs"/>
          <w:rtl/>
        </w:rPr>
        <w:t>,</w:t>
      </w:r>
      <w:r w:rsidR="006A5741" w:rsidRPr="00600D22">
        <w:rPr>
          <w:rFonts w:eastAsia="Times New Roman" w:hint="cs"/>
          <w:rtl/>
        </w:rPr>
        <w:t>]</w:t>
      </w:r>
    </w:p>
    <w:p w:rsidR="006A5741" w:rsidRPr="00600D22" w:rsidRDefault="006A5741" w:rsidP="00DA3173">
      <w:pPr>
        <w:widowControl w:val="0"/>
        <w:spacing w:line="480" w:lineRule="auto"/>
        <w:ind w:left="680" w:rightChars="500" w:right="1100"/>
        <w:rPr>
          <w:rFonts w:eastAsia="Times New Roman"/>
          <w:rtl/>
        </w:rPr>
      </w:pPr>
      <w:r w:rsidRPr="00600D22">
        <w:rPr>
          <w:rFonts w:eastAsia="Times New Roman" w:hint="cs"/>
          <w:rtl/>
        </w:rPr>
        <w:t>אשר התירו חגור</w:t>
      </w:r>
      <w:r w:rsidR="005E7C05">
        <w:rPr>
          <w:rFonts w:eastAsia="Times New Roman" w:hint="cs"/>
          <w:rtl/>
        </w:rPr>
        <w:t>יה</w:t>
      </w:r>
      <w:r w:rsidRPr="00600D22">
        <w:rPr>
          <w:rFonts w:eastAsia="Times New Roman" w:hint="cs"/>
          <w:rtl/>
        </w:rPr>
        <w:t>ן [                              ]</w:t>
      </w:r>
    </w:p>
    <w:p w:rsidR="006A5741" w:rsidRPr="00600D22" w:rsidRDefault="00AA5829" w:rsidP="00DA3173">
      <w:pPr>
        <w:widowControl w:val="0"/>
        <w:spacing w:line="480" w:lineRule="auto"/>
        <w:ind w:left="680" w:rightChars="500" w:right="1100"/>
        <w:rPr>
          <w:rFonts w:eastAsia="Times New Roman"/>
          <w:rtl/>
        </w:rPr>
      </w:pPr>
      <w:r w:rsidRPr="00434A6C">
        <w:rPr>
          <w:rFonts w:eastAsia="Times New Roman" w:hint="cs"/>
          <w:vertAlign w:val="subscript"/>
          <w:rtl/>
        </w:rPr>
        <w:t>(</w:t>
      </w:r>
      <w:r w:rsidR="006A5741" w:rsidRPr="00434A6C">
        <w:rPr>
          <w:rFonts w:eastAsia="Times New Roman" w:hint="cs"/>
          <w:vertAlign w:val="subscript"/>
          <w:rtl/>
        </w:rPr>
        <w:t>5</w:t>
      </w:r>
      <w:r w:rsidRPr="00434A6C">
        <w:rPr>
          <w:rFonts w:eastAsia="Times New Roman" w:hint="cs"/>
          <w:vertAlign w:val="subscript"/>
          <w:rtl/>
        </w:rPr>
        <w:t>)</w:t>
      </w:r>
      <w:r w:rsidR="006A5741" w:rsidRPr="00600D22">
        <w:rPr>
          <w:rFonts w:eastAsia="Times New Roman" w:hint="cs"/>
          <w:rtl/>
        </w:rPr>
        <w:t xml:space="preserve"> במשכבן עם האלי[ם                          ]</w:t>
      </w:r>
    </w:p>
    <w:p w:rsidR="006A5741" w:rsidRPr="00600D22" w:rsidRDefault="006A5741" w:rsidP="00DA3173">
      <w:pPr>
        <w:widowControl w:val="0"/>
        <w:spacing w:line="480" w:lineRule="auto"/>
        <w:ind w:left="680" w:rightChars="500" w:right="1100"/>
        <w:rPr>
          <w:rFonts w:eastAsia="Times New Roman"/>
          <w:rtl/>
        </w:rPr>
      </w:pPr>
      <w:r w:rsidRPr="00600D22">
        <w:rPr>
          <w:rFonts w:eastAsia="Times New Roman" w:hint="cs"/>
          <w:rtl/>
        </w:rPr>
        <w:t>שהרי אז משותפו</w:t>
      </w:r>
      <w:r w:rsidR="00E831B6">
        <w:rPr>
          <w:rFonts w:eastAsia="Times New Roman" w:hint="cs"/>
          <w:rtl/>
        </w:rPr>
        <w:t>ת היו הסעודות, ומשותפות המועצות</w:t>
      </w:r>
    </w:p>
    <w:p w:rsidR="006A5741" w:rsidRPr="00600D22" w:rsidRDefault="00E831B6" w:rsidP="00DA3173">
      <w:pPr>
        <w:widowControl w:val="0"/>
        <w:spacing w:line="480" w:lineRule="auto"/>
        <w:ind w:left="680" w:rightChars="500" w:right="1100"/>
        <w:rPr>
          <w:rFonts w:eastAsia="Times New Roman"/>
          <w:rtl/>
        </w:rPr>
      </w:pPr>
      <w:r>
        <w:rPr>
          <w:rFonts w:eastAsia="Times New Roman" w:hint="cs"/>
          <w:rtl/>
        </w:rPr>
        <w:t>לאלים בני האלמוות ולבני התמותה</w:t>
      </w:r>
    </w:p>
    <w:p w:rsidR="006A5741" w:rsidRPr="00600D22" w:rsidRDefault="006A5741" w:rsidP="00DA3173">
      <w:pPr>
        <w:widowControl w:val="0"/>
        <w:spacing w:line="480" w:lineRule="auto"/>
        <w:ind w:left="680" w:rightChars="500" w:right="1100"/>
        <w:rPr>
          <w:rFonts w:eastAsia="Times New Roman"/>
          <w:rtl/>
        </w:rPr>
      </w:pPr>
      <w:r w:rsidRPr="00600D22">
        <w:rPr>
          <w:rFonts w:eastAsia="Times New Roman" w:hint="cs"/>
          <w:rtl/>
        </w:rPr>
        <w:t>[...]</w:t>
      </w:r>
    </w:p>
    <w:p w:rsidR="006A5741" w:rsidRPr="00600D22" w:rsidRDefault="006A5741" w:rsidP="00DA3173">
      <w:pPr>
        <w:widowControl w:val="0"/>
        <w:spacing w:line="480" w:lineRule="auto"/>
        <w:ind w:left="680" w:rightChars="500" w:right="1100"/>
        <w:rPr>
          <w:rFonts w:eastAsia="Times New Roman"/>
          <w:rtl/>
        </w:rPr>
      </w:pPr>
      <w:r w:rsidRPr="00600D22">
        <w:rPr>
          <w:rFonts w:eastAsia="Times New Roman" w:hint="cs"/>
          <w:rtl/>
        </w:rPr>
        <w:t xml:space="preserve">ספרנה </w:t>
      </w:r>
      <w:r w:rsidR="00B028FF" w:rsidRPr="00600D22">
        <w:rPr>
          <w:rFonts w:eastAsia="Times New Roman" w:hint="cs"/>
          <w:rtl/>
        </w:rPr>
        <w:t>ל</w:t>
      </w:r>
      <w:r w:rsidRPr="00600D22">
        <w:rPr>
          <w:rFonts w:eastAsia="Times New Roman" w:hint="cs"/>
          <w:rtl/>
        </w:rPr>
        <w:t>[</w:t>
      </w:r>
      <w:r w:rsidR="00B028FF" w:rsidRPr="00600D22">
        <w:rPr>
          <w:rFonts w:eastAsia="Times New Roman" w:hint="cs"/>
          <w:rtl/>
        </w:rPr>
        <w:t>י על פרי בטנן ובני]הן</w:t>
      </w:r>
      <w:r w:rsidR="001D6817" w:rsidRPr="00600D22">
        <w:rPr>
          <w:rFonts w:eastAsia="Times New Roman" w:hint="cs"/>
          <w:rtl/>
        </w:rPr>
        <w:t xml:space="preserve"> [</w:t>
      </w:r>
      <w:r w:rsidR="00B028FF" w:rsidRPr="00600D22">
        <w:rPr>
          <w:rFonts w:eastAsia="Times New Roman" w:hint="cs"/>
          <w:rtl/>
        </w:rPr>
        <w:t>הנהדרים</w:t>
      </w:r>
      <w:r w:rsidR="001D6817" w:rsidRPr="00600D22">
        <w:rPr>
          <w:rFonts w:eastAsia="Times New Roman" w:hint="cs"/>
          <w:rtl/>
        </w:rPr>
        <w:t xml:space="preserve">                </w:t>
      </w:r>
      <w:r w:rsidRPr="00600D22">
        <w:rPr>
          <w:rFonts w:eastAsia="Times New Roman" w:hint="cs"/>
          <w:rtl/>
        </w:rPr>
        <w:t>]</w:t>
      </w:r>
      <w:r w:rsidR="00434A6C" w:rsidRPr="00434A6C">
        <w:rPr>
          <w:rStyle w:val="FootnoteReference"/>
          <w:rFonts w:eastAsia="Times New Roman"/>
        </w:rPr>
        <w:t xml:space="preserve"> </w:t>
      </w:r>
      <w:r w:rsidR="00434A6C" w:rsidRPr="00600D22">
        <w:rPr>
          <w:rStyle w:val="FootnoteReference"/>
          <w:rFonts w:eastAsia="Times New Roman"/>
        </w:rPr>
        <w:footnoteReference w:id="15"/>
      </w:r>
    </w:p>
    <w:p w:rsidR="006A5741" w:rsidRPr="00600D22" w:rsidRDefault="00AA5829" w:rsidP="00DA3173">
      <w:pPr>
        <w:widowControl w:val="0"/>
        <w:spacing w:line="480" w:lineRule="auto"/>
        <w:ind w:left="680" w:rightChars="500" w:right="1100"/>
        <w:rPr>
          <w:rFonts w:eastAsia="Times New Roman"/>
          <w:rtl/>
        </w:rPr>
      </w:pPr>
      <w:r w:rsidRPr="00434A6C">
        <w:rPr>
          <w:rFonts w:eastAsia="Times New Roman" w:hint="cs"/>
          <w:vertAlign w:val="subscript"/>
          <w:rtl/>
        </w:rPr>
        <w:t>(</w:t>
      </w:r>
      <w:r w:rsidR="006A5741" w:rsidRPr="00434A6C">
        <w:rPr>
          <w:rFonts w:eastAsia="Times New Roman" w:hint="cs"/>
          <w:vertAlign w:val="subscript"/>
          <w:rtl/>
        </w:rPr>
        <w:t>15</w:t>
      </w:r>
      <w:r w:rsidRPr="00434A6C">
        <w:rPr>
          <w:rFonts w:eastAsia="Times New Roman" w:hint="cs"/>
          <w:vertAlign w:val="subscript"/>
          <w:rtl/>
        </w:rPr>
        <w:t>)</w:t>
      </w:r>
      <w:r w:rsidR="006A5741" w:rsidRPr="00600D22">
        <w:rPr>
          <w:rFonts w:eastAsia="Times New Roman" w:hint="cs"/>
          <w:rtl/>
        </w:rPr>
        <w:t xml:space="preserve"> על אלה שעמן שכ[ב אבי האדם והאלים]</w:t>
      </w:r>
      <w:r w:rsidR="00434A6C" w:rsidRPr="00434A6C">
        <w:rPr>
          <w:rStyle w:val="FootnoteReference"/>
          <w:rFonts w:eastAsia="Times New Roman"/>
        </w:rPr>
        <w:t xml:space="preserve"> </w:t>
      </w:r>
      <w:r w:rsidR="00434A6C" w:rsidRPr="00600D22">
        <w:rPr>
          <w:rStyle w:val="FootnoteReference"/>
          <w:rFonts w:eastAsia="Times New Roman"/>
        </w:rPr>
        <w:footnoteReference w:id="16"/>
      </w:r>
    </w:p>
    <w:p w:rsidR="006A5741" w:rsidRPr="00600D22" w:rsidRDefault="006A5741" w:rsidP="00DA3173">
      <w:pPr>
        <w:widowControl w:val="0"/>
        <w:spacing w:line="480" w:lineRule="auto"/>
        <w:ind w:left="680" w:rightChars="500" w:right="1100"/>
        <w:rPr>
          <w:rFonts w:eastAsia="Times New Roman"/>
          <w:rtl/>
        </w:rPr>
      </w:pPr>
      <w:r w:rsidRPr="00600D22">
        <w:rPr>
          <w:rFonts w:eastAsia="Times New Roman" w:hint="cs"/>
          <w:rtl/>
        </w:rPr>
        <w:t xml:space="preserve">בהזריעו [                    </w:t>
      </w:r>
      <w:r w:rsidR="001D6817" w:rsidRPr="00600D22">
        <w:rPr>
          <w:rFonts w:eastAsia="Times New Roman" w:hint="cs"/>
          <w:rtl/>
        </w:rPr>
        <w:t xml:space="preserve">     </w:t>
      </w:r>
      <w:r w:rsidRPr="00600D22">
        <w:rPr>
          <w:rFonts w:eastAsia="Times New Roman" w:hint="cs"/>
          <w:rtl/>
        </w:rPr>
        <w:t xml:space="preserve">         ]</w:t>
      </w:r>
    </w:p>
    <w:p w:rsidR="006A5741" w:rsidRPr="00600D22" w:rsidRDefault="006A5741" w:rsidP="00DA3173">
      <w:pPr>
        <w:widowControl w:val="0"/>
        <w:spacing w:line="480" w:lineRule="auto"/>
        <w:ind w:left="680" w:rightChars="500" w:right="1100"/>
        <w:rPr>
          <w:rFonts w:eastAsia="Times New Roman"/>
          <w:rtl/>
        </w:rPr>
      </w:pPr>
      <w:r w:rsidRPr="00600D22">
        <w:rPr>
          <w:rFonts w:eastAsia="Times New Roman" w:hint="cs"/>
          <w:rtl/>
        </w:rPr>
        <w:t>ועל אלה שעמן פוסידו[ן...                  ]</w:t>
      </w:r>
    </w:p>
    <w:p w:rsidR="006A5741" w:rsidRPr="00600D22" w:rsidRDefault="006A5741" w:rsidP="00DA3173">
      <w:pPr>
        <w:widowControl w:val="0"/>
        <w:spacing w:line="480" w:lineRule="auto"/>
        <w:ind w:left="680" w:rightChars="500" w:right="1100"/>
        <w:rPr>
          <w:rtl/>
        </w:rPr>
      </w:pPr>
      <w:r w:rsidRPr="00600D22">
        <w:rPr>
          <w:rFonts w:eastAsia="Times New Roman" w:hint="cs"/>
          <w:rtl/>
        </w:rPr>
        <w:t>ועל אלה שעמן ארֵס [                         ]</w:t>
      </w:r>
      <w:r w:rsidR="00434A6C" w:rsidRPr="00434A6C">
        <w:rPr>
          <w:rStyle w:val="FootnoteReference"/>
          <w:rFonts w:eastAsia="Times New Roman"/>
        </w:rPr>
        <w:t xml:space="preserve"> </w:t>
      </w:r>
      <w:r w:rsidR="00434A6C" w:rsidRPr="00600D22">
        <w:rPr>
          <w:rStyle w:val="FootnoteReference"/>
          <w:rFonts w:eastAsia="Times New Roman"/>
        </w:rPr>
        <w:footnoteReference w:id="17"/>
      </w:r>
    </w:p>
    <w:p w:rsidR="004D5276" w:rsidRDefault="004D5276" w:rsidP="00064813">
      <w:pPr>
        <w:widowControl w:val="0"/>
        <w:spacing w:line="480" w:lineRule="auto"/>
        <w:rPr>
          <w:rFonts w:eastAsia="Times New Roman"/>
          <w:rtl/>
        </w:rPr>
      </w:pPr>
    </w:p>
    <w:p w:rsidR="006A5741" w:rsidRPr="00600D22" w:rsidRDefault="006A5741" w:rsidP="00BF5645">
      <w:pPr>
        <w:widowControl w:val="0"/>
        <w:spacing w:line="480" w:lineRule="auto"/>
        <w:rPr>
          <w:rtl/>
        </w:rPr>
      </w:pPr>
      <w:r w:rsidRPr="00600D22">
        <w:rPr>
          <w:rFonts w:hint="cs"/>
          <w:rtl/>
        </w:rPr>
        <w:t xml:space="preserve">המשורר קורא למוזות לשיר </w:t>
      </w:r>
      <w:r w:rsidR="00ED54C3" w:rsidRPr="00600D22">
        <w:rPr>
          <w:rFonts w:hint="cs"/>
          <w:rtl/>
        </w:rPr>
        <w:t xml:space="preserve">על </w:t>
      </w:r>
      <w:r w:rsidRPr="00600D22">
        <w:rPr>
          <w:rFonts w:hint="cs"/>
          <w:rtl/>
        </w:rPr>
        <w:t>אודות עדת הנשים אשר התירו חגור</w:t>
      </w:r>
      <w:r w:rsidR="005E7C05">
        <w:rPr>
          <w:rFonts w:hint="cs"/>
          <w:rtl/>
        </w:rPr>
        <w:t>יה</w:t>
      </w:r>
      <w:r w:rsidRPr="00600D22">
        <w:rPr>
          <w:rFonts w:hint="cs"/>
          <w:rtl/>
        </w:rPr>
        <w:t>ן (שורה 4) במשכבן עם האלים ומספר כיצד הילכו יחדיו בני האדם והאלים</w:t>
      </w:r>
      <w:r w:rsidR="00C36976" w:rsidRPr="00600D22">
        <w:rPr>
          <w:rFonts w:hint="cs"/>
          <w:rtl/>
        </w:rPr>
        <w:t>.</w:t>
      </w:r>
      <w:r w:rsidRPr="00600D22">
        <w:rPr>
          <w:rFonts w:hint="cs"/>
          <w:rtl/>
        </w:rPr>
        <w:t xml:space="preserve"> ממפגשים אלו </w:t>
      </w:r>
      <w:r w:rsidR="00C36976" w:rsidRPr="00600D22">
        <w:rPr>
          <w:rFonts w:hint="cs"/>
          <w:rtl/>
        </w:rPr>
        <w:t xml:space="preserve">בין אלים לבנות אדם </w:t>
      </w:r>
      <w:r w:rsidRPr="00600D22">
        <w:rPr>
          <w:rFonts w:hint="cs"/>
          <w:rtl/>
        </w:rPr>
        <w:t>נולדו הגיבורים שעליהם יסופר בהמשך השירה.</w:t>
      </w:r>
    </w:p>
    <w:p w:rsidR="00065C38" w:rsidRPr="00600D22" w:rsidRDefault="00D27768" w:rsidP="003D09B5">
      <w:pPr>
        <w:widowControl w:val="0"/>
        <w:spacing w:line="480" w:lineRule="auto"/>
        <w:ind w:firstLine="397"/>
        <w:rPr>
          <w:rtl/>
        </w:rPr>
      </w:pPr>
      <w:r w:rsidRPr="00600D22">
        <w:rPr>
          <w:rFonts w:hint="cs"/>
          <w:rtl/>
        </w:rPr>
        <w:t xml:space="preserve">אם כן </w:t>
      </w:r>
      <w:r w:rsidR="00E851B4" w:rsidRPr="00600D22">
        <w:rPr>
          <w:rFonts w:hint="cs"/>
          <w:rtl/>
        </w:rPr>
        <w:t>שני המקורות</w:t>
      </w:r>
      <w:r w:rsidRPr="00600D22">
        <w:rPr>
          <w:rFonts w:hint="cs"/>
          <w:rtl/>
        </w:rPr>
        <w:t>,</w:t>
      </w:r>
      <w:r w:rsidR="00E851B4" w:rsidRPr="00600D22">
        <w:rPr>
          <w:rFonts w:hint="cs"/>
          <w:rtl/>
        </w:rPr>
        <w:t xml:space="preserve"> הסיפור הקצר בבר</w:t>
      </w:r>
      <w:r w:rsidR="003D09B5">
        <w:rPr>
          <w:rFonts w:hint="cs"/>
          <w:rtl/>
        </w:rPr>
        <w:t>אשית</w:t>
      </w:r>
      <w:r w:rsidR="00E851B4" w:rsidRPr="00600D22">
        <w:rPr>
          <w:rFonts w:hint="cs"/>
          <w:rtl/>
        </w:rPr>
        <w:t xml:space="preserve"> ו ו</w:t>
      </w:r>
      <w:r w:rsidR="003D09B5">
        <w:rPr>
          <w:rFonts w:hint="cs"/>
          <w:rtl/>
        </w:rPr>
        <w:t>'</w:t>
      </w:r>
      <w:r w:rsidR="00E851B4" w:rsidRPr="00600D22">
        <w:rPr>
          <w:rFonts w:hint="cs"/>
          <w:rtl/>
        </w:rPr>
        <w:t>קטלוג הנשים</w:t>
      </w:r>
      <w:r w:rsidR="003D09B5">
        <w:rPr>
          <w:rFonts w:hint="cs"/>
          <w:rtl/>
        </w:rPr>
        <w:t>'</w:t>
      </w:r>
      <w:r w:rsidR="00E851B4" w:rsidRPr="005E7C05">
        <w:rPr>
          <w:rFonts w:hint="cs"/>
          <w:rtl/>
        </w:rPr>
        <w:t>,</w:t>
      </w:r>
      <w:r w:rsidR="00E851B4" w:rsidRPr="00600D22">
        <w:rPr>
          <w:rFonts w:hint="cs"/>
          <w:rtl/>
        </w:rPr>
        <w:t xml:space="preserve"> עוסקים בזיווגים שבין בני אל</w:t>
      </w:r>
      <w:r w:rsidR="00ED54C3" w:rsidRPr="00600D22">
        <w:rPr>
          <w:rFonts w:hint="cs"/>
          <w:rtl/>
        </w:rPr>
        <w:t>ו</w:t>
      </w:r>
      <w:r w:rsidR="00E851B4" w:rsidRPr="00600D22">
        <w:rPr>
          <w:rFonts w:hint="cs"/>
          <w:rtl/>
        </w:rPr>
        <w:t>הים לבנות אדם. בבר</w:t>
      </w:r>
      <w:r w:rsidR="003D09B5">
        <w:rPr>
          <w:rFonts w:hint="cs"/>
          <w:rtl/>
        </w:rPr>
        <w:t>אשית</w:t>
      </w:r>
      <w:r w:rsidR="00E851B4" w:rsidRPr="00600D22">
        <w:rPr>
          <w:rFonts w:hint="cs"/>
          <w:rtl/>
        </w:rPr>
        <w:t xml:space="preserve"> ו מסופר בתמציתיות ובקיצור נמרץ כיצד ראו</w:t>
      </w:r>
      <w:r w:rsidR="00E851B4" w:rsidRPr="00600D22">
        <w:rPr>
          <w:rtl/>
        </w:rPr>
        <w:t xml:space="preserve"> </w:t>
      </w:r>
      <w:r w:rsidR="00295974">
        <w:rPr>
          <w:rFonts w:hint="cs"/>
          <w:rtl/>
        </w:rPr>
        <w:t>"</w:t>
      </w:r>
      <w:r w:rsidR="00E851B4" w:rsidRPr="00600D22">
        <w:rPr>
          <w:rtl/>
        </w:rPr>
        <w:t>בְנֵי-הָאֱלֹהִים אֶת-בְּנוֹת הָאָדָם</w:t>
      </w:r>
      <w:r w:rsidR="00E851B4" w:rsidRPr="00600D22">
        <w:rPr>
          <w:rFonts w:hint="cs"/>
          <w:rtl/>
        </w:rPr>
        <w:t xml:space="preserve"> ולקחו</w:t>
      </w:r>
      <w:r w:rsidR="00E851B4" w:rsidRPr="00600D22">
        <w:rPr>
          <w:rtl/>
        </w:rPr>
        <w:t xml:space="preserve"> </w:t>
      </w:r>
      <w:r w:rsidR="00E851B4" w:rsidRPr="00600D22">
        <w:rPr>
          <w:rFonts w:hint="cs"/>
          <w:rtl/>
        </w:rPr>
        <w:t xml:space="preserve">להם </w:t>
      </w:r>
      <w:r w:rsidR="00E851B4" w:rsidRPr="00600D22">
        <w:rPr>
          <w:rtl/>
        </w:rPr>
        <w:t>מִכֹּל אֲשֶׁר בָּחָרוּ</w:t>
      </w:r>
      <w:r w:rsidR="00295974">
        <w:rPr>
          <w:rFonts w:hint="cs"/>
          <w:rtl/>
        </w:rPr>
        <w:t>"</w:t>
      </w:r>
      <w:r w:rsidR="00E851B4" w:rsidRPr="00600D22">
        <w:rPr>
          <w:rFonts w:hint="cs"/>
          <w:rtl/>
        </w:rPr>
        <w:t>, ואחר באו אליהן וכך נולדו הגיבורים אשר מעולם</w:t>
      </w:r>
      <w:r w:rsidR="00DE535A" w:rsidRPr="00600D22">
        <w:rPr>
          <w:rFonts w:hint="cs"/>
          <w:rtl/>
        </w:rPr>
        <w:t>, וב</w:t>
      </w:r>
      <w:r w:rsidR="003D09B5">
        <w:rPr>
          <w:rFonts w:hint="cs"/>
          <w:rtl/>
        </w:rPr>
        <w:t>'</w:t>
      </w:r>
      <w:r w:rsidR="00DE535A" w:rsidRPr="00600D22">
        <w:rPr>
          <w:rFonts w:hint="cs"/>
          <w:rtl/>
        </w:rPr>
        <w:t>קטלוג הנשים</w:t>
      </w:r>
      <w:r w:rsidR="003D09B5">
        <w:rPr>
          <w:rFonts w:hint="cs"/>
          <w:rtl/>
        </w:rPr>
        <w:t>'</w:t>
      </w:r>
      <w:r w:rsidR="00DE535A" w:rsidRPr="00600D22">
        <w:rPr>
          <w:rFonts w:hint="cs"/>
          <w:rtl/>
        </w:rPr>
        <w:t xml:space="preserve"> נסקרים בהרחבה זיווגי האלים עם בנות האדם וצאצאיהם הגיבורים</w:t>
      </w:r>
      <w:r w:rsidR="00E851B4" w:rsidRPr="00600D22">
        <w:rPr>
          <w:rFonts w:hint="cs"/>
          <w:rtl/>
        </w:rPr>
        <w:t xml:space="preserve">. </w:t>
      </w:r>
      <w:r w:rsidR="00065C38" w:rsidRPr="00600D22">
        <w:rPr>
          <w:rFonts w:hint="cs"/>
          <w:rtl/>
        </w:rPr>
        <w:t xml:space="preserve">אולם בזאת לא מצויה ההקבלה </w:t>
      </w:r>
      <w:r w:rsidR="00ED54C3" w:rsidRPr="00600D22">
        <w:rPr>
          <w:rFonts w:hint="cs"/>
          <w:rtl/>
        </w:rPr>
        <w:t xml:space="preserve">החשובה ביותר </w:t>
      </w:r>
      <w:r w:rsidR="0082785D" w:rsidRPr="00600D22">
        <w:rPr>
          <w:rFonts w:hint="cs"/>
          <w:rtl/>
        </w:rPr>
        <w:t xml:space="preserve">בין </w:t>
      </w:r>
      <w:r w:rsidR="003D09B5">
        <w:rPr>
          <w:rFonts w:hint="cs"/>
          <w:rtl/>
        </w:rPr>
        <w:t>'</w:t>
      </w:r>
      <w:r w:rsidR="0082785D" w:rsidRPr="00600D22">
        <w:rPr>
          <w:rFonts w:hint="cs"/>
          <w:rtl/>
        </w:rPr>
        <w:t>קטלוג הנשים</w:t>
      </w:r>
      <w:r w:rsidR="003D09B5">
        <w:rPr>
          <w:rFonts w:hint="cs"/>
          <w:rtl/>
        </w:rPr>
        <w:t>'</w:t>
      </w:r>
      <w:r w:rsidR="0082785D" w:rsidRPr="00600D22">
        <w:rPr>
          <w:rFonts w:hint="cs"/>
          <w:rtl/>
        </w:rPr>
        <w:t xml:space="preserve"> לבין בר</w:t>
      </w:r>
      <w:r w:rsidR="003D09B5">
        <w:rPr>
          <w:rFonts w:hint="cs"/>
          <w:rtl/>
        </w:rPr>
        <w:t>אשית</w:t>
      </w:r>
      <w:r w:rsidR="0082785D" w:rsidRPr="00600D22">
        <w:rPr>
          <w:rFonts w:hint="cs"/>
          <w:rtl/>
        </w:rPr>
        <w:t xml:space="preserve"> ו 1</w:t>
      </w:r>
      <w:r w:rsidR="0082785D" w:rsidRPr="00600D22">
        <w:rPr>
          <w:rtl/>
        </w:rPr>
        <w:softHyphen/>
      </w:r>
      <w:r w:rsidR="0082785D" w:rsidRPr="00600D22">
        <w:rPr>
          <w:rFonts w:hint="cs"/>
          <w:rtl/>
        </w:rPr>
        <w:t>–4</w:t>
      </w:r>
      <w:r w:rsidR="00065C38" w:rsidRPr="00600D22">
        <w:rPr>
          <w:rFonts w:hint="cs"/>
          <w:rtl/>
        </w:rPr>
        <w:t>, שהרי בספרויות העולם יש דוגמאות רבות לס</w:t>
      </w:r>
      <w:r w:rsidR="00C72CF8" w:rsidRPr="00600D22">
        <w:rPr>
          <w:rFonts w:hint="cs"/>
          <w:rtl/>
        </w:rPr>
        <w:t>י</w:t>
      </w:r>
      <w:r w:rsidR="00065C38" w:rsidRPr="00600D22">
        <w:rPr>
          <w:rFonts w:hint="cs"/>
          <w:rtl/>
        </w:rPr>
        <w:t>פורים על זיווגים בין אלים ואלות לבין בני תמותה.</w:t>
      </w:r>
      <w:r w:rsidR="00F37048" w:rsidRPr="00600D22">
        <w:rPr>
          <w:rStyle w:val="FootnoteReference"/>
          <w:rtl/>
        </w:rPr>
        <w:footnoteReference w:id="18"/>
      </w:r>
      <w:r w:rsidR="00065C38" w:rsidRPr="00600D22">
        <w:rPr>
          <w:rFonts w:hint="cs"/>
          <w:rtl/>
        </w:rPr>
        <w:t xml:space="preserve"> </w:t>
      </w:r>
      <w:r w:rsidR="00065C38" w:rsidRPr="00600D22">
        <w:rPr>
          <w:rFonts w:hint="cs"/>
          <w:rtl/>
        </w:rPr>
        <w:lastRenderedPageBreak/>
        <w:t xml:space="preserve">מאידך </w:t>
      </w:r>
      <w:r w:rsidR="009A3A15" w:rsidRPr="00600D22">
        <w:rPr>
          <w:rFonts w:hint="cs"/>
          <w:rtl/>
        </w:rPr>
        <w:t xml:space="preserve">גיסא </w:t>
      </w:r>
      <w:r w:rsidR="00065C38" w:rsidRPr="00600D22">
        <w:rPr>
          <w:rFonts w:hint="cs"/>
          <w:rtl/>
        </w:rPr>
        <w:t>קשה להאמין שסיפור כמו זה המצוי בבר</w:t>
      </w:r>
      <w:r w:rsidR="003D09B5">
        <w:rPr>
          <w:rFonts w:hint="cs"/>
          <w:rtl/>
        </w:rPr>
        <w:t>אשית</w:t>
      </w:r>
      <w:r w:rsidR="00065C38" w:rsidRPr="00600D22">
        <w:rPr>
          <w:rFonts w:hint="cs"/>
          <w:rtl/>
        </w:rPr>
        <w:t xml:space="preserve"> ו, שבו ראש האלים מסתייג ממפגש</w:t>
      </w:r>
      <w:r w:rsidR="00707CE9" w:rsidRPr="00600D22">
        <w:rPr>
          <w:rFonts w:hint="cs"/>
          <w:rtl/>
        </w:rPr>
        <w:t>י האלים עם בנות התמותה, יימצא ב</w:t>
      </w:r>
      <w:r w:rsidR="00065C38" w:rsidRPr="00600D22">
        <w:rPr>
          <w:rFonts w:hint="cs"/>
          <w:rtl/>
        </w:rPr>
        <w:t xml:space="preserve">תרבויות מרובות האלים הסובבות את ישראל. ולכן </w:t>
      </w:r>
      <w:r w:rsidR="00490256" w:rsidRPr="00600D22">
        <w:rPr>
          <w:rFonts w:hint="cs"/>
          <w:rtl/>
        </w:rPr>
        <w:t>היו מי שהחשיב</w:t>
      </w:r>
      <w:r w:rsidR="00707CE9" w:rsidRPr="00600D22">
        <w:rPr>
          <w:rFonts w:hint="cs"/>
          <w:rtl/>
        </w:rPr>
        <w:t>ו</w:t>
      </w:r>
      <w:r w:rsidR="00490256" w:rsidRPr="00600D22">
        <w:rPr>
          <w:rFonts w:hint="cs"/>
          <w:rtl/>
        </w:rPr>
        <w:t xml:space="preserve"> את</w:t>
      </w:r>
      <w:r w:rsidR="00065C38" w:rsidRPr="00600D22">
        <w:rPr>
          <w:rFonts w:hint="cs"/>
          <w:rtl/>
        </w:rPr>
        <w:t xml:space="preserve"> בר</w:t>
      </w:r>
      <w:r w:rsidR="003D09B5">
        <w:rPr>
          <w:rFonts w:hint="cs"/>
          <w:rtl/>
        </w:rPr>
        <w:t>אשית</w:t>
      </w:r>
      <w:r w:rsidR="00065C38" w:rsidRPr="00600D22">
        <w:rPr>
          <w:rFonts w:hint="cs"/>
          <w:rtl/>
        </w:rPr>
        <w:t xml:space="preserve"> ו 1</w:t>
      </w:r>
      <w:r w:rsidR="00065C38" w:rsidRPr="00600D22">
        <w:rPr>
          <w:rFonts w:hint="eastAsia"/>
          <w:rtl/>
        </w:rPr>
        <w:t>–</w:t>
      </w:r>
      <w:r w:rsidR="00065C38" w:rsidRPr="00600D22">
        <w:rPr>
          <w:rFonts w:hint="cs"/>
          <w:rtl/>
        </w:rPr>
        <w:t>4</w:t>
      </w:r>
      <w:r w:rsidR="00490256" w:rsidRPr="00600D22">
        <w:rPr>
          <w:rFonts w:hint="cs"/>
          <w:rtl/>
        </w:rPr>
        <w:t>, ובמיוחד את דברי ה'</w:t>
      </w:r>
      <w:r w:rsidR="003D09B5">
        <w:rPr>
          <w:rFonts w:hint="cs"/>
          <w:rtl/>
        </w:rPr>
        <w:t xml:space="preserve"> בפסוק 3</w:t>
      </w:r>
      <w:r w:rsidR="00490256" w:rsidRPr="00600D22">
        <w:rPr>
          <w:rFonts w:hint="cs"/>
          <w:rtl/>
        </w:rPr>
        <w:t>,</w:t>
      </w:r>
      <w:r w:rsidR="00065C38" w:rsidRPr="00600D22">
        <w:rPr>
          <w:rFonts w:hint="cs"/>
          <w:rtl/>
        </w:rPr>
        <w:t xml:space="preserve"> ליצירה ישראלית מקורית </w:t>
      </w:r>
      <w:r w:rsidR="00065C38" w:rsidRPr="00600D22">
        <w:rPr>
          <w:rFonts w:hint="eastAsia"/>
          <w:rtl/>
        </w:rPr>
        <w:t>–</w:t>
      </w:r>
      <w:r w:rsidR="004D4DA2" w:rsidRPr="00600D22">
        <w:rPr>
          <w:rFonts w:hint="cs"/>
          <w:rtl/>
        </w:rPr>
        <w:t xml:space="preserve"> פרי יצירתה של ההגות המונות</w:t>
      </w:r>
      <w:r w:rsidR="003D09B5">
        <w:rPr>
          <w:rFonts w:hint="cs"/>
          <w:rtl/>
        </w:rPr>
        <w:t>י</w:t>
      </w:r>
      <w:r w:rsidR="00065C38" w:rsidRPr="00600D22">
        <w:rPr>
          <w:rFonts w:hint="cs"/>
          <w:rtl/>
        </w:rPr>
        <w:t>איסטית.</w:t>
      </w:r>
      <w:r w:rsidR="005E408B" w:rsidRPr="00600D22">
        <w:rPr>
          <w:rStyle w:val="FootnoteReference"/>
          <w:rtl/>
        </w:rPr>
        <w:footnoteReference w:id="19"/>
      </w:r>
      <w:r w:rsidR="00065C38" w:rsidRPr="00600D22">
        <w:rPr>
          <w:rFonts w:hint="cs"/>
          <w:rtl/>
        </w:rPr>
        <w:t xml:space="preserve"> כך סברו עד שנתגלה פפירוס ברלין 10560.</w:t>
      </w:r>
    </w:p>
    <w:p w:rsidR="00E06FDE" w:rsidRPr="00600D22" w:rsidRDefault="00490256" w:rsidP="00064813">
      <w:pPr>
        <w:widowControl w:val="0"/>
        <w:spacing w:line="480" w:lineRule="auto"/>
        <w:ind w:firstLine="397"/>
        <w:rPr>
          <w:rtl/>
        </w:rPr>
      </w:pPr>
      <w:r w:rsidRPr="00600D22">
        <w:rPr>
          <w:rFonts w:hint="cs"/>
          <w:rtl/>
        </w:rPr>
        <w:t xml:space="preserve">קטע </w:t>
      </w:r>
      <w:r w:rsidR="00065C38" w:rsidRPr="00600D22">
        <w:rPr>
          <w:rFonts w:hint="cs"/>
          <w:rtl/>
        </w:rPr>
        <w:t xml:space="preserve">פפירוס </w:t>
      </w:r>
      <w:r w:rsidRPr="00600D22">
        <w:rPr>
          <w:rFonts w:hint="cs"/>
          <w:rtl/>
        </w:rPr>
        <w:t>זה</w:t>
      </w:r>
      <w:r w:rsidR="00E06FDE" w:rsidRPr="00600D22">
        <w:rPr>
          <w:rFonts w:hint="cs"/>
          <w:rtl/>
        </w:rPr>
        <w:t xml:space="preserve"> </w:t>
      </w:r>
      <w:r w:rsidR="00065C38" w:rsidRPr="00600D22">
        <w:rPr>
          <w:rFonts w:hint="cs"/>
          <w:rtl/>
        </w:rPr>
        <w:t>מספר על הסיבה האלוהית למלחמת טרויה. הדברים באים אחרי סיפור הלנֵה ומחזריה</w:t>
      </w:r>
      <w:r w:rsidR="00AA5829" w:rsidRPr="00600D22">
        <w:rPr>
          <w:rFonts w:hint="cs"/>
          <w:rtl/>
        </w:rPr>
        <w:t>,</w:t>
      </w:r>
      <w:r w:rsidR="00707CE9" w:rsidRPr="00600D22">
        <w:rPr>
          <w:rFonts w:hint="cs"/>
          <w:rtl/>
        </w:rPr>
        <w:t xml:space="preserve"> הרומז ל</w:t>
      </w:r>
      <w:r w:rsidR="00065C38" w:rsidRPr="00600D22">
        <w:rPr>
          <w:rFonts w:hint="cs"/>
          <w:rtl/>
        </w:rPr>
        <w:t>סיבה הארצית למלחמה</w:t>
      </w:r>
      <w:r w:rsidR="00E06FDE" w:rsidRPr="00600D22">
        <w:rPr>
          <w:rFonts w:hint="cs"/>
          <w:rtl/>
        </w:rPr>
        <w:t xml:space="preserve"> (</w:t>
      </w:r>
      <w:r w:rsidR="00E06FDE" w:rsidRPr="00600D22">
        <w:t>F 204 M</w:t>
      </w:r>
      <w:r w:rsidR="00AA5829" w:rsidRPr="00600D22">
        <w:t>–</w:t>
      </w:r>
      <w:r w:rsidR="00E06FDE" w:rsidRPr="00600D22">
        <w:t>W = P.</w:t>
      </w:r>
      <w:r w:rsidR="00AA5829" w:rsidRPr="00600D22">
        <w:t xml:space="preserve"> </w:t>
      </w:r>
      <w:r w:rsidR="00E06FDE" w:rsidRPr="00600D22">
        <w:t>Berol. 10560</w:t>
      </w:r>
      <w:r w:rsidR="00E06FDE" w:rsidRPr="00600D22">
        <w:rPr>
          <w:rFonts w:hint="cs"/>
          <w:rtl/>
        </w:rPr>
        <w:t>):</w:t>
      </w:r>
    </w:p>
    <w:p w:rsidR="00A304CF" w:rsidRPr="00772147" w:rsidRDefault="00A304CF" w:rsidP="00DA3173">
      <w:pPr>
        <w:widowControl w:val="0"/>
        <w:bidi w:val="0"/>
        <w:spacing w:line="480" w:lineRule="auto"/>
        <w:ind w:left="680" w:rightChars="567" w:right="1247"/>
        <w:rPr>
          <w:rFonts w:eastAsia="Times New Roman"/>
          <w:lang w:val="el-GR"/>
        </w:rPr>
      </w:pPr>
    </w:p>
    <w:p w:rsidR="00274ACD" w:rsidRPr="00600D22" w:rsidRDefault="00F253DC" w:rsidP="00DA3173">
      <w:pPr>
        <w:widowControl w:val="0"/>
        <w:spacing w:line="480" w:lineRule="auto"/>
        <w:ind w:left="680" w:rightChars="567" w:right="1247"/>
        <w:rPr>
          <w:rtl/>
        </w:rPr>
      </w:pPr>
      <w:r w:rsidRPr="00CE1AE5">
        <w:rPr>
          <w:rFonts w:hint="cs"/>
          <w:vertAlign w:val="subscript"/>
          <w:rtl/>
        </w:rPr>
        <w:t>(</w:t>
      </w:r>
      <w:r w:rsidR="00274ACD" w:rsidRPr="00CE1AE5">
        <w:rPr>
          <w:rFonts w:hint="cs"/>
          <w:vertAlign w:val="subscript"/>
          <w:rtl/>
        </w:rPr>
        <w:t>95</w:t>
      </w:r>
      <w:r w:rsidRPr="00CE1AE5">
        <w:rPr>
          <w:rFonts w:hint="cs"/>
          <w:vertAlign w:val="subscript"/>
          <w:rtl/>
        </w:rPr>
        <w:t>)</w:t>
      </w:r>
      <w:r w:rsidR="00274ACD" w:rsidRPr="00600D22">
        <w:rPr>
          <w:rFonts w:hint="cs"/>
          <w:rtl/>
        </w:rPr>
        <w:t xml:space="preserve"> [...] וכל האלים נתפלגו במחלוקת</w:t>
      </w:r>
    </w:p>
    <w:p w:rsidR="00274ACD" w:rsidRPr="00600D22" w:rsidRDefault="00274ACD" w:rsidP="00DA3173">
      <w:pPr>
        <w:widowControl w:val="0"/>
        <w:spacing w:line="480" w:lineRule="auto"/>
        <w:ind w:left="680" w:rightChars="567" w:right="1247"/>
        <w:rPr>
          <w:rtl/>
        </w:rPr>
      </w:pPr>
      <w:r w:rsidRPr="00600D22">
        <w:rPr>
          <w:rFonts w:hint="cs"/>
          <w:rtl/>
        </w:rPr>
        <w:t>ור</w:t>
      </w:r>
      <w:r w:rsidR="00E831B6">
        <w:rPr>
          <w:rFonts w:hint="cs"/>
          <w:rtl/>
        </w:rPr>
        <w:t>יב. שהרי אז תָכַן עלילות נפלאות</w:t>
      </w:r>
    </w:p>
    <w:p w:rsidR="00274ACD" w:rsidRPr="00600D22" w:rsidRDefault="00274ACD" w:rsidP="00DA3173">
      <w:pPr>
        <w:widowControl w:val="0"/>
        <w:spacing w:line="480" w:lineRule="auto"/>
        <w:ind w:left="680" w:rightChars="567" w:right="1247"/>
        <w:rPr>
          <w:rtl/>
        </w:rPr>
      </w:pPr>
      <w:r w:rsidRPr="00600D22">
        <w:rPr>
          <w:rFonts w:hint="cs"/>
          <w:rtl/>
        </w:rPr>
        <w:t>זאוס המרעים ב</w:t>
      </w:r>
      <w:r w:rsidR="00E831B6">
        <w:rPr>
          <w:rFonts w:hint="cs"/>
          <w:rtl/>
        </w:rPr>
        <w:t>מרומים, לבלול מהומה על פני הארץ</w:t>
      </w:r>
    </w:p>
    <w:p w:rsidR="00274ACD" w:rsidRPr="00600D22" w:rsidRDefault="00274ACD" w:rsidP="00DA3173">
      <w:pPr>
        <w:widowControl w:val="0"/>
        <w:spacing w:line="480" w:lineRule="auto"/>
        <w:ind w:left="680" w:rightChars="567" w:right="1247"/>
        <w:rPr>
          <w:rtl/>
        </w:rPr>
      </w:pPr>
      <w:r w:rsidRPr="00600D22">
        <w:rPr>
          <w:rFonts w:hint="cs"/>
          <w:rtl/>
        </w:rPr>
        <w:t xml:space="preserve">רחבת הידיים, ואת </w:t>
      </w:r>
      <w:r w:rsidR="008172CA" w:rsidRPr="00600D22">
        <w:rPr>
          <w:rFonts w:hint="cs"/>
          <w:rtl/>
        </w:rPr>
        <w:t>ה</w:t>
      </w:r>
      <w:r w:rsidRPr="00600D22">
        <w:rPr>
          <w:rFonts w:hint="cs"/>
          <w:rtl/>
        </w:rPr>
        <w:t xml:space="preserve">גזע </w:t>
      </w:r>
      <w:r w:rsidR="008172CA" w:rsidRPr="00600D22">
        <w:rPr>
          <w:rFonts w:hint="cs"/>
          <w:rtl/>
        </w:rPr>
        <w:t>הרב</w:t>
      </w:r>
      <w:r w:rsidR="002C613A" w:rsidRPr="00600D22">
        <w:rPr>
          <w:rStyle w:val="FootnoteReference"/>
          <w:rtl/>
        </w:rPr>
        <w:footnoteReference w:id="20"/>
      </w:r>
      <w:r w:rsidR="008172CA" w:rsidRPr="00600D22">
        <w:rPr>
          <w:rFonts w:hint="cs"/>
          <w:rtl/>
        </w:rPr>
        <w:t xml:space="preserve"> של בני האדם</w:t>
      </w:r>
      <w:r w:rsidRPr="00600D22">
        <w:rPr>
          <w:rFonts w:hint="cs"/>
          <w:rtl/>
        </w:rPr>
        <w:t>,</w:t>
      </w:r>
    </w:p>
    <w:p w:rsidR="00274ACD" w:rsidRPr="00600D22" w:rsidRDefault="00274ACD" w:rsidP="00DA3173">
      <w:pPr>
        <w:widowControl w:val="0"/>
        <w:spacing w:line="480" w:lineRule="auto"/>
        <w:ind w:left="680" w:rightChars="567" w:right="1247"/>
        <w:rPr>
          <w:rtl/>
        </w:rPr>
      </w:pPr>
      <w:r w:rsidRPr="00600D22">
        <w:rPr>
          <w:rFonts w:hint="cs"/>
          <w:rtl/>
        </w:rPr>
        <w:lastRenderedPageBreak/>
        <w:t>הניחנים בדיבור, כבר אץ למחות, כאמתלה</w:t>
      </w:r>
      <w:r w:rsidR="001D4CFF" w:rsidRPr="00600D22">
        <w:rPr>
          <w:rStyle w:val="FootnoteReference"/>
          <w:rtl/>
        </w:rPr>
        <w:footnoteReference w:id="21"/>
      </w:r>
      <w:r w:rsidR="00E831B6">
        <w:rPr>
          <w:rFonts w:hint="cs"/>
          <w:rtl/>
        </w:rPr>
        <w:t xml:space="preserve"> להשמיד</w:t>
      </w:r>
    </w:p>
    <w:p w:rsidR="00274ACD" w:rsidRPr="00600D22" w:rsidRDefault="00F253DC" w:rsidP="00DA3173">
      <w:pPr>
        <w:widowControl w:val="0"/>
        <w:spacing w:line="480" w:lineRule="auto"/>
        <w:ind w:left="680" w:rightChars="567" w:right="1247"/>
        <w:rPr>
          <w:rtl/>
        </w:rPr>
      </w:pPr>
      <w:r w:rsidRPr="00CE1AE5">
        <w:rPr>
          <w:rFonts w:hint="cs"/>
          <w:vertAlign w:val="subscript"/>
          <w:rtl/>
        </w:rPr>
        <w:t>(</w:t>
      </w:r>
      <w:r w:rsidR="00274ACD" w:rsidRPr="00CE1AE5">
        <w:rPr>
          <w:rFonts w:hint="cs"/>
          <w:vertAlign w:val="subscript"/>
          <w:rtl/>
        </w:rPr>
        <w:t>100</w:t>
      </w:r>
      <w:r w:rsidRPr="00CE1AE5">
        <w:rPr>
          <w:rFonts w:hint="cs"/>
          <w:vertAlign w:val="subscript"/>
          <w:rtl/>
        </w:rPr>
        <w:t>)</w:t>
      </w:r>
      <w:r w:rsidR="00274ACD" w:rsidRPr="00600D22">
        <w:rPr>
          <w:rFonts w:hint="cs"/>
          <w:b/>
          <w:bCs/>
          <w:vertAlign w:val="superscript"/>
          <w:rtl/>
        </w:rPr>
        <w:t xml:space="preserve"> </w:t>
      </w:r>
      <w:r w:rsidR="00274ACD" w:rsidRPr="00600D22">
        <w:rPr>
          <w:rFonts w:hint="cs"/>
          <w:rtl/>
        </w:rPr>
        <w:t>את נפש האלים</w:t>
      </w:r>
      <w:r w:rsidR="00076438" w:rsidRPr="00600D22">
        <w:rPr>
          <w:rFonts w:hint="cs"/>
          <w:rtl/>
        </w:rPr>
        <w:t>-</w:t>
      </w:r>
      <w:r w:rsidR="00547EC4" w:rsidRPr="00600D22">
        <w:rPr>
          <w:rFonts w:hint="cs"/>
          <w:rtl/>
        </w:rPr>
        <w:t xml:space="preserve">למחצה. [ </w:t>
      </w:r>
      <w:r w:rsidR="00076438" w:rsidRPr="00600D22">
        <w:rPr>
          <w:rFonts w:hint="cs"/>
          <w:rtl/>
        </w:rPr>
        <w:t xml:space="preserve">  </w:t>
      </w:r>
      <w:r w:rsidR="00274ACD" w:rsidRPr="00600D22">
        <w:rPr>
          <w:rFonts w:hint="cs"/>
          <w:rtl/>
        </w:rPr>
        <w:t xml:space="preserve">] עם בני התמותה </w:t>
      </w:r>
      <w:r w:rsidR="00FB3C26" w:rsidRPr="00600D22">
        <w:rPr>
          <w:rFonts w:hint="cs"/>
          <w:rtl/>
        </w:rPr>
        <w:t>ה</w:t>
      </w:r>
      <w:r w:rsidR="00274ACD" w:rsidRPr="00600D22">
        <w:rPr>
          <w:rFonts w:hint="cs"/>
          <w:rtl/>
        </w:rPr>
        <w:t>[</w:t>
      </w:r>
      <w:r w:rsidR="00FB3C26" w:rsidRPr="00600D22">
        <w:rPr>
          <w:rFonts w:hint="cs"/>
          <w:rtl/>
        </w:rPr>
        <w:t xml:space="preserve">... </w:t>
      </w:r>
      <w:r w:rsidR="00274ACD" w:rsidRPr="00600D22">
        <w:rPr>
          <w:rFonts w:hint="cs"/>
          <w:rtl/>
        </w:rPr>
        <w:t xml:space="preserve">] </w:t>
      </w:r>
      <w:r w:rsidR="00274ACD" w:rsidRPr="00600D22">
        <w:rPr>
          <w:rFonts w:hint="eastAsia"/>
          <w:rtl/>
        </w:rPr>
        <w:t>–</w:t>
      </w:r>
    </w:p>
    <w:p w:rsidR="00274ACD" w:rsidRPr="00600D22" w:rsidRDefault="00274ACD" w:rsidP="00DA3173">
      <w:pPr>
        <w:widowControl w:val="0"/>
        <w:spacing w:line="480" w:lineRule="auto"/>
        <w:ind w:left="680" w:rightChars="567" w:right="1247"/>
        <w:rPr>
          <w:rtl/>
        </w:rPr>
      </w:pPr>
      <w:r w:rsidRPr="00600D22">
        <w:rPr>
          <w:rFonts w:hint="cs"/>
          <w:rtl/>
        </w:rPr>
        <w:t>יש[כבו?]</w:t>
      </w:r>
      <w:r w:rsidR="000E70D9" w:rsidRPr="000E70D9">
        <w:rPr>
          <w:rStyle w:val="FootnoteReference"/>
          <w:rFonts w:eastAsia="Times New Roman"/>
        </w:rPr>
        <w:t xml:space="preserve"> </w:t>
      </w:r>
      <w:r w:rsidR="000E70D9" w:rsidRPr="00600D22">
        <w:rPr>
          <w:rStyle w:val="FootnoteReference"/>
          <w:rFonts w:eastAsia="Times New Roman"/>
        </w:rPr>
        <w:footnoteReference w:id="22"/>
      </w:r>
      <w:r w:rsidRPr="00600D22">
        <w:rPr>
          <w:rFonts w:hint="cs"/>
          <w:rtl/>
        </w:rPr>
        <w:t xml:space="preserve"> בני האלים, הרואים בעיניהם [         ].</w:t>
      </w:r>
    </w:p>
    <w:p w:rsidR="00274ACD" w:rsidRPr="00600D22" w:rsidRDefault="00274ACD" w:rsidP="00DA3173">
      <w:pPr>
        <w:widowControl w:val="0"/>
        <w:spacing w:line="480" w:lineRule="auto"/>
        <w:ind w:left="680" w:rightChars="567" w:right="1247"/>
        <w:rPr>
          <w:rtl/>
        </w:rPr>
      </w:pPr>
      <w:r w:rsidRPr="00600D22">
        <w:rPr>
          <w:rFonts w:hint="cs"/>
          <w:rtl/>
        </w:rPr>
        <w:t>אך (האלים) הברו</w:t>
      </w:r>
      <w:r w:rsidR="00E831B6">
        <w:rPr>
          <w:rFonts w:hint="cs"/>
          <w:rtl/>
        </w:rPr>
        <w:t>כים [לעתיד לבוא], כמו בימי קדם,</w:t>
      </w:r>
    </w:p>
    <w:p w:rsidR="00274ACD" w:rsidRPr="00600D22" w:rsidRDefault="00274ACD" w:rsidP="00DA3173">
      <w:pPr>
        <w:widowControl w:val="0"/>
        <w:spacing w:line="480" w:lineRule="auto"/>
        <w:ind w:left="680" w:rightChars="567" w:right="1247"/>
        <w:rPr>
          <w:rtl/>
        </w:rPr>
      </w:pPr>
      <w:r w:rsidRPr="00600D22">
        <w:rPr>
          <w:rFonts w:hint="cs"/>
          <w:rtl/>
        </w:rPr>
        <w:t>ייפרדו מבני האדם בחייהם ובמנהגיהם.</w:t>
      </w:r>
    </w:p>
    <w:p w:rsidR="00274ACD" w:rsidRPr="00600D22" w:rsidRDefault="00274ACD" w:rsidP="00DA3173">
      <w:pPr>
        <w:widowControl w:val="0"/>
        <w:spacing w:line="480" w:lineRule="auto"/>
        <w:ind w:left="680" w:rightChars="567" w:right="1247"/>
        <w:rPr>
          <w:rFonts w:eastAsia="Times New Roman"/>
          <w:rtl/>
        </w:rPr>
      </w:pPr>
      <w:r w:rsidRPr="00600D22">
        <w:rPr>
          <w:rFonts w:eastAsia="Times New Roman" w:hint="cs"/>
          <w:rtl/>
        </w:rPr>
        <w:t>[...]</w:t>
      </w:r>
    </w:p>
    <w:p w:rsidR="00274ACD" w:rsidRPr="00600D22" w:rsidRDefault="00F253DC" w:rsidP="00140874">
      <w:pPr>
        <w:widowControl w:val="0"/>
        <w:spacing w:line="480" w:lineRule="auto"/>
        <w:ind w:left="680" w:rightChars="567" w:right="1247"/>
        <w:rPr>
          <w:rFonts w:eastAsia="Times New Roman"/>
          <w:rtl/>
        </w:rPr>
      </w:pPr>
      <w:r w:rsidRPr="00CE1AE5">
        <w:rPr>
          <w:rFonts w:eastAsia="Times New Roman" w:hint="cs"/>
          <w:vertAlign w:val="subscript"/>
          <w:rtl/>
        </w:rPr>
        <w:t>(</w:t>
      </w:r>
      <w:r w:rsidR="00274ACD" w:rsidRPr="00CE1AE5">
        <w:rPr>
          <w:rFonts w:eastAsia="Times New Roman" w:hint="cs"/>
          <w:vertAlign w:val="subscript"/>
          <w:rtl/>
        </w:rPr>
        <w:t>110</w:t>
      </w:r>
      <w:r w:rsidRPr="00CE1AE5">
        <w:rPr>
          <w:rFonts w:eastAsia="Times New Roman" w:hint="cs"/>
          <w:vertAlign w:val="subscript"/>
          <w:rtl/>
        </w:rPr>
        <w:t>)</w:t>
      </w:r>
      <w:r w:rsidR="00274ACD" w:rsidRPr="00600D22">
        <w:rPr>
          <w:rFonts w:eastAsia="Times New Roman" w:hint="cs"/>
          <w:rtl/>
        </w:rPr>
        <w:t xml:space="preserve"> ...יעלה על [האניות] השחורות</w:t>
      </w:r>
    </w:p>
    <w:p w:rsidR="00274ACD" w:rsidRPr="00600D22" w:rsidRDefault="00274ACD" w:rsidP="00DA3173">
      <w:pPr>
        <w:widowControl w:val="0"/>
        <w:spacing w:line="480" w:lineRule="auto"/>
        <w:ind w:left="680" w:rightChars="567" w:right="1247"/>
        <w:rPr>
          <w:rFonts w:eastAsia="Times New Roman"/>
          <w:rtl/>
        </w:rPr>
      </w:pPr>
      <w:r w:rsidRPr="00600D22">
        <w:rPr>
          <w:rFonts w:eastAsia="Times New Roman" w:hint="cs"/>
          <w:rtl/>
        </w:rPr>
        <w:t>[...]</w:t>
      </w:r>
    </w:p>
    <w:p w:rsidR="00274ACD" w:rsidRPr="00600D22" w:rsidRDefault="00274ACD" w:rsidP="00DA3173">
      <w:pPr>
        <w:widowControl w:val="0"/>
        <w:spacing w:line="480" w:lineRule="auto"/>
        <w:ind w:left="680" w:rightChars="567" w:right="1247"/>
        <w:rPr>
          <w:rtl/>
        </w:rPr>
      </w:pPr>
      <w:r w:rsidRPr="00600D22">
        <w:rPr>
          <w:rFonts w:hint="cs"/>
          <w:rtl/>
        </w:rPr>
        <w:t>לשלוח להדס בחרב ראשים רבים</w:t>
      </w:r>
    </w:p>
    <w:p w:rsidR="00274ACD" w:rsidRPr="00424B4B" w:rsidRDefault="00274ACD" w:rsidP="00DA3173">
      <w:pPr>
        <w:widowControl w:val="0"/>
        <w:spacing w:line="480" w:lineRule="auto"/>
        <w:ind w:left="680" w:rightChars="567" w:right="1247"/>
        <w:rPr>
          <w:rtl/>
        </w:rPr>
      </w:pPr>
      <w:r w:rsidRPr="00600D22">
        <w:rPr>
          <w:rFonts w:hint="cs"/>
          <w:rtl/>
        </w:rPr>
        <w:t>של אנשים גיבורים הנופלים בקרב</w:t>
      </w:r>
      <w:r w:rsidR="00424B4B" w:rsidRPr="00600D22">
        <w:rPr>
          <w:rStyle w:val="FootnoteReference"/>
          <w:rFonts w:eastAsia="Times New Roman"/>
        </w:rPr>
        <w:footnoteReference w:id="23"/>
      </w:r>
    </w:p>
    <w:p w:rsidR="00562DF6" w:rsidRPr="00600D22" w:rsidRDefault="00562DF6" w:rsidP="00064813">
      <w:pPr>
        <w:widowControl w:val="0"/>
        <w:spacing w:line="480" w:lineRule="auto"/>
        <w:ind w:left="567" w:rightChars="567" w:right="1247"/>
        <w:rPr>
          <w:rFonts w:eastAsia="Times New Roman"/>
          <w:rtl/>
        </w:rPr>
      </w:pPr>
    </w:p>
    <w:p w:rsidR="00065C38" w:rsidRPr="00600D22" w:rsidRDefault="00664A4A" w:rsidP="004E205D">
      <w:pPr>
        <w:widowControl w:val="0"/>
        <w:spacing w:line="480" w:lineRule="auto"/>
        <w:rPr>
          <w:rtl/>
        </w:rPr>
      </w:pPr>
      <w:r w:rsidRPr="00600D22">
        <w:rPr>
          <w:rFonts w:hint="cs"/>
          <w:rtl/>
        </w:rPr>
        <w:t xml:space="preserve">על פי המסופר </w:t>
      </w:r>
      <w:r w:rsidR="00065C38" w:rsidRPr="00600D22">
        <w:rPr>
          <w:rFonts w:hint="cs"/>
          <w:rtl/>
        </w:rPr>
        <w:t xml:space="preserve">החליט </w:t>
      </w:r>
      <w:r w:rsidR="004E205D" w:rsidRPr="00600D22">
        <w:rPr>
          <w:rFonts w:hint="cs"/>
          <w:rtl/>
        </w:rPr>
        <w:t xml:space="preserve">זאוס </w:t>
      </w:r>
      <w:r w:rsidR="00065C38" w:rsidRPr="00600D22">
        <w:rPr>
          <w:rFonts w:hint="cs"/>
          <w:rtl/>
        </w:rPr>
        <w:t xml:space="preserve">לשים קץ לדור הגיבורים ולתקופה </w:t>
      </w:r>
      <w:r w:rsidR="0008057C" w:rsidRPr="00600D22">
        <w:rPr>
          <w:rFonts w:hint="cs"/>
          <w:rtl/>
        </w:rPr>
        <w:t>ש</w:t>
      </w:r>
      <w:r w:rsidR="00065C38" w:rsidRPr="00600D22">
        <w:rPr>
          <w:rFonts w:hint="cs"/>
          <w:rtl/>
        </w:rPr>
        <w:t>בה הילכו האלים והאדם יחדיו.</w:t>
      </w:r>
      <w:r w:rsidR="009E7850" w:rsidRPr="00600D22">
        <w:rPr>
          <w:rStyle w:val="FootnoteReference"/>
          <w:rtl/>
        </w:rPr>
        <w:footnoteReference w:id="24"/>
      </w:r>
      <w:r w:rsidR="00065C38" w:rsidRPr="00600D22">
        <w:rPr>
          <w:rFonts w:hint="cs"/>
          <w:rtl/>
        </w:rPr>
        <w:t xml:space="preserve"> הוא ביקש למחות את כל בני האדם</w:t>
      </w:r>
      <w:r w:rsidR="006B588F" w:rsidRPr="00600D22">
        <w:rPr>
          <w:rFonts w:hint="cs"/>
          <w:rtl/>
        </w:rPr>
        <w:t xml:space="preserve"> (שורות 98–99, </w:t>
      </w:r>
      <w:proofErr w:type="spellStart"/>
      <w:r w:rsidR="006B588F" w:rsidRPr="00600D22">
        <w:rPr>
          <w:rFonts w:eastAsia="Times New Roman"/>
        </w:rPr>
        <w:t>γένος</w:t>
      </w:r>
      <w:proofErr w:type="spellEnd"/>
      <w:r w:rsidR="006B588F" w:rsidRPr="00600D22">
        <w:rPr>
          <w:rFonts w:eastAsia="Times New Roman"/>
        </w:rPr>
        <w:t xml:space="preserve"> </w:t>
      </w:r>
      <w:proofErr w:type="spellStart"/>
      <w:r w:rsidR="006B588F" w:rsidRPr="00600D22">
        <w:rPr>
          <w:rFonts w:eastAsia="Times New Roman"/>
        </w:rPr>
        <w:t>μερόπων</w:t>
      </w:r>
      <w:proofErr w:type="spellEnd"/>
      <w:r w:rsidR="006B588F" w:rsidRPr="00600D22">
        <w:rPr>
          <w:rFonts w:eastAsia="Times New Roman"/>
        </w:rPr>
        <w:t xml:space="preserve"> </w:t>
      </w:r>
      <w:proofErr w:type="spellStart"/>
      <w:r w:rsidR="006B588F" w:rsidRPr="00600D22">
        <w:rPr>
          <w:rFonts w:eastAsia="Times New Roman"/>
        </w:rPr>
        <w:t>ἀνθρώπων</w:t>
      </w:r>
      <w:proofErr w:type="spellEnd"/>
      <w:r w:rsidR="006B588F" w:rsidRPr="00600D22">
        <w:rPr>
          <w:rFonts w:eastAsia="Times New Roman"/>
        </w:rPr>
        <w:t xml:space="preserve"> </w:t>
      </w:r>
      <w:proofErr w:type="spellStart"/>
      <w:r w:rsidR="006B588F" w:rsidRPr="00600D22">
        <w:rPr>
          <w:rFonts w:eastAsia="Times New Roman"/>
        </w:rPr>
        <w:t>πολλὸν</w:t>
      </w:r>
      <w:proofErr w:type="spellEnd"/>
      <w:r w:rsidR="006B588F" w:rsidRPr="00600D22">
        <w:rPr>
          <w:rFonts w:eastAsia="Times New Roman"/>
        </w:rPr>
        <w:t xml:space="preserve"> </w:t>
      </w:r>
      <w:proofErr w:type="spellStart"/>
      <w:r w:rsidR="006B588F" w:rsidRPr="00600D22">
        <w:rPr>
          <w:rFonts w:eastAsia="Times New Roman"/>
        </w:rPr>
        <w:t>ἀϊστῶσαι</w:t>
      </w:r>
      <w:proofErr w:type="spellEnd"/>
      <w:r w:rsidR="006B588F" w:rsidRPr="00600D22">
        <w:rPr>
          <w:rFonts w:eastAsia="Times New Roman"/>
        </w:rPr>
        <w:t xml:space="preserve"> </w:t>
      </w:r>
      <w:proofErr w:type="spellStart"/>
      <w:r w:rsidR="006B588F" w:rsidRPr="00600D22">
        <w:rPr>
          <w:rFonts w:eastAsia="Times New Roman"/>
        </w:rPr>
        <w:t>σ̣π̣ε̣ῦ̣δ̣ε</w:t>
      </w:r>
      <w:proofErr w:type="spellEnd"/>
      <w:r w:rsidR="006B588F" w:rsidRPr="00600D22">
        <w:rPr>
          <w:rFonts w:eastAsia="Times New Roman"/>
        </w:rPr>
        <w:t>̣</w:t>
      </w:r>
      <w:r w:rsidR="006B588F" w:rsidRPr="00600D22">
        <w:rPr>
          <w:rFonts w:hint="cs"/>
          <w:rtl/>
        </w:rPr>
        <w:t>)</w:t>
      </w:r>
      <w:r w:rsidR="00065C38" w:rsidRPr="00600D22">
        <w:rPr>
          <w:rFonts w:hint="cs"/>
          <w:rtl/>
        </w:rPr>
        <w:t>, וכל זאת כי אמר להשמיד את חצאי האלים, הם בניהם של האלים ובנות התמותה</w:t>
      </w:r>
      <w:r w:rsidR="006B588F" w:rsidRPr="00600D22">
        <w:rPr>
          <w:rFonts w:hint="cs"/>
          <w:rtl/>
        </w:rPr>
        <w:t xml:space="preserve"> (שורות 99</w:t>
      </w:r>
      <w:r w:rsidR="00BF5F9C" w:rsidRPr="00600D22">
        <w:rPr>
          <w:rFonts w:hint="eastAsia"/>
          <w:rtl/>
        </w:rPr>
        <w:t>–</w:t>
      </w:r>
      <w:r w:rsidR="006B588F" w:rsidRPr="00600D22">
        <w:rPr>
          <w:rFonts w:hint="cs"/>
          <w:rtl/>
        </w:rPr>
        <w:softHyphen/>
        <w:t xml:space="preserve">100, </w:t>
      </w:r>
      <w:proofErr w:type="spellStart"/>
      <w:r w:rsidR="006B588F" w:rsidRPr="00600D22">
        <w:rPr>
          <w:rFonts w:eastAsia="Times New Roman"/>
        </w:rPr>
        <w:t>π̣ρ</w:t>
      </w:r>
      <w:proofErr w:type="spellEnd"/>
      <w:r w:rsidR="006B588F" w:rsidRPr="00600D22">
        <w:rPr>
          <w:rFonts w:eastAsia="Times New Roman"/>
        </w:rPr>
        <w:t>̣[ό]</w:t>
      </w:r>
      <w:proofErr w:type="spellStart"/>
      <w:r w:rsidR="006B588F" w:rsidRPr="00600D22">
        <w:rPr>
          <w:rFonts w:eastAsia="Times New Roman"/>
        </w:rPr>
        <w:t>φασιν</w:t>
      </w:r>
      <w:proofErr w:type="spellEnd"/>
      <w:r w:rsidR="006B588F" w:rsidRPr="00600D22">
        <w:rPr>
          <w:rFonts w:eastAsia="Times New Roman"/>
        </w:rPr>
        <w:t xml:space="preserve"> </w:t>
      </w:r>
      <w:proofErr w:type="spellStart"/>
      <w:r w:rsidR="006B588F" w:rsidRPr="00600D22">
        <w:rPr>
          <w:rFonts w:eastAsia="Times New Roman"/>
        </w:rPr>
        <w:t>μὲν</w:t>
      </w:r>
      <w:proofErr w:type="spellEnd"/>
      <w:r w:rsidR="006B588F" w:rsidRPr="00600D22">
        <w:rPr>
          <w:rFonts w:eastAsia="Times New Roman"/>
        </w:rPr>
        <w:t xml:space="preserve"> </w:t>
      </w:r>
      <w:proofErr w:type="spellStart"/>
      <w:r w:rsidR="006B588F" w:rsidRPr="00600D22">
        <w:rPr>
          <w:rFonts w:eastAsia="Times New Roman"/>
        </w:rPr>
        <w:t>ὀλέσθαι</w:t>
      </w:r>
      <w:proofErr w:type="spellEnd"/>
      <w:r w:rsidR="006B588F" w:rsidRPr="00600D22">
        <w:rPr>
          <w:rFonts w:eastAsia="Times New Roman"/>
        </w:rPr>
        <w:t xml:space="preserve"> </w:t>
      </w:r>
      <w:proofErr w:type="spellStart"/>
      <w:r w:rsidR="006B588F" w:rsidRPr="00600D22">
        <w:rPr>
          <w:rFonts w:eastAsia="Times New Roman"/>
        </w:rPr>
        <w:t>ψυχὰς</w:t>
      </w:r>
      <w:proofErr w:type="spellEnd"/>
      <w:r w:rsidR="006B588F" w:rsidRPr="00600D22">
        <w:rPr>
          <w:rFonts w:eastAsia="Times New Roman"/>
        </w:rPr>
        <w:t xml:space="preserve"> </w:t>
      </w:r>
      <w:proofErr w:type="spellStart"/>
      <w:r w:rsidR="006B588F" w:rsidRPr="00600D22">
        <w:rPr>
          <w:rFonts w:eastAsia="Times New Roman"/>
        </w:rPr>
        <w:t>ἡμιθέω</w:t>
      </w:r>
      <w:proofErr w:type="spellEnd"/>
      <w:r w:rsidR="006B588F" w:rsidRPr="00600D22">
        <w:rPr>
          <w:rFonts w:eastAsia="Times New Roman"/>
        </w:rPr>
        <w:t>[ν</w:t>
      </w:r>
      <w:r w:rsidR="006B588F" w:rsidRPr="00600D22">
        <w:rPr>
          <w:rFonts w:hint="cs"/>
          <w:rtl/>
        </w:rPr>
        <w:t>)</w:t>
      </w:r>
      <w:r w:rsidR="00065C38" w:rsidRPr="00600D22">
        <w:rPr>
          <w:rFonts w:hint="cs"/>
          <w:rtl/>
        </w:rPr>
        <w:t xml:space="preserve">. גם אם נתעלם מן ההשלמה המסופקת בשורה 101, ברור כי זאוס </w:t>
      </w:r>
      <w:r w:rsidR="00CE6466" w:rsidRPr="00600D22">
        <w:rPr>
          <w:rFonts w:hint="cs"/>
          <w:rtl/>
        </w:rPr>
        <w:t xml:space="preserve">לא </w:t>
      </w:r>
      <w:r w:rsidR="00065C38" w:rsidRPr="00600D22">
        <w:rPr>
          <w:rFonts w:hint="cs"/>
          <w:rtl/>
        </w:rPr>
        <w:t>חפץ עוד בבואם של האלים אל בנות האדם, ו</w:t>
      </w:r>
      <w:r w:rsidR="00CB4620" w:rsidRPr="00600D22">
        <w:rPr>
          <w:rFonts w:hint="cs"/>
          <w:rtl/>
        </w:rPr>
        <w:t>ל</w:t>
      </w:r>
      <w:r w:rsidR="00065C38" w:rsidRPr="00600D22">
        <w:rPr>
          <w:rFonts w:hint="cs"/>
          <w:rtl/>
        </w:rPr>
        <w:t xml:space="preserve">כן </w:t>
      </w:r>
      <w:r w:rsidR="00B72A03" w:rsidRPr="00600D22">
        <w:rPr>
          <w:rFonts w:hint="cs"/>
          <w:rtl/>
        </w:rPr>
        <w:t>הורה ל</w:t>
      </w:r>
      <w:r w:rsidR="00065C38" w:rsidRPr="00600D22">
        <w:rPr>
          <w:rFonts w:hint="cs"/>
          <w:rtl/>
        </w:rPr>
        <w:t>אלים לחיות בנפרד מבני האדם (שו</w:t>
      </w:r>
      <w:r w:rsidR="006B588F" w:rsidRPr="00600D22">
        <w:rPr>
          <w:rFonts w:hint="cs"/>
          <w:rtl/>
        </w:rPr>
        <w:t>רות</w:t>
      </w:r>
      <w:r w:rsidR="00065C38" w:rsidRPr="00600D22">
        <w:rPr>
          <w:rFonts w:hint="cs"/>
          <w:rtl/>
        </w:rPr>
        <w:t xml:space="preserve"> 103</w:t>
      </w:r>
      <w:r w:rsidR="00065C38" w:rsidRPr="00600D22">
        <w:rPr>
          <w:rFonts w:hint="eastAsia"/>
          <w:rtl/>
        </w:rPr>
        <w:t>–</w:t>
      </w:r>
      <w:r w:rsidR="00065C38" w:rsidRPr="00600D22">
        <w:rPr>
          <w:rFonts w:hint="cs"/>
          <w:rtl/>
        </w:rPr>
        <w:t xml:space="preserve">104). מאזכור 'האניות השחורות' המפורסמות של </w:t>
      </w:r>
      <w:r w:rsidR="00065C38" w:rsidRPr="00600D22">
        <w:rPr>
          <w:rFonts w:hint="cs"/>
          <w:rtl/>
        </w:rPr>
        <w:lastRenderedPageBreak/>
        <w:t>היוונים (שורה 110</w:t>
      </w:r>
      <w:r w:rsidR="006B588F" w:rsidRPr="00600D22">
        <w:rPr>
          <w:rFonts w:hint="cs"/>
          <w:rtl/>
        </w:rPr>
        <w:t xml:space="preserve">, </w:t>
      </w:r>
      <w:proofErr w:type="spellStart"/>
      <w:r w:rsidR="006B588F" w:rsidRPr="00600D22">
        <w:rPr>
          <w:rFonts w:eastAsia="Times New Roman"/>
        </w:rPr>
        <w:t>νηῶν</w:t>
      </w:r>
      <w:proofErr w:type="spellEnd"/>
      <w:r w:rsidR="006B588F" w:rsidRPr="00600D22">
        <w:rPr>
          <w:rFonts w:eastAsia="Times New Roman"/>
        </w:rPr>
        <w:t xml:space="preserve"> </w:t>
      </w:r>
      <w:proofErr w:type="spellStart"/>
      <w:r w:rsidR="006B588F" w:rsidRPr="00600D22">
        <w:rPr>
          <w:rFonts w:eastAsia="Times New Roman"/>
        </w:rPr>
        <w:t>δὲ</w:t>
      </w:r>
      <w:proofErr w:type="spellEnd"/>
      <w:r w:rsidR="006B588F" w:rsidRPr="00600D22">
        <w:rPr>
          <w:rFonts w:eastAsia="Times New Roman"/>
        </w:rPr>
        <w:t xml:space="preserve">] </w:t>
      </w:r>
      <w:proofErr w:type="spellStart"/>
      <w:r w:rsidR="006B588F" w:rsidRPr="00600D22">
        <w:rPr>
          <w:rFonts w:eastAsia="Times New Roman"/>
        </w:rPr>
        <w:t>μ̣ελαιν̣άων</w:t>
      </w:r>
      <w:proofErr w:type="spellEnd"/>
      <w:r w:rsidR="00065C38" w:rsidRPr="00600D22">
        <w:rPr>
          <w:rFonts w:hint="cs"/>
          <w:rtl/>
        </w:rPr>
        <w:t xml:space="preserve">), ומן ההמשך </w:t>
      </w:r>
      <w:r w:rsidR="00295974">
        <w:rPr>
          <w:rFonts w:hint="cs"/>
          <w:rtl/>
        </w:rPr>
        <w:t>"</w:t>
      </w:r>
      <w:r w:rsidR="00065C38" w:rsidRPr="00600D22">
        <w:rPr>
          <w:rFonts w:hint="cs"/>
          <w:rtl/>
        </w:rPr>
        <w:t xml:space="preserve">לשלוח להדס בחרב </w:t>
      </w:r>
      <w:r w:rsidR="0008057C" w:rsidRPr="00600D22">
        <w:rPr>
          <w:rFonts w:hint="cs"/>
          <w:rtl/>
        </w:rPr>
        <w:t>[</w:t>
      </w:r>
      <w:r w:rsidR="00065C38" w:rsidRPr="00600D22">
        <w:rPr>
          <w:rFonts w:hint="cs"/>
          <w:rtl/>
        </w:rPr>
        <w:t>...</w:t>
      </w:r>
      <w:r w:rsidR="0008057C" w:rsidRPr="00600D22">
        <w:rPr>
          <w:rFonts w:hint="cs"/>
          <w:rtl/>
        </w:rPr>
        <w:t>]</w:t>
      </w:r>
      <w:r w:rsidR="00065C38" w:rsidRPr="00600D22">
        <w:rPr>
          <w:rFonts w:hint="cs"/>
          <w:rtl/>
        </w:rPr>
        <w:t xml:space="preserve"> אנשים גיבורים הנופלים בקרב</w:t>
      </w:r>
      <w:r w:rsidR="00295974">
        <w:rPr>
          <w:rFonts w:hint="cs"/>
          <w:rtl/>
        </w:rPr>
        <w:t>"</w:t>
      </w:r>
      <w:r w:rsidR="00065C38" w:rsidRPr="00600D22">
        <w:rPr>
          <w:rFonts w:hint="cs"/>
          <w:rtl/>
        </w:rPr>
        <w:t xml:space="preserve"> (118</w:t>
      </w:r>
      <w:r w:rsidR="00065C38" w:rsidRPr="00600D22">
        <w:rPr>
          <w:rFonts w:hint="eastAsia"/>
          <w:rtl/>
        </w:rPr>
        <w:t>–</w:t>
      </w:r>
      <w:r w:rsidR="00065C38" w:rsidRPr="00600D22">
        <w:rPr>
          <w:rFonts w:hint="cs"/>
          <w:rtl/>
        </w:rPr>
        <w:t>119</w:t>
      </w:r>
      <w:r w:rsidR="006B588F" w:rsidRPr="00600D22">
        <w:rPr>
          <w:rFonts w:hint="cs"/>
          <w:rtl/>
        </w:rPr>
        <w:t xml:space="preserve">, </w:t>
      </w:r>
      <w:r w:rsidR="006B588F" w:rsidRPr="00600D22">
        <w:rPr>
          <w:rFonts w:eastAsia="Times New Roman"/>
        </w:rPr>
        <w:t>π]</w:t>
      </w:r>
      <w:proofErr w:type="spellStart"/>
      <w:r w:rsidR="006B588F" w:rsidRPr="00600D22">
        <w:rPr>
          <w:rFonts w:eastAsia="Times New Roman"/>
        </w:rPr>
        <w:t>ολλ̣ὰς</w:t>
      </w:r>
      <w:proofErr w:type="spellEnd"/>
      <w:r w:rsidR="006B588F" w:rsidRPr="00600D22">
        <w:rPr>
          <w:rFonts w:eastAsia="Times New Roman"/>
        </w:rPr>
        <w:t xml:space="preserve"> </w:t>
      </w:r>
      <w:proofErr w:type="spellStart"/>
      <w:r w:rsidR="006B588F" w:rsidRPr="00600D22">
        <w:rPr>
          <w:rFonts w:eastAsia="Times New Roman"/>
        </w:rPr>
        <w:t>Ἀΐδηι</w:t>
      </w:r>
      <w:proofErr w:type="spellEnd"/>
      <w:r w:rsidR="006B588F" w:rsidRPr="00600D22">
        <w:rPr>
          <w:rFonts w:eastAsia="Times New Roman"/>
        </w:rPr>
        <w:t xml:space="preserve"> </w:t>
      </w:r>
      <w:proofErr w:type="spellStart"/>
      <w:r w:rsidR="006B588F" w:rsidRPr="00600D22">
        <w:rPr>
          <w:rFonts w:eastAsia="Times New Roman"/>
        </w:rPr>
        <w:t>κεφαλὰς</w:t>
      </w:r>
      <w:proofErr w:type="spellEnd"/>
      <w:r w:rsidR="006B588F" w:rsidRPr="00600D22">
        <w:rPr>
          <w:rFonts w:eastAsia="Times New Roman"/>
        </w:rPr>
        <w:t xml:space="preserve"> </w:t>
      </w:r>
      <w:proofErr w:type="spellStart"/>
      <w:r w:rsidR="006B588F" w:rsidRPr="00600D22">
        <w:rPr>
          <w:rFonts w:eastAsia="Times New Roman"/>
        </w:rPr>
        <w:t>ἀπὸ</w:t>
      </w:r>
      <w:proofErr w:type="spellEnd"/>
      <w:r w:rsidR="006B588F" w:rsidRPr="00600D22">
        <w:rPr>
          <w:rFonts w:eastAsia="Times New Roman"/>
        </w:rPr>
        <w:t xml:space="preserve"> </w:t>
      </w:r>
      <w:proofErr w:type="spellStart"/>
      <w:r w:rsidR="006B588F" w:rsidRPr="00600D22">
        <w:rPr>
          <w:rFonts w:eastAsia="Times New Roman"/>
        </w:rPr>
        <w:t>χαλκὸν</w:t>
      </w:r>
      <w:proofErr w:type="spellEnd"/>
      <w:r w:rsidR="006B588F" w:rsidRPr="00600D22">
        <w:rPr>
          <w:rFonts w:eastAsia="Times New Roman"/>
        </w:rPr>
        <w:t xml:space="preserve"> </w:t>
      </w:r>
      <w:proofErr w:type="spellStart"/>
      <w:r w:rsidR="006B588F" w:rsidRPr="00600D22">
        <w:rPr>
          <w:rFonts w:eastAsia="Times New Roman"/>
        </w:rPr>
        <w:t>ἰάψ</w:t>
      </w:r>
      <w:proofErr w:type="spellEnd"/>
      <w:r w:rsidR="006B588F" w:rsidRPr="00600D22">
        <w:rPr>
          <w:rFonts w:eastAsia="Times New Roman"/>
        </w:rPr>
        <w:t>[</w:t>
      </w:r>
      <w:proofErr w:type="spellStart"/>
      <w:r w:rsidR="006B588F" w:rsidRPr="00600D22">
        <w:rPr>
          <w:rFonts w:eastAsia="Times New Roman"/>
        </w:rPr>
        <w:t>ει</w:t>
      </w:r>
      <w:proofErr w:type="spellEnd"/>
      <w:r w:rsidR="006B588F" w:rsidRPr="00600D22">
        <w:rPr>
          <w:rFonts w:eastAsia="Times New Roman"/>
        </w:rPr>
        <w:t xml:space="preserve">]ν </w:t>
      </w:r>
      <w:proofErr w:type="spellStart"/>
      <w:r w:rsidR="006B588F" w:rsidRPr="00600D22">
        <w:rPr>
          <w:rFonts w:eastAsia="Times New Roman"/>
        </w:rPr>
        <w:t>ἀν</w:t>
      </w:r>
      <w:proofErr w:type="spellEnd"/>
      <w:r w:rsidR="006B588F" w:rsidRPr="00600D22">
        <w:rPr>
          <w:rFonts w:eastAsia="Times New Roman"/>
        </w:rPr>
        <w:t>]</w:t>
      </w:r>
      <w:proofErr w:type="spellStart"/>
      <w:r w:rsidR="006B588F" w:rsidRPr="00600D22">
        <w:rPr>
          <w:rFonts w:eastAsia="Times New Roman"/>
        </w:rPr>
        <w:t>δ̣ρ̣ῶν</w:t>
      </w:r>
      <w:proofErr w:type="spellEnd"/>
      <w:r w:rsidR="006B588F" w:rsidRPr="00600D22">
        <w:rPr>
          <w:rFonts w:eastAsia="Times New Roman"/>
        </w:rPr>
        <w:t xml:space="preserve"> </w:t>
      </w:r>
      <w:proofErr w:type="spellStart"/>
      <w:r w:rsidR="006B588F" w:rsidRPr="00600D22">
        <w:rPr>
          <w:rFonts w:eastAsia="Times New Roman"/>
        </w:rPr>
        <w:t>ἡ̣ρ̣ώων</w:t>
      </w:r>
      <w:proofErr w:type="spellEnd"/>
      <w:r w:rsidR="006B588F" w:rsidRPr="00600D22">
        <w:rPr>
          <w:rFonts w:eastAsia="Times New Roman"/>
        </w:rPr>
        <w:t xml:space="preserve"> </w:t>
      </w:r>
      <w:proofErr w:type="spellStart"/>
      <w:r w:rsidR="006B588F" w:rsidRPr="00600D22">
        <w:rPr>
          <w:rFonts w:eastAsia="Times New Roman"/>
        </w:rPr>
        <w:t>ἐν</w:t>
      </w:r>
      <w:proofErr w:type="spellEnd"/>
      <w:r w:rsidR="006B588F" w:rsidRPr="00600D22">
        <w:rPr>
          <w:rFonts w:eastAsia="Times New Roman"/>
        </w:rPr>
        <w:t xml:space="preserve"> </w:t>
      </w:r>
      <w:proofErr w:type="spellStart"/>
      <w:r w:rsidR="006B588F" w:rsidRPr="00600D22">
        <w:rPr>
          <w:rFonts w:eastAsia="Times New Roman"/>
        </w:rPr>
        <w:t>δηϊοτῆτι</w:t>
      </w:r>
      <w:proofErr w:type="spellEnd"/>
      <w:r w:rsidR="006B588F" w:rsidRPr="00600D22">
        <w:rPr>
          <w:rFonts w:eastAsia="Times New Roman"/>
        </w:rPr>
        <w:t xml:space="preserve"> </w:t>
      </w:r>
      <w:proofErr w:type="spellStart"/>
      <w:r w:rsidR="006B588F" w:rsidRPr="00600D22">
        <w:rPr>
          <w:rFonts w:eastAsia="Times New Roman"/>
        </w:rPr>
        <w:t>πεσόντων</w:t>
      </w:r>
      <w:proofErr w:type="spellEnd"/>
      <w:r w:rsidR="006B588F" w:rsidRPr="00600D22">
        <w:rPr>
          <w:rFonts w:eastAsia="Times New Roman"/>
        </w:rPr>
        <w:t>·</w:t>
      </w:r>
      <w:r w:rsidR="00065C38" w:rsidRPr="00600D22">
        <w:rPr>
          <w:rFonts w:hint="cs"/>
          <w:rtl/>
        </w:rPr>
        <w:t xml:space="preserve">), נראה כי </w:t>
      </w:r>
      <w:r w:rsidR="00CE6466" w:rsidRPr="00600D22">
        <w:rPr>
          <w:rFonts w:hint="cs"/>
          <w:rtl/>
        </w:rPr>
        <w:t xml:space="preserve">במלחמת טרויה </w:t>
      </w:r>
      <w:r w:rsidR="00065C38" w:rsidRPr="00600D22">
        <w:rPr>
          <w:rFonts w:hint="cs"/>
          <w:rtl/>
        </w:rPr>
        <w:t>אכן בא הסוף לדור הגיבורים.</w:t>
      </w:r>
    </w:p>
    <w:p w:rsidR="00611530" w:rsidRPr="00600D22" w:rsidRDefault="00626DA5" w:rsidP="00D97606">
      <w:pPr>
        <w:widowControl w:val="0"/>
        <w:spacing w:line="480" w:lineRule="auto"/>
        <w:ind w:firstLine="397"/>
        <w:rPr>
          <w:rtl/>
        </w:rPr>
      </w:pPr>
      <w:r w:rsidRPr="00600D22">
        <w:rPr>
          <w:rFonts w:hint="cs"/>
          <w:rtl/>
        </w:rPr>
        <w:t>ההקבלה לסיפור הקצר בבר</w:t>
      </w:r>
      <w:r w:rsidR="00957DA7">
        <w:rPr>
          <w:rFonts w:hint="cs"/>
          <w:rtl/>
        </w:rPr>
        <w:t>אשית</w:t>
      </w:r>
      <w:r w:rsidRPr="00600D22">
        <w:rPr>
          <w:rFonts w:hint="cs"/>
          <w:rtl/>
        </w:rPr>
        <w:t xml:space="preserve"> ו</w:t>
      </w:r>
      <w:r w:rsidR="00065C38" w:rsidRPr="00600D22">
        <w:rPr>
          <w:rFonts w:hint="cs"/>
          <w:rtl/>
        </w:rPr>
        <w:t xml:space="preserve"> מ</w:t>
      </w:r>
      <w:r w:rsidR="006B588F" w:rsidRPr="00600D22">
        <w:rPr>
          <w:rFonts w:hint="cs"/>
          <w:rtl/>
        </w:rPr>
        <w:t>עוררת השתאות</w:t>
      </w:r>
      <w:r w:rsidR="00065C38" w:rsidRPr="00600D22">
        <w:rPr>
          <w:rFonts w:hint="cs"/>
          <w:rtl/>
        </w:rPr>
        <w:t xml:space="preserve">. בשני המקרים </w:t>
      </w:r>
      <w:r w:rsidR="00664A4A" w:rsidRPr="00600D22">
        <w:rPr>
          <w:rFonts w:hint="cs"/>
          <w:rtl/>
        </w:rPr>
        <w:t>הדמויות</w:t>
      </w:r>
      <w:r w:rsidR="00D97606">
        <w:rPr>
          <w:rFonts w:hint="cs"/>
          <w:rtl/>
        </w:rPr>
        <w:t xml:space="preserve"> בעלות מאפיינים זהים</w:t>
      </w:r>
      <w:r w:rsidR="00DA35F8" w:rsidRPr="00600D22">
        <w:rPr>
          <w:rFonts w:hint="cs"/>
          <w:rtl/>
        </w:rPr>
        <w:t>:</w:t>
      </w:r>
      <w:r w:rsidR="00664A4A" w:rsidRPr="00600D22">
        <w:rPr>
          <w:rFonts w:hint="cs"/>
          <w:rtl/>
        </w:rPr>
        <w:t xml:space="preserve"> </w:t>
      </w:r>
      <w:r w:rsidR="003D2B23" w:rsidRPr="00600D22">
        <w:rPr>
          <w:rFonts w:hint="cs"/>
          <w:rtl/>
        </w:rPr>
        <w:t>הקבוצה הראשונה</w:t>
      </w:r>
      <w:r w:rsidR="002C613A" w:rsidRPr="00600D22">
        <w:rPr>
          <w:rFonts w:hint="cs"/>
          <w:rtl/>
        </w:rPr>
        <w:t xml:space="preserve">, הניצבת בבסיס </w:t>
      </w:r>
      <w:r w:rsidR="00D97606">
        <w:rPr>
          <w:rFonts w:hint="cs"/>
          <w:rtl/>
        </w:rPr>
        <w:t>'</w:t>
      </w:r>
      <w:r w:rsidR="002C613A" w:rsidRPr="00600D22">
        <w:rPr>
          <w:rFonts w:hint="cs"/>
          <w:rtl/>
        </w:rPr>
        <w:t>קטלוג הנשים</w:t>
      </w:r>
      <w:r w:rsidR="00D97606">
        <w:rPr>
          <w:rFonts w:hint="cs"/>
          <w:rtl/>
        </w:rPr>
        <w:t>'</w:t>
      </w:r>
      <w:r w:rsidR="003D2B23" w:rsidRPr="00600D22">
        <w:rPr>
          <w:rFonts w:hint="cs"/>
          <w:rtl/>
        </w:rPr>
        <w:t xml:space="preserve"> </w:t>
      </w:r>
      <w:r w:rsidR="002C613A" w:rsidRPr="00600D22">
        <w:rPr>
          <w:rFonts w:hint="cs"/>
          <w:rtl/>
        </w:rPr>
        <w:t>כולו, ובבר</w:t>
      </w:r>
      <w:r w:rsidR="00957DA7">
        <w:rPr>
          <w:rFonts w:hint="cs"/>
          <w:rtl/>
        </w:rPr>
        <w:t>אשית</w:t>
      </w:r>
      <w:r w:rsidR="002C613A" w:rsidRPr="00600D22">
        <w:rPr>
          <w:rFonts w:hint="cs"/>
          <w:rtl/>
        </w:rPr>
        <w:t xml:space="preserve"> ו 1</w:t>
      </w:r>
      <w:r w:rsidR="002C613A" w:rsidRPr="00600D22">
        <w:rPr>
          <w:rFonts w:hint="eastAsia"/>
          <w:rtl/>
        </w:rPr>
        <w:t>–</w:t>
      </w:r>
      <w:r w:rsidR="002C613A" w:rsidRPr="00600D22">
        <w:rPr>
          <w:rFonts w:hint="cs"/>
          <w:rtl/>
        </w:rPr>
        <w:t xml:space="preserve">4, </w:t>
      </w:r>
      <w:r w:rsidR="003D2B23" w:rsidRPr="00600D22">
        <w:rPr>
          <w:rFonts w:hint="cs"/>
          <w:rtl/>
        </w:rPr>
        <w:t xml:space="preserve">היא </w:t>
      </w:r>
      <w:r w:rsidR="00664A4A" w:rsidRPr="00600D22">
        <w:rPr>
          <w:rFonts w:hint="cs"/>
          <w:rtl/>
        </w:rPr>
        <w:t>בנות האדם</w:t>
      </w:r>
      <w:r w:rsidR="00957DA7">
        <w:rPr>
          <w:rFonts w:hint="cs"/>
          <w:rtl/>
        </w:rPr>
        <w:t>,</w:t>
      </w:r>
      <w:r w:rsidR="00664A4A" w:rsidRPr="00600D22">
        <w:rPr>
          <w:rFonts w:hint="cs"/>
          <w:rtl/>
        </w:rPr>
        <w:t xml:space="preserve"> א</w:t>
      </w:r>
      <w:r w:rsidR="00954ADE" w:rsidRPr="00600D22">
        <w:rPr>
          <w:rFonts w:hint="cs"/>
          <w:rtl/>
        </w:rPr>
        <w:t>י</w:t>
      </w:r>
      <w:r w:rsidR="00674BBB" w:rsidRPr="00600D22">
        <w:rPr>
          <w:rFonts w:hint="cs"/>
          <w:rtl/>
        </w:rPr>
        <w:t>מהות</w:t>
      </w:r>
      <w:r w:rsidR="00664A4A" w:rsidRPr="00600D22">
        <w:rPr>
          <w:rFonts w:hint="cs"/>
          <w:rtl/>
        </w:rPr>
        <w:t xml:space="preserve"> הגיבורים</w:t>
      </w:r>
      <w:r w:rsidR="00DA35F8" w:rsidRPr="00600D22">
        <w:rPr>
          <w:rFonts w:hint="cs"/>
          <w:rtl/>
        </w:rPr>
        <w:t xml:space="preserve">; </w:t>
      </w:r>
      <w:r w:rsidR="003D2B23" w:rsidRPr="00600D22">
        <w:rPr>
          <w:rFonts w:hint="cs"/>
          <w:rtl/>
        </w:rPr>
        <w:t xml:space="preserve">לקבוצה השנייה משתייכים האלים </w:t>
      </w:r>
      <w:r w:rsidR="00664A4A" w:rsidRPr="00600D22">
        <w:rPr>
          <w:rFonts w:hint="cs"/>
          <w:rtl/>
        </w:rPr>
        <w:t>הבאים אל</w:t>
      </w:r>
      <w:r w:rsidR="003D2B23" w:rsidRPr="00600D22">
        <w:rPr>
          <w:rFonts w:hint="cs"/>
          <w:rtl/>
        </w:rPr>
        <w:t xml:space="preserve"> הנשים</w:t>
      </w:r>
      <w:r w:rsidR="00664A4A" w:rsidRPr="00600D22">
        <w:rPr>
          <w:rFonts w:hint="cs"/>
          <w:rtl/>
        </w:rPr>
        <w:t xml:space="preserve">. מעניין כי המחבר היווני </w:t>
      </w:r>
      <w:r w:rsidR="00BF5F9C" w:rsidRPr="00600D22">
        <w:rPr>
          <w:rFonts w:hint="cs"/>
          <w:rtl/>
        </w:rPr>
        <w:t>ה</w:t>
      </w:r>
      <w:r w:rsidR="00664A4A" w:rsidRPr="00600D22">
        <w:rPr>
          <w:rFonts w:hint="cs"/>
          <w:rtl/>
        </w:rPr>
        <w:t xml:space="preserve">שתמש כאן </w:t>
      </w:r>
      <w:r w:rsidR="002477BA" w:rsidRPr="00600D22">
        <w:rPr>
          <w:rFonts w:hint="cs"/>
          <w:rtl/>
        </w:rPr>
        <w:t xml:space="preserve">גם </w:t>
      </w:r>
      <w:r w:rsidR="00664A4A" w:rsidRPr="00600D22">
        <w:rPr>
          <w:rFonts w:hint="cs"/>
          <w:rtl/>
        </w:rPr>
        <w:t>בכינוי</w:t>
      </w:r>
      <w:proofErr w:type="spellStart"/>
      <w:r w:rsidR="00E02C9E" w:rsidRPr="00600D22">
        <w:rPr>
          <w:rFonts w:eastAsia="Times New Roman"/>
        </w:rPr>
        <w:t>τ</w:t>
      </w:r>
      <w:r w:rsidR="00BF5F9C" w:rsidRPr="00600D22">
        <w:rPr>
          <w:rFonts w:eastAsia="Times New Roman"/>
        </w:rPr>
        <w:t>έ</w:t>
      </w:r>
      <w:r w:rsidR="00850B7D" w:rsidRPr="00600D22">
        <w:rPr>
          <w:rFonts w:eastAsia="Times New Roman"/>
        </w:rPr>
        <w:t>κ</w:t>
      </w:r>
      <w:r w:rsidR="00BF5F9C" w:rsidRPr="00600D22">
        <w:rPr>
          <w:rFonts w:eastAsia="Times New Roman"/>
        </w:rPr>
        <w:t>να</w:t>
      </w:r>
      <w:proofErr w:type="spellEnd"/>
      <w:r w:rsidR="00BF5F9C" w:rsidRPr="00600D22">
        <w:rPr>
          <w:rFonts w:eastAsia="Times New Roman"/>
        </w:rPr>
        <w:t xml:space="preserve"> </w:t>
      </w:r>
      <w:proofErr w:type="spellStart"/>
      <w:r w:rsidR="00BF5F9C" w:rsidRPr="00600D22">
        <w:rPr>
          <w:rFonts w:eastAsia="Times New Roman"/>
        </w:rPr>
        <w:t>θεῶν</w:t>
      </w:r>
      <w:proofErr w:type="spellEnd"/>
      <w:r w:rsidR="00BF5F9C" w:rsidRPr="00600D22">
        <w:rPr>
          <w:rFonts w:eastAsia="Times New Roman"/>
        </w:rPr>
        <w:t xml:space="preserve"> </w:t>
      </w:r>
      <w:r w:rsidR="00BF5F9C" w:rsidRPr="00600D22">
        <w:rPr>
          <w:rFonts w:hint="cs"/>
          <w:rtl/>
        </w:rPr>
        <w:t xml:space="preserve"> (שורה 101)</w:t>
      </w:r>
      <w:r w:rsidR="00954ADE" w:rsidRPr="00600D22">
        <w:rPr>
          <w:rFonts w:hint="cs"/>
          <w:rtl/>
        </w:rPr>
        <w:t>,</w:t>
      </w:r>
      <w:r w:rsidR="00BF5F9C" w:rsidRPr="00600D22">
        <w:rPr>
          <w:rFonts w:hint="cs"/>
          <w:rtl/>
        </w:rPr>
        <w:t xml:space="preserve"> </w:t>
      </w:r>
      <w:r w:rsidR="00664A4A" w:rsidRPr="00600D22">
        <w:rPr>
          <w:rFonts w:hint="cs"/>
          <w:rtl/>
        </w:rPr>
        <w:t>המקביל בדיוק ל</w:t>
      </w:r>
      <w:r w:rsidR="00BF5F9C" w:rsidRPr="00600D22">
        <w:rPr>
          <w:rFonts w:hint="cs"/>
          <w:rtl/>
        </w:rPr>
        <w:t>כינוי '</w:t>
      </w:r>
      <w:r w:rsidR="00664A4A" w:rsidRPr="00600D22">
        <w:rPr>
          <w:rFonts w:hint="cs"/>
          <w:rtl/>
        </w:rPr>
        <w:t>בני האל</w:t>
      </w:r>
      <w:r w:rsidR="00F80EED">
        <w:rPr>
          <w:rFonts w:hint="cs"/>
          <w:rtl/>
        </w:rPr>
        <w:t>ו</w:t>
      </w:r>
      <w:r w:rsidR="00664A4A" w:rsidRPr="00600D22">
        <w:rPr>
          <w:rFonts w:hint="cs"/>
          <w:rtl/>
        </w:rPr>
        <w:t>הים</w:t>
      </w:r>
      <w:r w:rsidR="00BF5F9C" w:rsidRPr="00600D22">
        <w:rPr>
          <w:rFonts w:hint="cs"/>
          <w:rtl/>
        </w:rPr>
        <w:t>'</w:t>
      </w:r>
      <w:r w:rsidR="00664A4A" w:rsidRPr="00600D22">
        <w:rPr>
          <w:rFonts w:hint="cs"/>
          <w:rtl/>
        </w:rPr>
        <w:t xml:space="preserve"> בבראשית ו </w:t>
      </w:r>
      <w:r w:rsidR="00BF5F9C" w:rsidRPr="00600D22">
        <w:rPr>
          <w:rFonts w:hint="cs"/>
          <w:rtl/>
        </w:rPr>
        <w:t>2, 4</w:t>
      </w:r>
      <w:r w:rsidR="00F44E5C" w:rsidRPr="00600D22">
        <w:rPr>
          <w:rFonts w:hint="cs"/>
          <w:rtl/>
        </w:rPr>
        <w:t xml:space="preserve"> ולכינוי </w:t>
      </w:r>
      <w:r w:rsidR="003D2B23" w:rsidRPr="00600D22">
        <w:rPr>
          <w:rFonts w:hint="cs"/>
          <w:rtl/>
        </w:rPr>
        <w:t>'בנ אלם'</w:t>
      </w:r>
      <w:r w:rsidR="00954ADE" w:rsidRPr="00600D22">
        <w:rPr>
          <w:rFonts w:hint="cs"/>
          <w:rtl/>
        </w:rPr>
        <w:t>,</w:t>
      </w:r>
      <w:r w:rsidR="00F44E5C" w:rsidRPr="00600D22">
        <w:rPr>
          <w:rFonts w:hint="cs"/>
          <w:rtl/>
        </w:rPr>
        <w:t xml:space="preserve"> ה</w:t>
      </w:r>
      <w:r w:rsidR="00FF0E3E" w:rsidRPr="00600D22">
        <w:rPr>
          <w:rFonts w:hint="cs"/>
          <w:rtl/>
        </w:rPr>
        <w:t>רווח</w:t>
      </w:r>
      <w:r w:rsidR="00F44E5C" w:rsidRPr="00600D22">
        <w:rPr>
          <w:rFonts w:hint="cs"/>
          <w:rtl/>
        </w:rPr>
        <w:t xml:space="preserve"> בספרות ה</w:t>
      </w:r>
      <w:r w:rsidR="003D2B23" w:rsidRPr="00600D22">
        <w:rPr>
          <w:rFonts w:hint="cs"/>
          <w:rtl/>
        </w:rPr>
        <w:t>שמית-מערבית</w:t>
      </w:r>
      <w:r w:rsidR="00F44E5C" w:rsidRPr="00600D22">
        <w:rPr>
          <w:rFonts w:hint="cs"/>
          <w:rtl/>
        </w:rPr>
        <w:t xml:space="preserve"> </w:t>
      </w:r>
      <w:r w:rsidR="003D2B23" w:rsidRPr="00600D22">
        <w:rPr>
          <w:rFonts w:hint="cs"/>
          <w:rtl/>
        </w:rPr>
        <w:t xml:space="preserve">ככינוי </w:t>
      </w:r>
      <w:r w:rsidR="00F44E5C" w:rsidRPr="00600D22">
        <w:rPr>
          <w:rFonts w:hint="cs"/>
          <w:rtl/>
        </w:rPr>
        <w:t>לעדת האלים</w:t>
      </w:r>
      <w:r w:rsidR="00734566" w:rsidRPr="00600D22">
        <w:rPr>
          <w:rFonts w:hint="cs"/>
          <w:rtl/>
        </w:rPr>
        <w:t>;</w:t>
      </w:r>
      <w:r w:rsidR="00664A4A" w:rsidRPr="00600D22">
        <w:rPr>
          <w:rStyle w:val="FootnoteReference"/>
          <w:rtl/>
        </w:rPr>
        <w:footnoteReference w:id="25"/>
      </w:r>
      <w:r w:rsidR="00664A4A" w:rsidRPr="00600D22">
        <w:rPr>
          <w:rFonts w:hint="cs"/>
          <w:rtl/>
        </w:rPr>
        <w:t xml:space="preserve"> </w:t>
      </w:r>
      <w:r w:rsidR="003D2B23" w:rsidRPr="00600D22">
        <w:rPr>
          <w:rFonts w:hint="cs"/>
          <w:rtl/>
        </w:rPr>
        <w:t xml:space="preserve">הקבוצה השלישית הם </w:t>
      </w:r>
      <w:r w:rsidR="00BF5F9C" w:rsidRPr="00600D22">
        <w:rPr>
          <w:rFonts w:hint="cs"/>
          <w:rtl/>
        </w:rPr>
        <w:t xml:space="preserve">בני </w:t>
      </w:r>
      <w:r w:rsidR="003D2B23" w:rsidRPr="00600D22">
        <w:rPr>
          <w:rFonts w:hint="cs"/>
          <w:rtl/>
        </w:rPr>
        <w:t>ה</w:t>
      </w:r>
      <w:r w:rsidR="00BF5F9C" w:rsidRPr="00600D22">
        <w:rPr>
          <w:rFonts w:hint="cs"/>
          <w:rtl/>
        </w:rPr>
        <w:t xml:space="preserve">זיווגים </w:t>
      </w:r>
      <w:r w:rsidR="003D2B23" w:rsidRPr="00600D22">
        <w:rPr>
          <w:rFonts w:hint="cs"/>
          <w:rtl/>
        </w:rPr>
        <w:t>של ה</w:t>
      </w:r>
      <w:r w:rsidR="00F31771" w:rsidRPr="00600D22">
        <w:rPr>
          <w:rFonts w:hint="cs"/>
          <w:rtl/>
        </w:rPr>
        <w:t>דמויות הקודמות</w:t>
      </w:r>
      <w:r w:rsidR="00957DA7">
        <w:rPr>
          <w:rFonts w:hint="cs"/>
          <w:rtl/>
        </w:rPr>
        <w:t>,</w:t>
      </w:r>
      <w:r w:rsidR="00BF5F9C" w:rsidRPr="00600D22">
        <w:rPr>
          <w:rFonts w:hint="cs"/>
          <w:rtl/>
        </w:rPr>
        <w:t xml:space="preserve"> הנקראים במקרא </w:t>
      </w:r>
      <w:r w:rsidR="00295974">
        <w:rPr>
          <w:rFonts w:hint="cs"/>
          <w:rtl/>
        </w:rPr>
        <w:t>"</w:t>
      </w:r>
      <w:r w:rsidR="003D2B23" w:rsidRPr="00600D22">
        <w:rPr>
          <w:rtl/>
        </w:rPr>
        <w:t>הַגִּבֹּרִים אֲשֶׁר מֵעוֹלָם</w:t>
      </w:r>
      <w:r w:rsidR="001E52AA" w:rsidRPr="00600D22">
        <w:rPr>
          <w:rFonts w:hint="cs"/>
          <w:rtl/>
        </w:rPr>
        <w:t xml:space="preserve">, </w:t>
      </w:r>
      <w:r w:rsidR="003D2B23" w:rsidRPr="00600D22">
        <w:rPr>
          <w:rtl/>
        </w:rPr>
        <w:t>אַנְשֵׁי הַשֵּׁם</w:t>
      </w:r>
      <w:r w:rsidR="00295974">
        <w:rPr>
          <w:rFonts w:hint="cs"/>
          <w:rtl/>
        </w:rPr>
        <w:t>"</w:t>
      </w:r>
      <w:r w:rsidR="00BF5F9C" w:rsidRPr="00600D22">
        <w:rPr>
          <w:rFonts w:hint="cs"/>
          <w:rtl/>
        </w:rPr>
        <w:t xml:space="preserve"> </w:t>
      </w:r>
      <w:r w:rsidR="00E9392B" w:rsidRPr="00600D22">
        <w:rPr>
          <w:rFonts w:hint="cs"/>
          <w:rtl/>
        </w:rPr>
        <w:t xml:space="preserve">ובחיבור ההסיודי </w:t>
      </w:r>
      <w:proofErr w:type="spellStart"/>
      <w:r w:rsidR="00E9392B" w:rsidRPr="00600D22">
        <w:rPr>
          <w:rFonts w:eastAsia="Times New Roman"/>
        </w:rPr>
        <w:t>ἡμίθεοι</w:t>
      </w:r>
      <w:proofErr w:type="spellEnd"/>
      <w:r w:rsidR="00140874">
        <w:rPr>
          <w:rFonts w:hint="cs"/>
          <w:rtl/>
        </w:rPr>
        <w:t>,</w:t>
      </w:r>
      <w:r w:rsidR="00E9392B" w:rsidRPr="00600D22">
        <w:rPr>
          <w:rFonts w:hint="cs"/>
          <w:rtl/>
        </w:rPr>
        <w:t xml:space="preserve"> 'אלים למחצה' (שורה 100).</w:t>
      </w:r>
      <w:r w:rsidR="001E52AA" w:rsidRPr="00600D22">
        <w:rPr>
          <w:rStyle w:val="FootnoteReference"/>
          <w:rtl/>
        </w:rPr>
        <w:footnoteReference w:id="26"/>
      </w:r>
      <w:r w:rsidR="00E02C9E" w:rsidRPr="00600D22">
        <w:rPr>
          <w:rFonts w:hint="cs"/>
          <w:rtl/>
        </w:rPr>
        <w:t xml:space="preserve"> </w:t>
      </w:r>
      <w:r w:rsidR="00040DB9" w:rsidRPr="00600D22">
        <w:rPr>
          <w:rFonts w:hint="cs"/>
          <w:rtl/>
        </w:rPr>
        <w:t>בשני המקרים מושמעת הסתייגות מצדו של האל הראשי בעקבות הזיווגים הללו, ו</w:t>
      </w:r>
      <w:r w:rsidR="00065C38" w:rsidRPr="00600D22">
        <w:rPr>
          <w:rFonts w:hint="cs"/>
          <w:rtl/>
        </w:rPr>
        <w:t>בשני המקרים עומד עניין זה לפני כליה גדולה</w:t>
      </w:r>
      <w:r w:rsidR="008D0A89" w:rsidRPr="00600D22">
        <w:rPr>
          <w:rFonts w:hint="cs"/>
          <w:rtl/>
        </w:rPr>
        <w:t xml:space="preserve"> של כלל האנושות באותו דור</w:t>
      </w:r>
      <w:r w:rsidR="00734566" w:rsidRPr="00600D22">
        <w:rPr>
          <w:rFonts w:hint="cs"/>
          <w:rtl/>
        </w:rPr>
        <w:t xml:space="preserve">: </w:t>
      </w:r>
      <w:r w:rsidR="00065C38" w:rsidRPr="00600D22">
        <w:rPr>
          <w:rFonts w:hint="cs"/>
          <w:rtl/>
        </w:rPr>
        <w:t>ב</w:t>
      </w:r>
      <w:r w:rsidR="00957DA7">
        <w:rPr>
          <w:rFonts w:hint="cs"/>
          <w:rtl/>
        </w:rPr>
        <w:t>'</w:t>
      </w:r>
      <w:r w:rsidR="00065C38" w:rsidRPr="00600D22">
        <w:rPr>
          <w:rFonts w:hint="cs"/>
          <w:rtl/>
        </w:rPr>
        <w:t>קטלוג</w:t>
      </w:r>
      <w:r w:rsidR="00065C38" w:rsidRPr="00600D22">
        <w:rPr>
          <w:rFonts w:hint="cs"/>
          <w:b/>
          <w:bCs/>
          <w:rtl/>
        </w:rPr>
        <w:t xml:space="preserve"> </w:t>
      </w:r>
      <w:r w:rsidR="00065C38" w:rsidRPr="00600D22">
        <w:rPr>
          <w:rFonts w:hint="cs"/>
          <w:rtl/>
        </w:rPr>
        <w:t>הנשים</w:t>
      </w:r>
      <w:r w:rsidR="00957DA7">
        <w:rPr>
          <w:rFonts w:hint="cs"/>
          <w:rtl/>
        </w:rPr>
        <w:t>'</w:t>
      </w:r>
      <w:r w:rsidR="00065C38" w:rsidRPr="00600D22">
        <w:rPr>
          <w:rFonts w:hint="cs"/>
          <w:rtl/>
        </w:rPr>
        <w:t xml:space="preserve">, מלחמות הגיבורים </w:t>
      </w:r>
      <w:r w:rsidR="0099445C" w:rsidRPr="00600D22">
        <w:rPr>
          <w:rFonts w:hint="cs"/>
          <w:rtl/>
        </w:rPr>
        <w:t>ש</w:t>
      </w:r>
      <w:r w:rsidR="00065C38" w:rsidRPr="00600D22">
        <w:rPr>
          <w:rFonts w:hint="cs"/>
          <w:rtl/>
        </w:rPr>
        <w:t>בהן ישמידו איש את רעהו, ובסיפור המקראי</w:t>
      </w:r>
      <w:r w:rsidR="004B519D" w:rsidRPr="00600D22">
        <w:rPr>
          <w:rFonts w:hint="cs"/>
          <w:rtl/>
        </w:rPr>
        <w:t xml:space="preserve"> </w:t>
      </w:r>
      <w:r w:rsidR="004B519D" w:rsidRPr="00600D22">
        <w:rPr>
          <w:rFonts w:hint="eastAsia"/>
          <w:rtl/>
        </w:rPr>
        <w:t>–</w:t>
      </w:r>
      <w:r w:rsidR="004B519D" w:rsidRPr="00600D22">
        <w:rPr>
          <w:rtl/>
        </w:rPr>
        <w:softHyphen/>
      </w:r>
      <w:r w:rsidR="00065C38" w:rsidRPr="00600D22">
        <w:rPr>
          <w:rFonts w:hint="cs"/>
          <w:rtl/>
        </w:rPr>
        <w:t xml:space="preserve"> </w:t>
      </w:r>
      <w:r w:rsidR="003B6EEB" w:rsidRPr="00600D22">
        <w:rPr>
          <w:rFonts w:hint="cs"/>
          <w:rtl/>
        </w:rPr>
        <w:t xml:space="preserve">לכל הפחות </w:t>
      </w:r>
      <w:r w:rsidR="00065C38" w:rsidRPr="00600D22">
        <w:rPr>
          <w:rFonts w:hint="cs"/>
          <w:rtl/>
        </w:rPr>
        <w:t>מן ההקשר וסמיכות הפרשיות</w:t>
      </w:r>
      <w:r w:rsidR="004B519D" w:rsidRPr="00600D22">
        <w:rPr>
          <w:rFonts w:hint="cs"/>
          <w:rtl/>
        </w:rPr>
        <w:t xml:space="preserve"> </w:t>
      </w:r>
      <w:r w:rsidR="004B519D" w:rsidRPr="00600D22">
        <w:rPr>
          <w:rFonts w:hint="eastAsia"/>
          <w:rtl/>
        </w:rPr>
        <w:t>–</w:t>
      </w:r>
      <w:r w:rsidR="006E7A5A" w:rsidRPr="00600D22">
        <w:rPr>
          <w:rFonts w:hint="cs"/>
          <w:rtl/>
        </w:rPr>
        <w:t xml:space="preserve"> המבול.</w:t>
      </w:r>
    </w:p>
    <w:p w:rsidR="00065C38" w:rsidRPr="00600D22" w:rsidRDefault="005F2CBE" w:rsidP="00100471">
      <w:pPr>
        <w:widowControl w:val="0"/>
        <w:spacing w:line="480" w:lineRule="auto"/>
        <w:ind w:firstLine="397"/>
        <w:rPr>
          <w:rtl/>
        </w:rPr>
      </w:pPr>
      <w:r w:rsidRPr="00600D22">
        <w:rPr>
          <w:rFonts w:hint="cs"/>
          <w:rtl/>
        </w:rPr>
        <w:t>בחינת תולדות המסורות בחיבור היווני עשוי</w:t>
      </w:r>
      <w:r w:rsidR="00E851B4" w:rsidRPr="00600D22">
        <w:rPr>
          <w:rFonts w:hint="cs"/>
          <w:rtl/>
        </w:rPr>
        <w:t>ה</w:t>
      </w:r>
      <w:r w:rsidRPr="00600D22">
        <w:rPr>
          <w:rFonts w:hint="cs"/>
          <w:rtl/>
        </w:rPr>
        <w:t xml:space="preserve"> לחדד את הדמיון אף יותר ולהסביר</w:t>
      </w:r>
      <w:r w:rsidR="003B6EEB" w:rsidRPr="00600D22">
        <w:rPr>
          <w:rFonts w:hint="cs"/>
          <w:rtl/>
        </w:rPr>
        <w:t xml:space="preserve"> את פשר ההקבלה</w:t>
      </w:r>
      <w:r w:rsidRPr="00600D22">
        <w:rPr>
          <w:rFonts w:hint="cs"/>
          <w:rtl/>
        </w:rPr>
        <w:t xml:space="preserve">. </w:t>
      </w:r>
      <w:r w:rsidR="007478AB" w:rsidRPr="00600D22">
        <w:rPr>
          <w:rFonts w:hint="cs"/>
          <w:rtl/>
        </w:rPr>
        <w:t>ר</w:t>
      </w:r>
      <w:r w:rsidR="00065C38" w:rsidRPr="00600D22">
        <w:rPr>
          <w:rFonts w:hint="cs"/>
          <w:rtl/>
        </w:rPr>
        <w:t xml:space="preserve">אוי לשים לב כי בקטע זה שבסוף </w:t>
      </w:r>
      <w:r w:rsidR="00957DA7">
        <w:rPr>
          <w:rFonts w:hint="cs"/>
          <w:rtl/>
        </w:rPr>
        <w:t>'</w:t>
      </w:r>
      <w:r w:rsidR="00065C38" w:rsidRPr="00600D22">
        <w:rPr>
          <w:rFonts w:hint="cs"/>
          <w:rtl/>
        </w:rPr>
        <w:t>קטלוג הנשים</w:t>
      </w:r>
      <w:r w:rsidR="00957DA7">
        <w:rPr>
          <w:rFonts w:hint="cs"/>
          <w:rtl/>
        </w:rPr>
        <w:t>'</w:t>
      </w:r>
      <w:r w:rsidR="0099445C" w:rsidRPr="00600D22">
        <w:rPr>
          <w:rFonts w:hint="cs"/>
          <w:rtl/>
        </w:rPr>
        <w:t>,</w:t>
      </w:r>
      <w:r w:rsidR="00065C38" w:rsidRPr="00600D22">
        <w:rPr>
          <w:rFonts w:hint="cs"/>
          <w:rtl/>
        </w:rPr>
        <w:t xml:space="preserve"> </w:t>
      </w:r>
      <w:r w:rsidR="0082719B" w:rsidRPr="00600D22">
        <w:rPr>
          <w:rFonts w:hint="cs"/>
          <w:rtl/>
        </w:rPr>
        <w:t xml:space="preserve">המתאר את רצונו של זאוס לכלות את הדור, </w:t>
      </w:r>
      <w:r w:rsidR="00065C38" w:rsidRPr="00600D22">
        <w:rPr>
          <w:rFonts w:hint="cs"/>
          <w:rtl/>
        </w:rPr>
        <w:t>יש שני עניינים חריגים למדי ב</w:t>
      </w:r>
      <w:r w:rsidR="00100471">
        <w:rPr>
          <w:rFonts w:hint="cs"/>
          <w:rtl/>
        </w:rPr>
        <w:t>תוך ה</w:t>
      </w:r>
      <w:r w:rsidR="00065C38" w:rsidRPr="00600D22">
        <w:rPr>
          <w:rFonts w:hint="cs"/>
          <w:rtl/>
        </w:rPr>
        <w:t xml:space="preserve">חיבור גופו, ובמידה רבה גם </w:t>
      </w:r>
      <w:r w:rsidR="00100471" w:rsidRPr="00600D22">
        <w:rPr>
          <w:rFonts w:hint="cs"/>
          <w:rtl/>
        </w:rPr>
        <w:t>ב</w:t>
      </w:r>
      <w:r w:rsidR="00100471">
        <w:rPr>
          <w:rFonts w:hint="cs"/>
          <w:rtl/>
        </w:rPr>
        <w:t>השוואה</w:t>
      </w:r>
      <w:r w:rsidR="00100471" w:rsidRPr="00600D22">
        <w:rPr>
          <w:rFonts w:hint="cs"/>
          <w:rtl/>
        </w:rPr>
        <w:t xml:space="preserve"> </w:t>
      </w:r>
      <w:r w:rsidR="00065C38" w:rsidRPr="00600D22">
        <w:rPr>
          <w:rFonts w:hint="cs"/>
          <w:rtl/>
        </w:rPr>
        <w:t>ל</w:t>
      </w:r>
      <w:r w:rsidR="00284E99" w:rsidRPr="00600D22">
        <w:rPr>
          <w:rFonts w:hint="cs"/>
          <w:rtl/>
        </w:rPr>
        <w:t>מסורות ול</w:t>
      </w:r>
      <w:r w:rsidR="00065C38" w:rsidRPr="00600D22">
        <w:rPr>
          <w:rFonts w:hint="cs"/>
          <w:rtl/>
        </w:rPr>
        <w:t xml:space="preserve">דפוסים הרווחים בספרות היוונית. הראשון נוגע לדמותו של זאוס. </w:t>
      </w:r>
      <w:r w:rsidR="00957DA7">
        <w:rPr>
          <w:rFonts w:hint="cs"/>
          <w:rtl/>
        </w:rPr>
        <w:t>'</w:t>
      </w:r>
      <w:r w:rsidR="00065C38" w:rsidRPr="00600D22">
        <w:rPr>
          <w:rFonts w:hint="cs"/>
          <w:rtl/>
        </w:rPr>
        <w:t>בקטלוג הנשים</w:t>
      </w:r>
      <w:r w:rsidR="00957DA7">
        <w:rPr>
          <w:rFonts w:hint="cs"/>
          <w:rtl/>
        </w:rPr>
        <w:t>'</w:t>
      </w:r>
      <w:r w:rsidR="00B6347E" w:rsidRPr="00600D22">
        <w:rPr>
          <w:rFonts w:hint="cs"/>
          <w:rtl/>
        </w:rPr>
        <w:t>,</w:t>
      </w:r>
      <w:r w:rsidR="00065C38" w:rsidRPr="00600D22">
        <w:rPr>
          <w:rFonts w:hint="cs"/>
          <w:rtl/>
        </w:rPr>
        <w:t xml:space="preserve"> ובספרות </w:t>
      </w:r>
      <w:r w:rsidR="00065C38" w:rsidRPr="00600D22">
        <w:rPr>
          <w:rFonts w:hint="cs"/>
          <w:rtl/>
        </w:rPr>
        <w:lastRenderedPageBreak/>
        <w:t>היוונית בכלל</w:t>
      </w:r>
      <w:r w:rsidR="00B6347E" w:rsidRPr="00600D22">
        <w:rPr>
          <w:rFonts w:hint="cs"/>
          <w:rtl/>
        </w:rPr>
        <w:t>,</w:t>
      </w:r>
      <w:r w:rsidR="00065C38" w:rsidRPr="00600D22">
        <w:rPr>
          <w:rFonts w:hint="cs"/>
          <w:rtl/>
        </w:rPr>
        <w:t xml:space="preserve"> זאוס הוא אחד מן הגיבורים המרכזיים של המפגשים המיניים בין אלים לבנות תמותה, ו</w:t>
      </w:r>
      <w:r w:rsidR="0082719B" w:rsidRPr="00600D22">
        <w:rPr>
          <w:rFonts w:hint="cs"/>
          <w:rtl/>
        </w:rPr>
        <w:t xml:space="preserve">לפיכך </w:t>
      </w:r>
      <w:r w:rsidR="00065C38" w:rsidRPr="00600D22">
        <w:rPr>
          <w:rFonts w:hint="cs"/>
          <w:rtl/>
        </w:rPr>
        <w:t xml:space="preserve">חלק </w:t>
      </w:r>
      <w:r w:rsidR="00032573" w:rsidRPr="00600D22">
        <w:rPr>
          <w:rFonts w:hint="cs"/>
          <w:rtl/>
        </w:rPr>
        <w:t xml:space="preserve">ניכר </w:t>
      </w:r>
      <w:r w:rsidR="00065C38" w:rsidRPr="00600D22">
        <w:rPr>
          <w:rFonts w:hint="cs"/>
          <w:rtl/>
        </w:rPr>
        <w:t>מהגיבורים שביקש להשמיד הם בניו שלו</w:t>
      </w:r>
      <w:r w:rsidR="0081395F" w:rsidRPr="00600D22">
        <w:rPr>
          <w:rFonts w:hint="cs"/>
          <w:rtl/>
        </w:rPr>
        <w:t xml:space="preserve"> אשר נולדו</w:t>
      </w:r>
      <w:r w:rsidR="00065C38" w:rsidRPr="00600D22">
        <w:rPr>
          <w:rFonts w:hint="cs"/>
          <w:rtl/>
        </w:rPr>
        <w:t xml:space="preserve"> </w:t>
      </w:r>
      <w:r w:rsidR="002F336A" w:rsidRPr="00600D22">
        <w:rPr>
          <w:rFonts w:hint="cs"/>
          <w:rtl/>
        </w:rPr>
        <w:t>מ</w:t>
      </w:r>
      <w:r w:rsidR="00065C38" w:rsidRPr="00600D22">
        <w:rPr>
          <w:rFonts w:hint="cs"/>
          <w:rtl/>
        </w:rPr>
        <w:t>המפגשים הללו. רצונו של זאוס</w:t>
      </w:r>
      <w:r w:rsidR="009E0028" w:rsidRPr="00600D22">
        <w:rPr>
          <w:rFonts w:hint="cs"/>
          <w:rtl/>
        </w:rPr>
        <w:t>,</w:t>
      </w:r>
      <w:r w:rsidR="00065C38" w:rsidRPr="00600D22">
        <w:rPr>
          <w:rFonts w:hint="cs"/>
          <w:rtl/>
        </w:rPr>
        <w:t xml:space="preserve"> בסוף </w:t>
      </w:r>
      <w:r w:rsidR="00957DA7">
        <w:rPr>
          <w:rFonts w:hint="cs"/>
          <w:rtl/>
        </w:rPr>
        <w:t>'</w:t>
      </w:r>
      <w:r w:rsidR="00065C38" w:rsidRPr="00600D22">
        <w:rPr>
          <w:rFonts w:hint="cs"/>
          <w:rtl/>
        </w:rPr>
        <w:t>קטלוג הנשים</w:t>
      </w:r>
      <w:r w:rsidR="00957DA7">
        <w:rPr>
          <w:rFonts w:hint="cs"/>
          <w:rtl/>
        </w:rPr>
        <w:t>'</w:t>
      </w:r>
      <w:r w:rsidR="009E0028" w:rsidRPr="00600D22">
        <w:rPr>
          <w:rFonts w:hint="cs"/>
          <w:rtl/>
        </w:rPr>
        <w:t>,</w:t>
      </w:r>
      <w:r w:rsidR="00065C38" w:rsidRPr="00600D22">
        <w:rPr>
          <w:rFonts w:hint="cs"/>
          <w:rtl/>
        </w:rPr>
        <w:t xml:space="preserve"> להפסיק את מעשי הזיווגים הללו </w:t>
      </w:r>
      <w:r w:rsidR="009B0BA5" w:rsidRPr="00600D22">
        <w:rPr>
          <w:rFonts w:hint="cs"/>
          <w:rtl/>
        </w:rPr>
        <w:t xml:space="preserve">אחרי </w:t>
      </w:r>
      <w:r w:rsidR="0099445C" w:rsidRPr="00600D22">
        <w:rPr>
          <w:rFonts w:hint="cs"/>
          <w:rtl/>
        </w:rPr>
        <w:t>ש</w:t>
      </w:r>
      <w:r w:rsidR="00065C38" w:rsidRPr="00600D22">
        <w:rPr>
          <w:rFonts w:hint="cs"/>
          <w:rtl/>
        </w:rPr>
        <w:t xml:space="preserve">לקח בהם </w:t>
      </w:r>
      <w:r w:rsidR="009B0BA5" w:rsidRPr="00600D22">
        <w:rPr>
          <w:rFonts w:hint="cs"/>
          <w:rtl/>
        </w:rPr>
        <w:t>חלק מרכזי</w:t>
      </w:r>
      <w:r w:rsidR="00F31771" w:rsidRPr="00600D22">
        <w:rPr>
          <w:rFonts w:hint="cs"/>
          <w:rtl/>
        </w:rPr>
        <w:t xml:space="preserve"> </w:t>
      </w:r>
      <w:r w:rsidR="008D6F2D" w:rsidRPr="00600D22">
        <w:rPr>
          <w:rFonts w:hint="cs"/>
          <w:rtl/>
        </w:rPr>
        <w:t xml:space="preserve">אינו </w:t>
      </w:r>
      <w:r w:rsidR="00ED5C73" w:rsidRPr="00600D22">
        <w:rPr>
          <w:rFonts w:hint="cs"/>
          <w:rtl/>
        </w:rPr>
        <w:t>ברור</w:t>
      </w:r>
      <w:r w:rsidR="00A9452C" w:rsidRPr="00600D22">
        <w:rPr>
          <w:rFonts w:hint="cs"/>
          <w:rtl/>
        </w:rPr>
        <w:t xml:space="preserve"> כלל</w:t>
      </w:r>
      <w:r w:rsidR="00ED5C73" w:rsidRPr="00600D22">
        <w:rPr>
          <w:rFonts w:hint="cs"/>
          <w:rtl/>
        </w:rPr>
        <w:t xml:space="preserve"> ואינו עולה בקנה אחד עם תיאורו הרווח של זאוס</w:t>
      </w:r>
      <w:r w:rsidR="00065C38" w:rsidRPr="00600D22">
        <w:rPr>
          <w:rFonts w:hint="cs"/>
          <w:rtl/>
        </w:rPr>
        <w:t>.</w:t>
      </w:r>
      <w:r w:rsidR="00FB2D7C" w:rsidRPr="00600D22">
        <w:rPr>
          <w:rFonts w:hint="cs"/>
          <w:rtl/>
        </w:rPr>
        <w:t xml:space="preserve"> </w:t>
      </w:r>
      <w:r w:rsidR="00065C38" w:rsidRPr="00600D22">
        <w:rPr>
          <w:rFonts w:hint="cs"/>
          <w:rtl/>
        </w:rPr>
        <w:t xml:space="preserve">העניין השני נוגע לאמצעי להשגת השמדת האנושות כולה </w:t>
      </w:r>
      <w:r w:rsidR="00065C38" w:rsidRPr="00600D22">
        <w:rPr>
          <w:rFonts w:hint="eastAsia"/>
          <w:rtl/>
        </w:rPr>
        <w:t xml:space="preserve">– </w:t>
      </w:r>
      <w:r w:rsidR="00065C38" w:rsidRPr="00600D22">
        <w:rPr>
          <w:rFonts w:hint="cs"/>
          <w:rtl/>
        </w:rPr>
        <w:t>מלחמת טרויה. רות סקודל, ב</w:t>
      </w:r>
      <w:r w:rsidR="00985EBB" w:rsidRPr="00600D22">
        <w:rPr>
          <w:rFonts w:hint="cs"/>
          <w:rtl/>
        </w:rPr>
        <w:t>דבריה</w:t>
      </w:r>
      <w:r w:rsidR="00065C38" w:rsidRPr="00600D22">
        <w:rPr>
          <w:rFonts w:hint="cs"/>
          <w:rtl/>
        </w:rPr>
        <w:t xml:space="preserve"> על </w:t>
      </w:r>
      <w:r w:rsidR="00985EBB" w:rsidRPr="00600D22">
        <w:rPr>
          <w:rFonts w:hint="cs"/>
          <w:rtl/>
        </w:rPr>
        <w:t>יחידה זו ב</w:t>
      </w:r>
      <w:r w:rsidR="00F80EED">
        <w:rPr>
          <w:rFonts w:hint="cs"/>
          <w:rtl/>
        </w:rPr>
        <w:t>'</w:t>
      </w:r>
      <w:r w:rsidR="00065C38" w:rsidRPr="00600D22">
        <w:rPr>
          <w:rFonts w:hint="cs"/>
          <w:rtl/>
        </w:rPr>
        <w:t>קטלוג הנשים</w:t>
      </w:r>
      <w:r w:rsidR="00B6347E" w:rsidRPr="00600D22">
        <w:rPr>
          <w:rFonts w:hint="cs"/>
          <w:rtl/>
        </w:rPr>
        <w:t>,</w:t>
      </w:r>
      <w:r w:rsidR="00F80EED">
        <w:rPr>
          <w:rFonts w:hint="cs"/>
          <w:rtl/>
        </w:rPr>
        <w:t>'</w:t>
      </w:r>
      <w:r w:rsidR="00065C38" w:rsidRPr="00600D22">
        <w:rPr>
          <w:rFonts w:hint="cs"/>
          <w:rtl/>
        </w:rPr>
        <w:t xml:space="preserve"> טענה נכונה כי מלחמות הן מרכיב מצוי בחיי בני אדם, וגם את ה</w:t>
      </w:r>
      <w:r w:rsidR="000066BF" w:rsidRPr="00600D22">
        <w:rPr>
          <w:rFonts w:hint="cs"/>
          <w:rtl/>
        </w:rPr>
        <w:t>נוראות</w:t>
      </w:r>
      <w:r w:rsidR="00065C38" w:rsidRPr="00600D22">
        <w:rPr>
          <w:rFonts w:hint="cs"/>
          <w:rtl/>
        </w:rPr>
        <w:t xml:space="preserve"> שבמלחמות קשה לצייר כאמצעי להשמדת האנושות כולה. ל</w:t>
      </w:r>
      <w:r w:rsidR="009B0BA5" w:rsidRPr="00600D22">
        <w:rPr>
          <w:rFonts w:hint="cs"/>
          <w:rtl/>
        </w:rPr>
        <w:t>שם השמדת האנושות</w:t>
      </w:r>
      <w:r w:rsidR="00065C38" w:rsidRPr="00600D22">
        <w:rPr>
          <w:rFonts w:hint="cs"/>
          <w:rtl/>
        </w:rPr>
        <w:t xml:space="preserve"> מתבקש היה מאורע על</w:t>
      </w:r>
      <w:r w:rsidR="0099445C" w:rsidRPr="00600D22">
        <w:rPr>
          <w:rFonts w:hint="cs"/>
          <w:rtl/>
        </w:rPr>
        <w:t>-</w:t>
      </w:r>
      <w:r w:rsidR="00065C38" w:rsidRPr="00600D22">
        <w:rPr>
          <w:rFonts w:hint="cs"/>
          <w:rtl/>
        </w:rPr>
        <w:t xml:space="preserve">אנושי ויוצא דופן בעצמתו. </w:t>
      </w:r>
      <w:r w:rsidR="000066BF" w:rsidRPr="00600D22">
        <w:rPr>
          <w:rFonts w:hint="cs"/>
          <w:rtl/>
        </w:rPr>
        <w:t xml:space="preserve">לדבריה </w:t>
      </w:r>
      <w:r w:rsidR="0099445C" w:rsidRPr="00600D22">
        <w:rPr>
          <w:rFonts w:hint="cs"/>
          <w:rtl/>
        </w:rPr>
        <w:t xml:space="preserve">היבט </w:t>
      </w:r>
      <w:r w:rsidR="000066BF" w:rsidRPr="00600D22">
        <w:rPr>
          <w:rFonts w:hint="cs"/>
          <w:rtl/>
        </w:rPr>
        <w:t>זה בתיאור מלחמת טרויה כאמצעי להשמדת האנושות הושפ</w:t>
      </w:r>
      <w:r w:rsidR="00AC200B" w:rsidRPr="00600D22">
        <w:rPr>
          <w:rFonts w:hint="cs"/>
          <w:rtl/>
        </w:rPr>
        <w:t>ע</w:t>
      </w:r>
      <w:r w:rsidR="000066BF" w:rsidRPr="00600D22">
        <w:rPr>
          <w:rFonts w:hint="cs"/>
          <w:rtl/>
        </w:rPr>
        <w:t xml:space="preserve"> מסיפור המבול המזרחי</w:t>
      </w:r>
      <w:r w:rsidR="0099445C" w:rsidRPr="00600D22">
        <w:rPr>
          <w:rFonts w:hint="cs"/>
          <w:rtl/>
        </w:rPr>
        <w:t>,</w:t>
      </w:r>
      <w:r w:rsidR="000066BF" w:rsidRPr="00600D22">
        <w:rPr>
          <w:rFonts w:hint="cs"/>
          <w:rtl/>
        </w:rPr>
        <w:t xml:space="preserve"> שהחל לחלחל מן המזרח הקדום </w:t>
      </w:r>
      <w:r w:rsidR="008441FD" w:rsidRPr="00600D22">
        <w:rPr>
          <w:rFonts w:hint="cs"/>
          <w:rtl/>
        </w:rPr>
        <w:t xml:space="preserve">לעולם היווני </w:t>
      </w:r>
      <w:r w:rsidR="000066BF" w:rsidRPr="00600D22">
        <w:rPr>
          <w:rFonts w:hint="cs"/>
          <w:rtl/>
        </w:rPr>
        <w:t>בתקופה הארכאית.</w:t>
      </w:r>
      <w:r w:rsidR="00C07CA9" w:rsidRPr="00600D22">
        <w:rPr>
          <w:rStyle w:val="FootnoteReference"/>
          <w:rtl/>
        </w:rPr>
        <w:footnoteReference w:id="27"/>
      </w:r>
    </w:p>
    <w:p w:rsidR="00E10671" w:rsidRPr="00600D22" w:rsidRDefault="00C07CA9" w:rsidP="00064813">
      <w:pPr>
        <w:widowControl w:val="0"/>
        <w:spacing w:line="480" w:lineRule="auto"/>
        <w:ind w:firstLine="397"/>
        <w:rPr>
          <w:rtl/>
        </w:rPr>
      </w:pPr>
      <w:r w:rsidRPr="00600D22">
        <w:rPr>
          <w:rFonts w:hint="cs"/>
          <w:rtl/>
        </w:rPr>
        <w:t xml:space="preserve">ואמנם </w:t>
      </w:r>
      <w:r w:rsidR="00E10671" w:rsidRPr="00600D22">
        <w:rPr>
          <w:rFonts w:hint="cs"/>
          <w:rtl/>
        </w:rPr>
        <w:t>בחיבור יווני אחר</w:t>
      </w:r>
      <w:r w:rsidR="008B2392" w:rsidRPr="00600D22">
        <w:rPr>
          <w:rFonts w:hint="cs"/>
          <w:rtl/>
        </w:rPr>
        <w:t>,</w:t>
      </w:r>
      <w:r w:rsidR="00E10671" w:rsidRPr="00600D22">
        <w:rPr>
          <w:rFonts w:hint="cs"/>
          <w:rtl/>
        </w:rPr>
        <w:t xml:space="preserve"> שנתחבר כנראה בערך באותה תקופה, ב</w:t>
      </w:r>
      <w:r w:rsidR="008B2392" w:rsidRPr="00600D22">
        <w:rPr>
          <w:rFonts w:hint="cs"/>
          <w:rtl/>
        </w:rPr>
        <w:t>'</w:t>
      </w:r>
      <w:r w:rsidR="00E10671" w:rsidRPr="00600D22">
        <w:rPr>
          <w:rFonts w:hint="cs"/>
          <w:rtl/>
        </w:rPr>
        <w:t>קיפריה</w:t>
      </w:r>
      <w:r w:rsidR="008B2392" w:rsidRPr="00600D22">
        <w:rPr>
          <w:rFonts w:hint="cs"/>
          <w:rtl/>
        </w:rPr>
        <w:t>'</w:t>
      </w:r>
      <w:r w:rsidR="00E10671" w:rsidRPr="00600D22">
        <w:rPr>
          <w:rFonts w:hint="cs"/>
          <w:rtl/>
        </w:rPr>
        <w:t xml:space="preserve"> (</w:t>
      </w:r>
      <w:proofErr w:type="spellStart"/>
      <w:r w:rsidR="00E10671" w:rsidRPr="00600D22">
        <w:rPr>
          <w:i/>
          <w:iCs/>
        </w:rPr>
        <w:t>τὰ</w:t>
      </w:r>
      <w:proofErr w:type="spellEnd"/>
      <w:r w:rsidR="00E10671" w:rsidRPr="00600D22">
        <w:rPr>
          <w:i/>
          <w:iCs/>
        </w:rPr>
        <w:t xml:space="preserve"> </w:t>
      </w:r>
      <w:proofErr w:type="spellStart"/>
      <w:r w:rsidR="00E10671" w:rsidRPr="00600D22">
        <w:rPr>
          <w:i/>
          <w:iCs/>
        </w:rPr>
        <w:t>Κύπρια</w:t>
      </w:r>
      <w:proofErr w:type="spellEnd"/>
      <w:r w:rsidR="00E10671" w:rsidRPr="00600D22">
        <w:rPr>
          <w:rFonts w:hint="cs"/>
          <w:rtl/>
        </w:rPr>
        <w:t>), ניתן לראות בבירור כיצד החליפה מלחמת טרויה את המבול (</w:t>
      </w:r>
      <w:r w:rsidR="00E10671" w:rsidRPr="00600D22">
        <w:t xml:space="preserve">F 1 </w:t>
      </w:r>
      <w:proofErr w:type="spellStart"/>
      <w:r w:rsidR="00E10671" w:rsidRPr="00600D22">
        <w:t>Bernabé</w:t>
      </w:r>
      <w:proofErr w:type="spellEnd"/>
      <w:r w:rsidR="00E10671" w:rsidRPr="00600D22">
        <w:t xml:space="preserve"> = </w:t>
      </w:r>
      <w:proofErr w:type="spellStart"/>
      <w:r w:rsidR="00E10671" w:rsidRPr="00600D22">
        <w:t>schol</w:t>
      </w:r>
      <w:proofErr w:type="spellEnd"/>
      <w:r w:rsidR="00E10671" w:rsidRPr="00600D22">
        <w:t xml:space="preserve">. </w:t>
      </w:r>
      <w:proofErr w:type="spellStart"/>
      <w:r w:rsidR="00E10671" w:rsidRPr="00600D22">
        <w:t>Hom</w:t>
      </w:r>
      <w:proofErr w:type="spellEnd"/>
      <w:r w:rsidR="00E10671" w:rsidRPr="00600D22">
        <w:t xml:space="preserve">. </w:t>
      </w:r>
      <w:r w:rsidR="00E10671" w:rsidRPr="00600D22">
        <w:rPr>
          <w:i/>
          <w:iCs/>
        </w:rPr>
        <w:t>Il</w:t>
      </w:r>
      <w:r w:rsidR="00E10671" w:rsidRPr="00600D22">
        <w:t>. AD 1.5</w:t>
      </w:r>
      <w:r w:rsidR="00E10671" w:rsidRPr="00600D22">
        <w:rPr>
          <w:rFonts w:hint="cs"/>
          <w:rtl/>
        </w:rPr>
        <w:t xml:space="preserve">). </w:t>
      </w:r>
      <w:r w:rsidR="00F060C2">
        <w:rPr>
          <w:rFonts w:hint="cs"/>
          <w:rtl/>
        </w:rPr>
        <w:t>'</w:t>
      </w:r>
      <w:r w:rsidR="00E10671" w:rsidRPr="00600D22">
        <w:rPr>
          <w:rFonts w:hint="cs"/>
          <w:rtl/>
        </w:rPr>
        <w:t>קיפריה</w:t>
      </w:r>
      <w:r w:rsidR="00F060C2">
        <w:rPr>
          <w:rFonts w:hint="cs"/>
          <w:rtl/>
        </w:rPr>
        <w:t>'</w:t>
      </w:r>
      <w:r w:rsidR="00E10671" w:rsidRPr="00600D22">
        <w:rPr>
          <w:rFonts w:hint="cs"/>
          <w:rtl/>
        </w:rPr>
        <w:t xml:space="preserve"> היא חלק מן המחזור האפי שנכתב אחרי הומרוס כדי להשלים בהרחבה ובפירוט את קורות מלחמת טרויה ונסיבותיה.</w:t>
      </w:r>
      <w:r w:rsidR="00E10671" w:rsidRPr="00600D22">
        <w:rPr>
          <w:rStyle w:val="FootnoteReference"/>
          <w:rtl/>
        </w:rPr>
        <w:footnoteReference w:id="28"/>
      </w:r>
      <w:r w:rsidR="00E10671" w:rsidRPr="00600D22">
        <w:rPr>
          <w:rFonts w:hint="cs"/>
          <w:rtl/>
        </w:rPr>
        <w:t xml:space="preserve"> לפי המסופר שם, כאשר החל האדם לרוב בארץ ביקש זאוס למחות את האדם והביא את מלחמת טרויה:</w:t>
      </w:r>
    </w:p>
    <w:p w:rsidR="00844F1D" w:rsidRPr="00600D22" w:rsidRDefault="00844F1D" w:rsidP="00064813">
      <w:pPr>
        <w:widowControl w:val="0"/>
        <w:spacing w:line="480" w:lineRule="auto"/>
        <w:rPr>
          <w:rtl/>
        </w:rPr>
      </w:pPr>
    </w:p>
    <w:p w:rsidR="00E10671" w:rsidRPr="00600D22" w:rsidRDefault="00D905B6" w:rsidP="00DA3173">
      <w:pPr>
        <w:widowControl w:val="0"/>
        <w:spacing w:line="480" w:lineRule="auto"/>
        <w:ind w:left="680" w:right="567"/>
        <w:rPr>
          <w:rFonts w:eastAsia="Times New Roman"/>
          <w:rtl/>
        </w:rPr>
      </w:pPr>
      <w:r w:rsidRPr="00D02A64">
        <w:rPr>
          <w:rFonts w:eastAsia="Times New Roman" w:hint="cs"/>
          <w:vertAlign w:val="subscript"/>
          <w:rtl/>
        </w:rPr>
        <w:t>(</w:t>
      </w:r>
      <w:r w:rsidR="00E10671" w:rsidRPr="00D02A64">
        <w:rPr>
          <w:rFonts w:eastAsia="Times New Roman" w:hint="cs"/>
          <w:vertAlign w:val="subscript"/>
          <w:rtl/>
        </w:rPr>
        <w:t>1</w:t>
      </w:r>
      <w:r w:rsidRPr="00D02A64">
        <w:rPr>
          <w:rFonts w:eastAsia="Times New Roman" w:hint="cs"/>
          <w:vertAlign w:val="subscript"/>
          <w:rtl/>
        </w:rPr>
        <w:t>)</w:t>
      </w:r>
      <w:r w:rsidR="00E10671" w:rsidRPr="00600D22">
        <w:rPr>
          <w:rFonts w:eastAsia="Times New Roman" w:hint="cs"/>
          <w:rtl/>
        </w:rPr>
        <w:t xml:space="preserve"> כאשר אין</w:t>
      </w:r>
      <w:r w:rsidRPr="00600D22">
        <w:rPr>
          <w:rFonts w:eastAsia="Times New Roman" w:hint="cs"/>
          <w:rtl/>
        </w:rPr>
        <w:t>-</w:t>
      </w:r>
      <w:r w:rsidR="00E10671" w:rsidRPr="00600D22">
        <w:rPr>
          <w:rFonts w:eastAsia="Times New Roman" w:hint="cs"/>
          <w:rtl/>
        </w:rPr>
        <w:t xml:space="preserve">ספור שבטי האדם, שנפוצו תמיד על </w:t>
      </w:r>
      <w:r w:rsidR="00E10671" w:rsidRPr="00600D22">
        <w:rPr>
          <w:rFonts w:eastAsia="Times New Roman" w:hint="eastAsia"/>
          <w:rtl/>
        </w:rPr>
        <w:t>פני הארץ</w:t>
      </w:r>
      <w:r w:rsidR="00E831B6">
        <w:rPr>
          <w:rFonts w:eastAsia="Times New Roman" w:hint="cs"/>
          <w:rtl/>
        </w:rPr>
        <w:t>,</w:t>
      </w:r>
    </w:p>
    <w:p w:rsidR="00E10671" w:rsidRPr="00600D22" w:rsidRDefault="00E10671" w:rsidP="00DA3173">
      <w:pPr>
        <w:widowControl w:val="0"/>
        <w:spacing w:line="480" w:lineRule="auto"/>
        <w:ind w:left="680" w:right="567"/>
        <w:rPr>
          <w:rFonts w:eastAsia="Times New Roman"/>
          <w:rtl/>
        </w:rPr>
      </w:pPr>
      <w:r w:rsidRPr="00600D22">
        <w:rPr>
          <w:rFonts w:eastAsia="Times New Roman" w:hint="cs"/>
          <w:rtl/>
        </w:rPr>
        <w:t>רמסו את מרחבי הארץ עמוקת החיק</w:t>
      </w:r>
    </w:p>
    <w:p w:rsidR="00E10671" w:rsidRPr="00600D22" w:rsidRDefault="00E10671" w:rsidP="00DA3173">
      <w:pPr>
        <w:widowControl w:val="0"/>
        <w:spacing w:line="480" w:lineRule="auto"/>
        <w:ind w:left="680" w:right="567"/>
        <w:rPr>
          <w:rFonts w:eastAsia="Times New Roman"/>
          <w:rtl/>
        </w:rPr>
      </w:pPr>
      <w:r w:rsidRPr="00600D22">
        <w:rPr>
          <w:rFonts w:eastAsia="Times New Roman" w:hint="cs"/>
          <w:rtl/>
        </w:rPr>
        <w:t>וזאוס ראה</w:t>
      </w:r>
      <w:r w:rsidR="00E831B6">
        <w:rPr>
          <w:rFonts w:eastAsia="Times New Roman" w:hint="cs"/>
          <w:rtl/>
        </w:rPr>
        <w:t xml:space="preserve"> (זאת), נכמרו רחמיו, ובלבו החכם</w:t>
      </w:r>
    </w:p>
    <w:p w:rsidR="00E10671" w:rsidRPr="00600D22" w:rsidRDefault="00E10671" w:rsidP="00DA3173">
      <w:pPr>
        <w:widowControl w:val="0"/>
        <w:spacing w:line="480" w:lineRule="auto"/>
        <w:ind w:left="680" w:right="567"/>
        <w:rPr>
          <w:rFonts w:eastAsia="Times New Roman"/>
          <w:rtl/>
        </w:rPr>
      </w:pPr>
      <w:r w:rsidRPr="00600D22">
        <w:rPr>
          <w:rFonts w:eastAsia="Times New Roman" w:hint="cs"/>
          <w:rtl/>
        </w:rPr>
        <w:t>תכנן</w:t>
      </w:r>
      <w:r w:rsidR="00E831B6">
        <w:rPr>
          <w:rFonts w:eastAsia="Times New Roman" w:hint="cs"/>
          <w:rtl/>
        </w:rPr>
        <w:t xml:space="preserve"> להקל על הארץ מניבת-הכול מאנשים</w:t>
      </w:r>
    </w:p>
    <w:p w:rsidR="00E10671" w:rsidRPr="00600D22" w:rsidRDefault="00D905B6" w:rsidP="00DA3173">
      <w:pPr>
        <w:widowControl w:val="0"/>
        <w:spacing w:line="480" w:lineRule="auto"/>
        <w:ind w:left="680" w:right="567"/>
        <w:rPr>
          <w:rFonts w:eastAsia="Times New Roman"/>
          <w:rtl/>
        </w:rPr>
      </w:pPr>
      <w:r w:rsidRPr="00D02A64">
        <w:rPr>
          <w:rFonts w:eastAsia="Times New Roman" w:hint="cs"/>
          <w:vertAlign w:val="subscript"/>
          <w:rtl/>
        </w:rPr>
        <w:t>(</w:t>
      </w:r>
      <w:r w:rsidR="00E10671" w:rsidRPr="00D02A64">
        <w:rPr>
          <w:rFonts w:eastAsia="Times New Roman" w:hint="cs"/>
          <w:vertAlign w:val="subscript"/>
          <w:rtl/>
        </w:rPr>
        <w:t>5</w:t>
      </w:r>
      <w:r w:rsidRPr="00D02A64">
        <w:rPr>
          <w:rFonts w:eastAsia="Times New Roman" w:hint="cs"/>
          <w:vertAlign w:val="subscript"/>
          <w:rtl/>
        </w:rPr>
        <w:t>)</w:t>
      </w:r>
      <w:r w:rsidR="00E10671" w:rsidRPr="00600D22">
        <w:rPr>
          <w:rFonts w:eastAsia="Times New Roman" w:hint="cs"/>
          <w:rtl/>
        </w:rPr>
        <w:t xml:space="preserve"> ולהצית את המאבק הגדול של מלחמת איליון (=טרויה)</w:t>
      </w:r>
    </w:p>
    <w:p w:rsidR="00E10671" w:rsidRPr="00600D22" w:rsidRDefault="00E10671" w:rsidP="00DA3173">
      <w:pPr>
        <w:widowControl w:val="0"/>
        <w:spacing w:line="480" w:lineRule="auto"/>
        <w:ind w:left="680" w:right="567"/>
        <w:rPr>
          <w:rFonts w:eastAsia="Times New Roman"/>
          <w:rtl/>
        </w:rPr>
      </w:pPr>
      <w:r w:rsidRPr="00600D22">
        <w:rPr>
          <w:rFonts w:eastAsia="Times New Roman" w:hint="cs"/>
          <w:rtl/>
        </w:rPr>
        <w:t>למען ירוק</w:t>
      </w:r>
      <w:r w:rsidR="00E831B6">
        <w:rPr>
          <w:rFonts w:eastAsia="Times New Roman" w:hint="cs"/>
          <w:rtl/>
        </w:rPr>
        <w:t>ן במוות את כובד (הארץ). ובטרויה</w:t>
      </w:r>
    </w:p>
    <w:p w:rsidR="00E10671" w:rsidRPr="00600D22" w:rsidRDefault="00E10671" w:rsidP="00D02A64">
      <w:pPr>
        <w:widowControl w:val="0"/>
        <w:spacing w:line="480" w:lineRule="auto"/>
        <w:ind w:left="680" w:right="567"/>
        <w:rPr>
          <w:rtl/>
        </w:rPr>
      </w:pPr>
      <w:r w:rsidRPr="00600D22">
        <w:rPr>
          <w:rFonts w:eastAsia="Times New Roman" w:hint="cs"/>
          <w:rtl/>
        </w:rPr>
        <w:t>נהרגו הגיבורים, ועצתו של זאוס היא קמה.</w:t>
      </w:r>
      <w:r w:rsidR="00D02A64" w:rsidRPr="00600D22">
        <w:rPr>
          <w:rStyle w:val="FootnoteReference"/>
          <w:rtl/>
        </w:rPr>
        <w:footnoteReference w:id="29"/>
      </w:r>
    </w:p>
    <w:p w:rsidR="00E10671" w:rsidRPr="00600D22" w:rsidRDefault="00E10671" w:rsidP="00064813">
      <w:pPr>
        <w:widowControl w:val="0"/>
        <w:spacing w:line="480" w:lineRule="auto"/>
        <w:rPr>
          <w:rtl/>
        </w:rPr>
      </w:pPr>
    </w:p>
    <w:p w:rsidR="00C07CA9" w:rsidRPr="00600D22" w:rsidRDefault="00E10671" w:rsidP="007E4C46">
      <w:pPr>
        <w:widowControl w:val="0"/>
        <w:spacing w:line="480" w:lineRule="auto"/>
        <w:rPr>
          <w:rtl/>
        </w:rPr>
      </w:pPr>
      <w:r w:rsidRPr="00600D22">
        <w:rPr>
          <w:rFonts w:hint="cs"/>
          <w:rtl/>
        </w:rPr>
        <w:lastRenderedPageBreak/>
        <w:t>ממלים אלו הפותחות את ה</w:t>
      </w:r>
      <w:r w:rsidR="006C4960">
        <w:rPr>
          <w:rFonts w:hint="cs"/>
          <w:rtl/>
        </w:rPr>
        <w:t>'</w:t>
      </w:r>
      <w:r w:rsidRPr="00600D22">
        <w:rPr>
          <w:rFonts w:hint="cs"/>
          <w:rtl/>
        </w:rPr>
        <w:t>קיפריה</w:t>
      </w:r>
      <w:r w:rsidR="006C4960">
        <w:rPr>
          <w:rFonts w:hint="cs"/>
          <w:rtl/>
        </w:rPr>
        <w:t>'</w:t>
      </w:r>
      <w:r w:rsidRPr="00600D22">
        <w:rPr>
          <w:rFonts w:hint="cs"/>
          <w:rtl/>
        </w:rPr>
        <w:t>, עולה הד ברור ל</w:t>
      </w:r>
      <w:r w:rsidR="00D905B6" w:rsidRPr="00600D22">
        <w:rPr>
          <w:rFonts w:hint="cs"/>
          <w:rtl/>
        </w:rPr>
        <w:t>'</w:t>
      </w:r>
      <w:r w:rsidRPr="00600D22">
        <w:rPr>
          <w:rFonts w:hint="cs"/>
          <w:rtl/>
        </w:rPr>
        <w:t>אתרח'סיס</w:t>
      </w:r>
      <w:r w:rsidR="00D905B6" w:rsidRPr="00600D22">
        <w:rPr>
          <w:rFonts w:hint="cs"/>
          <w:rtl/>
        </w:rPr>
        <w:t>'</w:t>
      </w:r>
      <w:r w:rsidRPr="00600D22">
        <w:rPr>
          <w:rFonts w:hint="cs"/>
          <w:rtl/>
        </w:rPr>
        <w:t>, סיפור המבול הבבלי.</w:t>
      </w:r>
      <w:r w:rsidR="004D42AD">
        <w:rPr>
          <w:rFonts w:hint="cs"/>
          <w:rtl/>
        </w:rPr>
        <w:t xml:space="preserve"> </w:t>
      </w:r>
      <w:r w:rsidR="007E4C46">
        <w:rPr>
          <w:rFonts w:hint="cs"/>
          <w:rtl/>
        </w:rPr>
        <w:t>כאמור</w:t>
      </w:r>
      <w:r w:rsidRPr="00600D22">
        <w:rPr>
          <w:rFonts w:hint="cs"/>
          <w:rtl/>
        </w:rPr>
        <w:t>, ב</w:t>
      </w:r>
      <w:r w:rsidR="00295974">
        <w:rPr>
          <w:rFonts w:hint="cs"/>
          <w:rtl/>
        </w:rPr>
        <w:t>'</w:t>
      </w:r>
      <w:r w:rsidRPr="00600D22">
        <w:rPr>
          <w:rFonts w:hint="cs"/>
          <w:rtl/>
        </w:rPr>
        <w:t>אתרח'סיס</w:t>
      </w:r>
      <w:r w:rsidR="00295974">
        <w:rPr>
          <w:rFonts w:hint="cs"/>
          <w:rtl/>
        </w:rPr>
        <w:t>'</w:t>
      </w:r>
      <w:r w:rsidRPr="00600D22">
        <w:rPr>
          <w:rFonts w:hint="cs"/>
          <w:rtl/>
        </w:rPr>
        <w:t xml:space="preserve"> בא המבול בעקבות התפוצצות אוכלוסין: </w:t>
      </w:r>
      <w:r w:rsidR="00295974">
        <w:rPr>
          <w:rFonts w:hint="cs"/>
          <w:rtl/>
        </w:rPr>
        <w:t>"</w:t>
      </w:r>
      <w:r w:rsidRPr="00600D22">
        <w:rPr>
          <w:rFonts w:hint="cs"/>
          <w:rtl/>
        </w:rPr>
        <w:t>ותפרוץ הארץ, האנשים התרבו / הארץ כמו פר נהמה/ מקול שאונם נבהל האל</w:t>
      </w:r>
      <w:r w:rsidR="00295974">
        <w:rPr>
          <w:rFonts w:hint="cs"/>
          <w:rtl/>
        </w:rPr>
        <w:t>"</w:t>
      </w:r>
      <w:r w:rsidRPr="00600D22">
        <w:rPr>
          <w:rFonts w:hint="cs"/>
          <w:rtl/>
        </w:rPr>
        <w:t xml:space="preserve"> (</w:t>
      </w:r>
      <w:proofErr w:type="spellStart"/>
      <w:r w:rsidRPr="00600D22">
        <w:rPr>
          <w:i/>
          <w:iCs/>
        </w:rPr>
        <w:t>mātum</w:t>
      </w:r>
      <w:proofErr w:type="spellEnd"/>
      <w:r w:rsidRPr="00600D22">
        <w:rPr>
          <w:i/>
          <w:iCs/>
        </w:rPr>
        <w:t xml:space="preserve"> </w:t>
      </w:r>
      <w:proofErr w:type="spellStart"/>
      <w:r w:rsidRPr="00600D22">
        <w:rPr>
          <w:i/>
          <w:iCs/>
        </w:rPr>
        <w:t>irtapiš</w:t>
      </w:r>
      <w:proofErr w:type="spellEnd"/>
      <w:r w:rsidRPr="00600D22">
        <w:rPr>
          <w:i/>
          <w:iCs/>
        </w:rPr>
        <w:t xml:space="preserve"> </w:t>
      </w:r>
      <w:proofErr w:type="spellStart"/>
      <w:r w:rsidRPr="00600D22">
        <w:rPr>
          <w:i/>
          <w:iCs/>
        </w:rPr>
        <w:t>niš</w:t>
      </w:r>
      <w:proofErr w:type="spellEnd"/>
      <w:r w:rsidRPr="00600D22">
        <w:t>[</w:t>
      </w:r>
      <w:r w:rsidRPr="00600D22">
        <w:rPr>
          <w:i/>
          <w:iCs/>
        </w:rPr>
        <w:t xml:space="preserve">ū </w:t>
      </w:r>
      <w:proofErr w:type="spellStart"/>
      <w:r w:rsidRPr="00600D22">
        <w:rPr>
          <w:i/>
          <w:iCs/>
        </w:rPr>
        <w:t>im</w:t>
      </w:r>
      <w:proofErr w:type="spellEnd"/>
      <w:r w:rsidRPr="00600D22">
        <w:t>]</w:t>
      </w:r>
      <w:proofErr w:type="spellStart"/>
      <w:r w:rsidRPr="00600D22">
        <w:rPr>
          <w:i/>
          <w:iCs/>
        </w:rPr>
        <w:t>tīdā</w:t>
      </w:r>
      <w:proofErr w:type="spellEnd"/>
      <w:r w:rsidRPr="00600D22">
        <w:rPr>
          <w:i/>
          <w:iCs/>
        </w:rPr>
        <w:t xml:space="preserve"> / </w:t>
      </w:r>
      <w:r w:rsidRPr="00600D22">
        <w:t>[</w:t>
      </w:r>
      <w:r w:rsidRPr="00600D22">
        <w:rPr>
          <w:i/>
          <w:iCs/>
        </w:rPr>
        <w:t>m</w:t>
      </w:r>
      <w:r w:rsidRPr="00600D22">
        <w:t>]</w:t>
      </w:r>
      <w:proofErr w:type="spellStart"/>
      <w:r w:rsidRPr="00600D22">
        <w:rPr>
          <w:i/>
          <w:iCs/>
        </w:rPr>
        <w:t>ātum</w:t>
      </w:r>
      <w:proofErr w:type="spellEnd"/>
      <w:r w:rsidRPr="00600D22">
        <w:rPr>
          <w:i/>
          <w:iCs/>
        </w:rPr>
        <w:t xml:space="preserve"> </w:t>
      </w:r>
      <w:proofErr w:type="spellStart"/>
      <w:r w:rsidRPr="00600D22">
        <w:rPr>
          <w:i/>
          <w:iCs/>
        </w:rPr>
        <w:t>kīma</w:t>
      </w:r>
      <w:proofErr w:type="spellEnd"/>
      <w:r w:rsidRPr="00600D22">
        <w:rPr>
          <w:i/>
          <w:iCs/>
        </w:rPr>
        <w:t xml:space="preserve"> </w:t>
      </w:r>
      <w:proofErr w:type="spellStart"/>
      <w:r w:rsidRPr="00600D22">
        <w:rPr>
          <w:i/>
          <w:iCs/>
        </w:rPr>
        <w:t>lî</w:t>
      </w:r>
      <w:proofErr w:type="spellEnd"/>
      <w:r w:rsidRPr="00600D22">
        <w:rPr>
          <w:i/>
          <w:iCs/>
        </w:rPr>
        <w:t xml:space="preserve"> </w:t>
      </w:r>
      <w:proofErr w:type="spellStart"/>
      <w:r w:rsidRPr="00600D22">
        <w:rPr>
          <w:i/>
          <w:iCs/>
        </w:rPr>
        <w:t>išabbu</w:t>
      </w:r>
      <w:proofErr w:type="spellEnd"/>
      <w:r w:rsidRPr="00600D22">
        <w:rPr>
          <w:i/>
          <w:iCs/>
        </w:rPr>
        <w:t xml:space="preserve"> / </w:t>
      </w:r>
      <w:r w:rsidRPr="00600D22">
        <w:t>[</w:t>
      </w:r>
      <w:r w:rsidRPr="00600D22">
        <w:rPr>
          <w:i/>
          <w:iCs/>
        </w:rPr>
        <w:t>in</w:t>
      </w:r>
      <w:r w:rsidRPr="00600D22">
        <w:t>]</w:t>
      </w:r>
      <w:r w:rsidRPr="00600D22">
        <w:rPr>
          <w:i/>
          <w:iCs/>
        </w:rPr>
        <w:t xml:space="preserve">a </w:t>
      </w:r>
      <w:proofErr w:type="spellStart"/>
      <w:r w:rsidRPr="00600D22">
        <w:rPr>
          <w:i/>
          <w:iCs/>
        </w:rPr>
        <w:t>ḫubūrīšina</w:t>
      </w:r>
      <w:proofErr w:type="spellEnd"/>
      <w:r w:rsidRPr="00600D22">
        <w:rPr>
          <w:i/>
          <w:iCs/>
        </w:rPr>
        <w:t xml:space="preserve"> </w:t>
      </w:r>
      <w:proofErr w:type="spellStart"/>
      <w:r w:rsidRPr="00600D22">
        <w:rPr>
          <w:i/>
          <w:iCs/>
        </w:rPr>
        <w:t>ilu</w:t>
      </w:r>
      <w:proofErr w:type="spellEnd"/>
      <w:r w:rsidRPr="00600D22">
        <w:rPr>
          <w:i/>
          <w:iCs/>
        </w:rPr>
        <w:t xml:space="preserve"> </w:t>
      </w:r>
      <w:proofErr w:type="spellStart"/>
      <w:r w:rsidRPr="00600D22">
        <w:rPr>
          <w:i/>
          <w:iCs/>
        </w:rPr>
        <w:t>itta’dar</w:t>
      </w:r>
      <w:proofErr w:type="spellEnd"/>
      <w:r w:rsidRPr="00600D22">
        <w:rPr>
          <w:rFonts w:hint="cs"/>
          <w:rtl/>
        </w:rPr>
        <w:t>)</w:t>
      </w:r>
      <w:r w:rsidR="0045300F" w:rsidRPr="00600D22">
        <w:rPr>
          <w:rFonts w:hint="cs"/>
          <w:rtl/>
        </w:rPr>
        <w:t>.</w:t>
      </w:r>
      <w:r w:rsidRPr="00600D22">
        <w:rPr>
          <w:rStyle w:val="FootnoteReference"/>
          <w:rtl/>
        </w:rPr>
        <w:footnoteReference w:id="30"/>
      </w:r>
      <w:r w:rsidRPr="00600D22">
        <w:rPr>
          <w:rFonts w:hint="cs"/>
          <w:rtl/>
        </w:rPr>
        <w:t xml:space="preserve"> הרעש שעלה מן הארץ הדיר שינה מעיני אֶנְלִיל</w:t>
      </w:r>
      <w:r w:rsidR="0045300F" w:rsidRPr="00600D22">
        <w:rPr>
          <w:rFonts w:hint="cs"/>
          <w:rtl/>
        </w:rPr>
        <w:t>,</w:t>
      </w:r>
      <w:r w:rsidRPr="00600D22">
        <w:rPr>
          <w:rFonts w:hint="cs"/>
          <w:rtl/>
        </w:rPr>
        <w:t xml:space="preserve"> והאלים החליטו להשמיד את האדם באמצעות בצורת ורעב, וכאשר אלו לא הספיקו, הביאו האלים את המבול.</w:t>
      </w:r>
      <w:r w:rsidRPr="00600D22">
        <w:rPr>
          <w:rStyle w:val="FootnoteReference"/>
          <w:rtl/>
        </w:rPr>
        <w:footnoteReference w:id="31"/>
      </w:r>
      <w:r w:rsidRPr="00600D22">
        <w:rPr>
          <w:rFonts w:hint="cs"/>
          <w:rtl/>
        </w:rPr>
        <w:t xml:space="preserve"> כך גם ב</w:t>
      </w:r>
      <w:r w:rsidR="006C4960">
        <w:rPr>
          <w:rFonts w:hint="cs"/>
          <w:rtl/>
        </w:rPr>
        <w:t>'</w:t>
      </w:r>
      <w:r w:rsidRPr="00600D22">
        <w:rPr>
          <w:rFonts w:hint="cs"/>
          <w:rtl/>
        </w:rPr>
        <w:t>קיפריה</w:t>
      </w:r>
      <w:r w:rsidR="006C4960">
        <w:rPr>
          <w:rFonts w:hint="cs"/>
          <w:rtl/>
        </w:rPr>
        <w:t>'</w:t>
      </w:r>
      <w:r w:rsidRPr="00600D22">
        <w:rPr>
          <w:rFonts w:hint="cs"/>
          <w:rtl/>
        </w:rPr>
        <w:t xml:space="preserve"> הומה הארץ אנשים</w:t>
      </w:r>
      <w:r w:rsidR="000C6272" w:rsidRPr="00600D22">
        <w:rPr>
          <w:rFonts w:hint="cs"/>
          <w:rtl/>
        </w:rPr>
        <w:t>,</w:t>
      </w:r>
      <w:r w:rsidRPr="00600D22">
        <w:rPr>
          <w:rFonts w:hint="cs"/>
          <w:rtl/>
        </w:rPr>
        <w:t xml:space="preserve"> וזאוס מבקש להקל עליה את העול. </w:t>
      </w:r>
      <w:r w:rsidR="00C07CA9" w:rsidRPr="00600D22">
        <w:rPr>
          <w:rFonts w:hint="cs"/>
          <w:rtl/>
        </w:rPr>
        <w:t>ההשפעה של סיפור המבול המזרחי ברורה, אך במקום מבול מ</w:t>
      </w:r>
      <w:r w:rsidR="00B13329" w:rsidRPr="00600D22">
        <w:rPr>
          <w:rFonts w:hint="cs"/>
          <w:rtl/>
        </w:rPr>
        <w:t xml:space="preserve">סופר כי </w:t>
      </w:r>
      <w:r w:rsidR="00C07CA9" w:rsidRPr="00600D22">
        <w:rPr>
          <w:rFonts w:hint="cs"/>
          <w:rtl/>
        </w:rPr>
        <w:t xml:space="preserve">זאוס </w:t>
      </w:r>
      <w:r w:rsidR="00B13329" w:rsidRPr="00600D22">
        <w:rPr>
          <w:rFonts w:hint="cs"/>
          <w:rtl/>
        </w:rPr>
        <w:t xml:space="preserve">הביא </w:t>
      </w:r>
      <w:r w:rsidR="00C07CA9" w:rsidRPr="00600D22">
        <w:rPr>
          <w:rFonts w:hint="cs"/>
          <w:rtl/>
        </w:rPr>
        <w:t xml:space="preserve">מלחמה. תופעה זו </w:t>
      </w:r>
      <w:r w:rsidR="00B13329" w:rsidRPr="00600D22">
        <w:rPr>
          <w:rFonts w:hint="cs"/>
          <w:rtl/>
        </w:rPr>
        <w:t xml:space="preserve">של </w:t>
      </w:r>
      <w:r w:rsidR="009F3E9E" w:rsidRPr="00600D22">
        <w:rPr>
          <w:rFonts w:hint="cs"/>
          <w:rtl/>
        </w:rPr>
        <w:t>שאילת מסורות ו</w:t>
      </w:r>
      <w:r w:rsidR="00B13329" w:rsidRPr="00600D22">
        <w:rPr>
          <w:rFonts w:hint="cs"/>
          <w:rtl/>
        </w:rPr>
        <w:t>התאמת</w:t>
      </w:r>
      <w:r w:rsidR="009F3E9E" w:rsidRPr="00600D22">
        <w:rPr>
          <w:rFonts w:hint="cs"/>
          <w:rtl/>
        </w:rPr>
        <w:t>ן</w:t>
      </w:r>
      <w:r w:rsidR="00B13329" w:rsidRPr="00600D22">
        <w:rPr>
          <w:rFonts w:hint="cs"/>
          <w:rtl/>
        </w:rPr>
        <w:t xml:space="preserve"> לטקסטים הקלסיים של החברה החדשה שבה הן נקלטות </w:t>
      </w:r>
      <w:r w:rsidR="00C07CA9" w:rsidRPr="00600D22">
        <w:rPr>
          <w:rFonts w:hint="cs"/>
          <w:rtl/>
        </w:rPr>
        <w:t xml:space="preserve">מוכרת </w:t>
      </w:r>
      <w:r w:rsidR="00B13329" w:rsidRPr="00600D22">
        <w:rPr>
          <w:rFonts w:hint="cs"/>
          <w:rtl/>
        </w:rPr>
        <w:t xml:space="preserve">היטב </w:t>
      </w:r>
      <w:r w:rsidR="00C07CA9" w:rsidRPr="00600D22">
        <w:rPr>
          <w:rFonts w:hint="cs"/>
          <w:rtl/>
        </w:rPr>
        <w:t>מתהליכי א</w:t>
      </w:r>
      <w:r w:rsidR="000C6272" w:rsidRPr="00600D22">
        <w:rPr>
          <w:rFonts w:hint="cs"/>
          <w:rtl/>
        </w:rPr>
        <w:t>קוטיפיפיק</w:t>
      </w:r>
      <w:r w:rsidR="00C07CA9" w:rsidRPr="00600D22">
        <w:rPr>
          <w:rFonts w:hint="cs"/>
          <w:rtl/>
        </w:rPr>
        <w:t xml:space="preserve">ציה </w:t>
      </w:r>
      <w:r w:rsidR="00B13329" w:rsidRPr="00600D22">
        <w:rPr>
          <w:rFonts w:hint="cs"/>
          <w:rtl/>
        </w:rPr>
        <w:t>של מסורות ספרותיות ותרבותיות</w:t>
      </w:r>
      <w:r w:rsidR="00C07CA9" w:rsidRPr="00600D22">
        <w:rPr>
          <w:rFonts w:hint="cs"/>
          <w:rtl/>
        </w:rPr>
        <w:t>.</w:t>
      </w:r>
      <w:r w:rsidR="00C07CA9" w:rsidRPr="00600D22">
        <w:rPr>
          <w:rStyle w:val="FootnoteReference"/>
          <w:rtl/>
        </w:rPr>
        <w:footnoteReference w:id="32"/>
      </w:r>
    </w:p>
    <w:p w:rsidR="00E10671" w:rsidRPr="00600D22" w:rsidRDefault="00B13329" w:rsidP="00295974">
      <w:pPr>
        <w:widowControl w:val="0"/>
        <w:spacing w:line="480" w:lineRule="auto"/>
        <w:ind w:firstLine="397"/>
        <w:rPr>
          <w:rStyle w:val="minfolemma"/>
          <w:rtl/>
        </w:rPr>
      </w:pPr>
      <w:r w:rsidRPr="00600D22">
        <w:rPr>
          <w:rFonts w:hint="cs"/>
          <w:rtl/>
        </w:rPr>
        <w:t xml:space="preserve">למעשה, </w:t>
      </w:r>
      <w:r w:rsidR="00E10671" w:rsidRPr="00600D22">
        <w:rPr>
          <w:rFonts w:hint="cs"/>
          <w:rtl/>
        </w:rPr>
        <w:t>בדברי ההקדמה של ה</w:t>
      </w:r>
      <w:r w:rsidR="006C4960">
        <w:rPr>
          <w:rFonts w:hint="cs"/>
          <w:rtl/>
        </w:rPr>
        <w:t>'</w:t>
      </w:r>
      <w:r w:rsidR="00E10671" w:rsidRPr="00600D22">
        <w:rPr>
          <w:rFonts w:hint="cs"/>
          <w:rtl/>
        </w:rPr>
        <w:t>סכוליה</w:t>
      </w:r>
      <w:r w:rsidR="006C4960">
        <w:rPr>
          <w:rFonts w:hint="cs"/>
          <w:rtl/>
        </w:rPr>
        <w:t>',</w:t>
      </w:r>
      <w:r w:rsidR="00E10671" w:rsidRPr="00600D22">
        <w:rPr>
          <w:rFonts w:hint="cs"/>
          <w:rtl/>
        </w:rPr>
        <w:t xml:space="preserve"> ששימרה את הפרגמנט הזה מתוך </w:t>
      </w:r>
      <w:r w:rsidR="006C4960">
        <w:rPr>
          <w:rFonts w:hint="cs"/>
          <w:rtl/>
        </w:rPr>
        <w:t>'</w:t>
      </w:r>
      <w:r w:rsidR="00E10671" w:rsidRPr="00600D22">
        <w:rPr>
          <w:rFonts w:hint="cs"/>
          <w:rtl/>
        </w:rPr>
        <w:t>קיפריה</w:t>
      </w:r>
      <w:r w:rsidR="006C4960">
        <w:rPr>
          <w:rFonts w:hint="cs"/>
          <w:rtl/>
        </w:rPr>
        <w:t>',</w:t>
      </w:r>
      <w:r w:rsidR="00E10671" w:rsidRPr="00600D22">
        <w:rPr>
          <w:rFonts w:hint="cs"/>
          <w:rtl/>
        </w:rPr>
        <w:t xml:space="preserve"> נמצאת התייחסות של ממש</w:t>
      </w:r>
      <w:r w:rsidR="00295974">
        <w:rPr>
          <w:rFonts w:hint="cs"/>
          <w:rtl/>
        </w:rPr>
        <w:t xml:space="preserve"> למבול. הדברים מובאים בפירוש למ</w:t>
      </w:r>
      <w:r w:rsidR="00E10671" w:rsidRPr="00600D22">
        <w:rPr>
          <w:rFonts w:hint="cs"/>
          <w:rtl/>
        </w:rPr>
        <w:t xml:space="preserve">לים </w:t>
      </w:r>
      <w:r w:rsidR="00295974">
        <w:rPr>
          <w:rStyle w:val="minfolemma"/>
          <w:rFonts w:hint="cs"/>
          <w:rtl/>
        </w:rPr>
        <w:t>"</w:t>
      </w:r>
      <w:r w:rsidR="00E10671" w:rsidRPr="00600D22">
        <w:rPr>
          <w:rStyle w:val="minfolemma"/>
          <w:rFonts w:hint="cs"/>
          <w:rtl/>
        </w:rPr>
        <w:t>עֲצָתוֹ שֶׁל זֵאוּס</w:t>
      </w:r>
      <w:r w:rsidR="00295974">
        <w:rPr>
          <w:rStyle w:val="minfolemma"/>
          <w:rFonts w:hint="cs"/>
          <w:rtl/>
        </w:rPr>
        <w:t>"</w:t>
      </w:r>
      <w:r w:rsidR="00E10671" w:rsidRPr="00600D22">
        <w:rPr>
          <w:rStyle w:val="minfolemma"/>
          <w:rFonts w:hint="cs"/>
          <w:rtl/>
        </w:rPr>
        <w:t xml:space="preserve"> בפתיחת ה</w:t>
      </w:r>
      <w:r w:rsidR="00295974">
        <w:rPr>
          <w:rStyle w:val="minfolemma"/>
          <w:rFonts w:hint="cs"/>
          <w:rtl/>
        </w:rPr>
        <w:t>'</w:t>
      </w:r>
      <w:r w:rsidR="00E10671" w:rsidRPr="00600D22">
        <w:rPr>
          <w:rStyle w:val="minfolemma"/>
          <w:rFonts w:hint="cs"/>
          <w:rtl/>
        </w:rPr>
        <w:t>איליאדה</w:t>
      </w:r>
      <w:r w:rsidR="00295974">
        <w:rPr>
          <w:rStyle w:val="minfolemma"/>
          <w:rFonts w:hint="cs"/>
          <w:rtl/>
        </w:rPr>
        <w:t>'</w:t>
      </w:r>
      <w:r w:rsidR="00E10671" w:rsidRPr="00600D22">
        <w:rPr>
          <w:rStyle w:val="minfolemma"/>
          <w:rFonts w:hint="cs"/>
          <w:b/>
          <w:bCs/>
          <w:rtl/>
        </w:rPr>
        <w:t xml:space="preserve"> </w:t>
      </w:r>
      <w:r w:rsidR="00E10671" w:rsidRPr="00600D22">
        <w:rPr>
          <w:rStyle w:val="minfolemma"/>
          <w:rFonts w:hint="cs"/>
          <w:rtl/>
        </w:rPr>
        <w:t>(</w:t>
      </w:r>
      <w:proofErr w:type="spellStart"/>
      <w:r w:rsidR="00E10671" w:rsidRPr="00600D22">
        <w:rPr>
          <w:rStyle w:val="minfolemma"/>
        </w:rPr>
        <w:t>Schol</w:t>
      </w:r>
      <w:proofErr w:type="spellEnd"/>
      <w:r w:rsidR="00E10671" w:rsidRPr="00600D22">
        <w:rPr>
          <w:rStyle w:val="minfolemma"/>
        </w:rPr>
        <w:t xml:space="preserve">. </w:t>
      </w:r>
      <w:r w:rsidR="00E10671" w:rsidRPr="00600D22">
        <w:rPr>
          <w:rStyle w:val="minfolemma"/>
          <w:rFonts w:hint="cs"/>
          <w:i/>
          <w:iCs/>
        </w:rPr>
        <w:t>I</w:t>
      </w:r>
      <w:r w:rsidR="00E10671" w:rsidRPr="00600D22">
        <w:rPr>
          <w:rStyle w:val="minfolemma"/>
          <w:i/>
          <w:iCs/>
        </w:rPr>
        <w:t>l</w:t>
      </w:r>
      <w:r w:rsidR="00E10671" w:rsidRPr="00600D22">
        <w:rPr>
          <w:rStyle w:val="minfolemma"/>
        </w:rPr>
        <w:t>. 1.5</w:t>
      </w:r>
      <w:r w:rsidR="00E10671" w:rsidRPr="00600D22">
        <w:rPr>
          <w:rStyle w:val="minfolemma"/>
          <w:rFonts w:hint="cs"/>
          <w:rtl/>
        </w:rPr>
        <w:t>), המשובצות גם ב</w:t>
      </w:r>
      <w:r w:rsidR="00295974">
        <w:rPr>
          <w:rStyle w:val="minfolemma"/>
          <w:rFonts w:hint="cs"/>
          <w:rtl/>
        </w:rPr>
        <w:t>'</w:t>
      </w:r>
      <w:r w:rsidR="00E10671" w:rsidRPr="00600D22">
        <w:rPr>
          <w:rStyle w:val="minfolemma"/>
          <w:rFonts w:hint="cs"/>
          <w:rtl/>
        </w:rPr>
        <w:t>קיפריה</w:t>
      </w:r>
      <w:r w:rsidR="00295974">
        <w:rPr>
          <w:rStyle w:val="minfolemma"/>
          <w:rFonts w:hint="cs"/>
          <w:rtl/>
        </w:rPr>
        <w:t>'</w:t>
      </w:r>
      <w:r w:rsidR="00E10671" w:rsidRPr="00600D22">
        <w:rPr>
          <w:rStyle w:val="minfolemma"/>
          <w:rFonts w:hint="cs"/>
          <w:rtl/>
        </w:rPr>
        <w:t xml:space="preserve"> (</w:t>
      </w:r>
      <w:r w:rsidR="00E10671" w:rsidRPr="00600D22">
        <w:t xml:space="preserve">F 1.7 </w:t>
      </w:r>
      <w:proofErr w:type="spellStart"/>
      <w:r w:rsidR="00E10671" w:rsidRPr="00600D22">
        <w:t>Bernabé</w:t>
      </w:r>
      <w:proofErr w:type="spellEnd"/>
      <w:r w:rsidR="00E10671" w:rsidRPr="00600D22">
        <w:rPr>
          <w:rStyle w:val="minfolemma"/>
          <w:rFonts w:hint="cs"/>
          <w:rtl/>
        </w:rPr>
        <w:t>):</w:t>
      </w:r>
    </w:p>
    <w:p w:rsidR="00626DA5" w:rsidRPr="00600D22" w:rsidRDefault="00626DA5" w:rsidP="00064813">
      <w:pPr>
        <w:widowControl w:val="0"/>
        <w:spacing w:line="480" w:lineRule="auto"/>
        <w:rPr>
          <w:rtl/>
        </w:rPr>
      </w:pPr>
    </w:p>
    <w:p w:rsidR="00E10671" w:rsidRPr="00600D22" w:rsidRDefault="00E10671" w:rsidP="00F529AD">
      <w:pPr>
        <w:widowControl w:val="0"/>
        <w:spacing w:line="480" w:lineRule="auto"/>
        <w:ind w:left="680" w:right="567"/>
        <w:rPr>
          <w:rStyle w:val="minfolemma"/>
          <w:rtl/>
        </w:rPr>
      </w:pPr>
      <w:r w:rsidRPr="00600D22">
        <w:rPr>
          <w:rFonts w:hint="cs"/>
          <w:rtl/>
        </w:rPr>
        <w:t xml:space="preserve">אחרים אומרים שהומרוס מתייחס לסיפור כלשהו. הרי הם אומרים שהארץ </w:t>
      </w:r>
      <w:r w:rsidRPr="00600D22">
        <w:rPr>
          <w:rFonts w:hint="eastAsia"/>
          <w:rtl/>
        </w:rPr>
        <w:t>–</w:t>
      </w:r>
      <w:r w:rsidRPr="00600D22">
        <w:rPr>
          <w:rFonts w:hint="cs"/>
          <w:rtl/>
        </w:rPr>
        <w:t xml:space="preserve"> כאשר היא נרמסה בידי המון בני האדם, ולא ה</w:t>
      </w:r>
      <w:r w:rsidR="003E1307" w:rsidRPr="00600D22">
        <w:rPr>
          <w:rFonts w:hint="cs"/>
          <w:rtl/>
        </w:rPr>
        <w:t>י</w:t>
      </w:r>
      <w:r w:rsidRPr="00600D22">
        <w:rPr>
          <w:rFonts w:hint="cs"/>
          <w:rtl/>
        </w:rPr>
        <w:t>יתה יִראת אל</w:t>
      </w:r>
      <w:r w:rsidR="003E1307" w:rsidRPr="00600D22">
        <w:rPr>
          <w:rFonts w:hint="cs"/>
          <w:rtl/>
        </w:rPr>
        <w:t>ו</w:t>
      </w:r>
      <w:r w:rsidRPr="00600D22">
        <w:rPr>
          <w:rFonts w:hint="cs"/>
          <w:rtl/>
        </w:rPr>
        <w:t xml:space="preserve">הים </w:t>
      </w:r>
      <w:r w:rsidR="0095175F">
        <w:rPr>
          <w:rFonts w:hint="cs"/>
          <w:rtl/>
        </w:rPr>
        <w:t>(</w:t>
      </w:r>
      <w:proofErr w:type="spellStart"/>
      <w:r w:rsidR="0095175F" w:rsidRPr="00600D22">
        <w:rPr>
          <w:rFonts w:eastAsia="Times New Roman"/>
        </w:rPr>
        <w:t>εὐσεβείας</w:t>
      </w:r>
      <w:proofErr w:type="spellEnd"/>
      <w:r w:rsidR="0095175F">
        <w:rPr>
          <w:rFonts w:hint="cs"/>
          <w:rtl/>
        </w:rPr>
        <w:t xml:space="preserve">) </w:t>
      </w:r>
      <w:r w:rsidRPr="00600D22">
        <w:rPr>
          <w:rFonts w:hint="cs"/>
          <w:rtl/>
        </w:rPr>
        <w:t>בקרב בני האדם</w:t>
      </w:r>
      <w:r w:rsidR="006C4960">
        <w:rPr>
          <w:rFonts w:hint="cs"/>
          <w:rtl/>
        </w:rPr>
        <w:t xml:space="preserve"> </w:t>
      </w:r>
      <w:r w:rsidRPr="00600D22">
        <w:rPr>
          <w:rFonts w:hint="eastAsia"/>
          <w:rtl/>
        </w:rPr>
        <w:t xml:space="preserve">– </w:t>
      </w:r>
      <w:r w:rsidRPr="00600D22">
        <w:rPr>
          <w:rFonts w:hint="cs"/>
          <w:rtl/>
        </w:rPr>
        <w:t>ביקשה מזאוס להקל עליה את העול. וזאוס הביא ראשית כ</w:t>
      </w:r>
      <w:r w:rsidR="003E1307" w:rsidRPr="00600D22">
        <w:rPr>
          <w:rFonts w:hint="cs"/>
          <w:rtl/>
        </w:rPr>
        <w:t>ו</w:t>
      </w:r>
      <w:r w:rsidRPr="00600D22">
        <w:rPr>
          <w:rFonts w:hint="cs"/>
          <w:rtl/>
        </w:rPr>
        <w:t xml:space="preserve">ל את מלחמת תבאי, אשר באמצעותה המית רבים. ומאוחר יותר פעל על פי עצת </w:t>
      </w:r>
      <w:r w:rsidRPr="00600D22">
        <w:rPr>
          <w:rStyle w:val="minfolemma"/>
          <w:rFonts w:hint="cs"/>
          <w:rtl/>
        </w:rPr>
        <w:t>מוֹמוֹס</w:t>
      </w:r>
      <w:r w:rsidRPr="00600D22">
        <w:rPr>
          <w:rFonts w:hint="cs"/>
          <w:rtl/>
        </w:rPr>
        <w:t xml:space="preserve"> </w:t>
      </w:r>
      <w:r w:rsidR="000A4696">
        <w:t>]</w:t>
      </w:r>
      <w:r w:rsidR="000A4696">
        <w:rPr>
          <w:rFonts w:hint="cs"/>
          <w:rtl/>
        </w:rPr>
        <w:t xml:space="preserve">= </w:t>
      </w:r>
      <w:r w:rsidRPr="00600D22">
        <w:rPr>
          <w:rFonts w:hint="cs"/>
          <w:rtl/>
        </w:rPr>
        <w:t>קלון</w:t>
      </w:r>
      <w:r w:rsidR="000A4696">
        <w:rPr>
          <w:rStyle w:val="minfolemma"/>
        </w:rPr>
        <w:t>[</w:t>
      </w:r>
      <w:r w:rsidR="000A4696" w:rsidRPr="00600D22">
        <w:rPr>
          <w:rStyle w:val="minfolemma"/>
          <w:rFonts w:hint="cs"/>
          <w:rtl/>
        </w:rPr>
        <w:t xml:space="preserve"> </w:t>
      </w:r>
      <w:r w:rsidRPr="00600D22">
        <w:rPr>
          <w:rStyle w:val="minfolemma"/>
          <w:rFonts w:hint="eastAsia"/>
          <w:rtl/>
        </w:rPr>
        <w:t>–</w:t>
      </w:r>
      <w:r w:rsidRPr="00600D22">
        <w:rPr>
          <w:rStyle w:val="minfolemma"/>
          <w:rFonts w:hint="cs"/>
          <w:rtl/>
        </w:rPr>
        <w:t xml:space="preserve"> לזה הומרוס קורא </w:t>
      </w:r>
      <w:r w:rsidR="00FA1352">
        <w:rPr>
          <w:rStyle w:val="minfolemma"/>
          <w:rFonts w:hint="cs"/>
          <w:rtl/>
        </w:rPr>
        <w:t>"</w:t>
      </w:r>
      <w:r w:rsidRPr="00600D22">
        <w:rPr>
          <w:rStyle w:val="minfolemma"/>
          <w:rFonts w:hint="cs"/>
          <w:rtl/>
        </w:rPr>
        <w:t>עֲצָתוֹ שֶׁל זֵאוּס</w:t>
      </w:r>
      <w:r w:rsidR="00FA1352">
        <w:rPr>
          <w:rStyle w:val="minfolemma"/>
          <w:rFonts w:hint="cs"/>
          <w:rtl/>
        </w:rPr>
        <w:t>"</w:t>
      </w:r>
      <w:r w:rsidR="00DE6D43">
        <w:rPr>
          <w:rStyle w:val="minfolemma"/>
          <w:rFonts w:hint="cs"/>
          <w:rtl/>
        </w:rPr>
        <w:t xml:space="preserve"> (</w:t>
      </w:r>
      <w:proofErr w:type="spellStart"/>
      <w:r w:rsidR="00DE6D43" w:rsidRPr="00600D22">
        <w:rPr>
          <w:rFonts w:eastAsia="Times New Roman"/>
        </w:rPr>
        <w:t>Διὸς</w:t>
      </w:r>
      <w:proofErr w:type="spellEnd"/>
      <w:r w:rsidR="00DE6D43" w:rsidRPr="00600D22">
        <w:rPr>
          <w:rFonts w:eastAsia="Times New Roman"/>
        </w:rPr>
        <w:t xml:space="preserve"> </w:t>
      </w:r>
      <w:proofErr w:type="spellStart"/>
      <w:r w:rsidR="00DE6D43" w:rsidRPr="00600D22">
        <w:rPr>
          <w:rFonts w:eastAsia="Times New Roman"/>
        </w:rPr>
        <w:t>βουλὴν</w:t>
      </w:r>
      <w:proofErr w:type="spellEnd"/>
      <w:r w:rsidR="00DE6D43">
        <w:rPr>
          <w:rStyle w:val="minfolemma"/>
          <w:rFonts w:hint="cs"/>
          <w:rtl/>
        </w:rPr>
        <w:t>)</w:t>
      </w:r>
      <w:r w:rsidRPr="00600D22">
        <w:rPr>
          <w:rStyle w:val="minfolemma"/>
          <w:rFonts w:hint="cs"/>
          <w:rtl/>
        </w:rPr>
        <w:t xml:space="preserve">. אחרי </w:t>
      </w:r>
      <w:r w:rsidRPr="00600D22">
        <w:rPr>
          <w:rStyle w:val="minfolemma"/>
          <w:rFonts w:hint="cs"/>
          <w:rtl/>
        </w:rPr>
        <w:lastRenderedPageBreak/>
        <w:t>שזאוס התכוון להשמיד את כולם בברקים או במבול (</w:t>
      </w:r>
      <w:proofErr w:type="spellStart"/>
      <w:r w:rsidRPr="00600D22">
        <w:rPr>
          <w:rFonts w:eastAsia="Times New Roman"/>
        </w:rPr>
        <w:t>κατακλυσμοῖς</w:t>
      </w:r>
      <w:proofErr w:type="spellEnd"/>
      <w:r w:rsidRPr="00600D22">
        <w:rPr>
          <w:rStyle w:val="minfolemma"/>
          <w:rFonts w:hint="cs"/>
          <w:rtl/>
        </w:rPr>
        <w:t xml:space="preserve">), מנע זאת </w:t>
      </w:r>
      <w:r w:rsidR="007F0E77" w:rsidRPr="00600D22">
        <w:rPr>
          <w:rStyle w:val="minfolemma"/>
          <w:rFonts w:hint="cs"/>
          <w:rtl/>
        </w:rPr>
        <w:t xml:space="preserve">מוֹמוֹס </w:t>
      </w:r>
      <w:r w:rsidRPr="00600D22">
        <w:rPr>
          <w:rStyle w:val="minfolemma"/>
          <w:rFonts w:hint="cs"/>
          <w:rtl/>
        </w:rPr>
        <w:t>והציע לו במקום זאת שתי תכניות, את נישואי תטיס לבן תמותה</w:t>
      </w:r>
      <w:r w:rsidR="00DE6D43">
        <w:rPr>
          <w:rStyle w:val="minfolemma"/>
          <w:rFonts w:hint="cs"/>
          <w:rtl/>
        </w:rPr>
        <w:t xml:space="preserve"> </w:t>
      </w:r>
      <w:r w:rsidRPr="00600D22">
        <w:rPr>
          <w:rStyle w:val="minfolemma"/>
          <w:rFonts w:hint="cs"/>
          <w:rtl/>
        </w:rPr>
        <w:t>והולדת אישה יפה</w:t>
      </w:r>
      <w:r w:rsidR="003E1307" w:rsidRPr="00600D22">
        <w:rPr>
          <w:rStyle w:val="minfolemma"/>
          <w:rFonts w:hint="cs"/>
          <w:rtl/>
        </w:rPr>
        <w:t>.</w:t>
      </w:r>
      <w:r w:rsidRPr="00600D22">
        <w:rPr>
          <w:rStyle w:val="minfolemma"/>
          <w:rFonts w:hint="cs"/>
          <w:rtl/>
        </w:rPr>
        <w:t xml:space="preserve"> משני אלו פרצה מלחמת היוונים והברברים (=מלחמת טרויה), כך הוקל </w:t>
      </w:r>
      <w:r w:rsidR="0076096C" w:rsidRPr="00600D22">
        <w:rPr>
          <w:rStyle w:val="minfolemma"/>
          <w:rFonts w:hint="cs"/>
          <w:rtl/>
        </w:rPr>
        <w:t>לארץ</w:t>
      </w:r>
      <w:r w:rsidRPr="00600D22">
        <w:rPr>
          <w:rStyle w:val="minfolemma"/>
          <w:rFonts w:hint="cs"/>
          <w:rtl/>
        </w:rPr>
        <w:t xml:space="preserve">, ורבים נהרגו. את הסיפור מביא סטסינוס בחיבורו </w:t>
      </w:r>
      <w:r w:rsidR="00FA1352">
        <w:rPr>
          <w:rStyle w:val="minfolemma"/>
          <w:rFonts w:hint="cs"/>
          <w:rtl/>
        </w:rPr>
        <w:t>'</w:t>
      </w:r>
      <w:r w:rsidRPr="00600D22">
        <w:rPr>
          <w:rStyle w:val="minfolemma"/>
          <w:rFonts w:hint="cs"/>
          <w:rtl/>
        </w:rPr>
        <w:t>קיפריה</w:t>
      </w:r>
      <w:r w:rsidR="00FA1352">
        <w:rPr>
          <w:rStyle w:val="minfolemma"/>
          <w:rFonts w:hint="cs"/>
          <w:rtl/>
        </w:rPr>
        <w:t>'</w:t>
      </w:r>
      <w:r w:rsidRPr="00600D22">
        <w:rPr>
          <w:rStyle w:val="minfolemma"/>
          <w:rFonts w:hint="cs"/>
          <w:rtl/>
        </w:rPr>
        <w:t>.</w:t>
      </w:r>
      <w:r w:rsidR="003449B6" w:rsidRPr="00600D22">
        <w:rPr>
          <w:rStyle w:val="FootnoteReference"/>
          <w:rtl/>
        </w:rPr>
        <w:footnoteReference w:id="33"/>
      </w:r>
    </w:p>
    <w:p w:rsidR="00E10671" w:rsidRPr="00600D22" w:rsidRDefault="00E10671" w:rsidP="00064813">
      <w:pPr>
        <w:widowControl w:val="0"/>
        <w:spacing w:line="480" w:lineRule="auto"/>
        <w:ind w:firstLine="397"/>
        <w:rPr>
          <w:rtl/>
        </w:rPr>
      </w:pPr>
    </w:p>
    <w:p w:rsidR="00E10671" w:rsidRPr="00600D22" w:rsidRDefault="00E10671" w:rsidP="00CC1253">
      <w:pPr>
        <w:widowControl w:val="0"/>
        <w:spacing w:line="480" w:lineRule="auto"/>
        <w:rPr>
          <w:rtl/>
        </w:rPr>
      </w:pPr>
      <w:r w:rsidRPr="00600D22">
        <w:rPr>
          <w:rFonts w:hint="cs"/>
          <w:rtl/>
        </w:rPr>
        <w:t>לפי ה</w:t>
      </w:r>
      <w:r w:rsidR="00295974">
        <w:rPr>
          <w:rFonts w:hint="cs"/>
          <w:rtl/>
        </w:rPr>
        <w:t>'</w:t>
      </w:r>
      <w:r w:rsidRPr="00600D22">
        <w:rPr>
          <w:rFonts w:hint="cs"/>
          <w:rtl/>
        </w:rPr>
        <w:t>סכוליה</w:t>
      </w:r>
      <w:r w:rsidR="00295974">
        <w:rPr>
          <w:rFonts w:hint="cs"/>
          <w:rtl/>
        </w:rPr>
        <w:t>'</w:t>
      </w:r>
      <w:r w:rsidRPr="00600D22">
        <w:rPr>
          <w:rFonts w:hint="cs"/>
          <w:rtl/>
        </w:rPr>
        <w:t xml:space="preserve"> </w:t>
      </w:r>
      <w:r w:rsidR="00CC1253" w:rsidRPr="00600D22">
        <w:rPr>
          <w:rFonts w:hint="cs"/>
          <w:rtl/>
        </w:rPr>
        <w:t xml:space="preserve">בתחילה </w:t>
      </w:r>
      <w:r w:rsidRPr="00600D22">
        <w:rPr>
          <w:rFonts w:hint="cs"/>
          <w:rtl/>
        </w:rPr>
        <w:t xml:space="preserve">התכוון </w:t>
      </w:r>
      <w:r w:rsidR="00CC1253" w:rsidRPr="00600D22">
        <w:rPr>
          <w:rFonts w:hint="cs"/>
          <w:rtl/>
        </w:rPr>
        <w:t xml:space="preserve">זאוס </w:t>
      </w:r>
      <w:r w:rsidRPr="00600D22">
        <w:rPr>
          <w:rFonts w:hint="cs"/>
          <w:rtl/>
        </w:rPr>
        <w:t xml:space="preserve">להשמיד את בני האדם באמצעות מלחמת תבאי, אך כאשר לא עלה בידו להשמידם לחלוטין חשב </w:t>
      </w:r>
      <w:r w:rsidR="00295974">
        <w:rPr>
          <w:rFonts w:hint="cs"/>
          <w:rtl/>
        </w:rPr>
        <w:t>"</w:t>
      </w:r>
      <w:r w:rsidRPr="00600D22">
        <w:rPr>
          <w:rFonts w:hint="cs"/>
          <w:rtl/>
        </w:rPr>
        <w:t>להרוג את כולם באמצעות ברקים או מבול</w:t>
      </w:r>
      <w:r w:rsidR="00295974">
        <w:rPr>
          <w:rFonts w:hint="cs"/>
          <w:rtl/>
        </w:rPr>
        <w:t>"</w:t>
      </w:r>
      <w:r w:rsidRPr="00600D22">
        <w:rPr>
          <w:rFonts w:hint="cs"/>
          <w:rtl/>
        </w:rPr>
        <w:t xml:space="preserve"> (</w:t>
      </w:r>
      <w:proofErr w:type="spellStart"/>
      <w:r w:rsidRPr="00600D22">
        <w:rPr>
          <w:rFonts w:eastAsia="Times New Roman"/>
        </w:rPr>
        <w:t>κεραυνοῖς</w:t>
      </w:r>
      <w:proofErr w:type="spellEnd"/>
      <w:r w:rsidRPr="00600D22">
        <w:rPr>
          <w:rFonts w:eastAsia="Times New Roman"/>
        </w:rPr>
        <w:t xml:space="preserve"> ἢ </w:t>
      </w:r>
      <w:proofErr w:type="spellStart"/>
      <w:r w:rsidRPr="00600D22">
        <w:rPr>
          <w:rFonts w:eastAsia="Times New Roman"/>
        </w:rPr>
        <w:t>κατακλυσμοῖς</w:t>
      </w:r>
      <w:proofErr w:type="spellEnd"/>
      <w:r w:rsidRPr="00600D22">
        <w:rPr>
          <w:rFonts w:eastAsia="Times New Roman"/>
        </w:rPr>
        <w:t xml:space="preserve"> </w:t>
      </w:r>
      <w:proofErr w:type="spellStart"/>
      <w:r w:rsidRPr="00600D22">
        <w:rPr>
          <w:rFonts w:eastAsia="Times New Roman"/>
        </w:rPr>
        <w:t>πάντας</w:t>
      </w:r>
      <w:proofErr w:type="spellEnd"/>
      <w:r w:rsidRPr="00600D22">
        <w:rPr>
          <w:rFonts w:eastAsia="Times New Roman"/>
        </w:rPr>
        <w:t xml:space="preserve"> </w:t>
      </w:r>
      <w:proofErr w:type="spellStart"/>
      <w:r w:rsidRPr="00600D22">
        <w:rPr>
          <w:rFonts w:eastAsia="Times New Roman"/>
        </w:rPr>
        <w:t>διαφθεῖραι</w:t>
      </w:r>
      <w:proofErr w:type="spellEnd"/>
      <w:r w:rsidRPr="00600D22">
        <w:rPr>
          <w:rFonts w:hint="cs"/>
          <w:rtl/>
        </w:rPr>
        <w:t>). לבסוף עשה לפי עצת מוֹמוֹס (קלון)</w:t>
      </w:r>
      <w:r w:rsidRPr="00600D22">
        <w:rPr>
          <w:rStyle w:val="FootnoteReference"/>
          <w:rtl/>
        </w:rPr>
        <w:footnoteReference w:id="34"/>
      </w:r>
      <w:r w:rsidRPr="00600D22">
        <w:rPr>
          <w:rFonts w:hint="cs"/>
          <w:rtl/>
        </w:rPr>
        <w:t xml:space="preserve"> והביא את מלחמת טרויה, אשר </w:t>
      </w:r>
      <w:r w:rsidR="00801E42" w:rsidRPr="00600D22">
        <w:rPr>
          <w:rFonts w:hint="cs"/>
          <w:rtl/>
        </w:rPr>
        <w:t xml:space="preserve">הקלה </w:t>
      </w:r>
      <w:r w:rsidR="007E4C46">
        <w:rPr>
          <w:rFonts w:hint="cs"/>
          <w:rtl/>
        </w:rPr>
        <w:t>ע</w:t>
      </w:r>
      <w:r w:rsidR="00801E42" w:rsidRPr="00600D22">
        <w:rPr>
          <w:rFonts w:hint="cs"/>
          <w:rtl/>
        </w:rPr>
        <w:t>ל</w:t>
      </w:r>
      <w:r w:rsidR="007E4C46">
        <w:rPr>
          <w:rFonts w:hint="cs"/>
          <w:rtl/>
        </w:rPr>
        <w:t xml:space="preserve"> ה</w:t>
      </w:r>
      <w:r w:rsidR="00801E42" w:rsidRPr="00600D22">
        <w:rPr>
          <w:rFonts w:hint="cs"/>
          <w:rtl/>
        </w:rPr>
        <w:t>ארץ</w:t>
      </w:r>
      <w:r w:rsidR="00801E42" w:rsidRPr="00600D22">
        <w:rPr>
          <w:rtl/>
        </w:rPr>
        <w:t xml:space="preserve"> </w:t>
      </w:r>
      <w:r w:rsidRPr="00600D22">
        <w:rPr>
          <w:rFonts w:hint="cs"/>
          <w:rtl/>
        </w:rPr>
        <w:t>(</w:t>
      </w:r>
      <w:proofErr w:type="spellStart"/>
      <w:r w:rsidRPr="00600D22">
        <w:rPr>
          <w:rFonts w:eastAsia="Times New Roman"/>
        </w:rPr>
        <w:t>οὕτω</w:t>
      </w:r>
      <w:proofErr w:type="spellEnd"/>
      <w:r w:rsidRPr="00600D22">
        <w:rPr>
          <w:rFonts w:eastAsia="Times New Roman"/>
        </w:rPr>
        <w:t xml:space="preserve"> </w:t>
      </w:r>
      <w:proofErr w:type="spellStart"/>
      <w:r w:rsidRPr="00600D22">
        <w:rPr>
          <w:rFonts w:eastAsia="Times New Roman"/>
        </w:rPr>
        <w:t>συμβῆναι</w:t>
      </w:r>
      <w:proofErr w:type="spellEnd"/>
      <w:r w:rsidRPr="00600D22">
        <w:rPr>
          <w:rFonts w:eastAsia="Times New Roman"/>
        </w:rPr>
        <w:t xml:space="preserve"> </w:t>
      </w:r>
      <w:proofErr w:type="spellStart"/>
      <w:r w:rsidRPr="00600D22">
        <w:rPr>
          <w:rFonts w:eastAsia="Times New Roman"/>
        </w:rPr>
        <w:t>κουφισθῆναι</w:t>
      </w:r>
      <w:proofErr w:type="spellEnd"/>
      <w:r w:rsidRPr="00600D22">
        <w:rPr>
          <w:rFonts w:eastAsia="Times New Roman"/>
        </w:rPr>
        <w:t xml:space="preserve"> </w:t>
      </w:r>
      <w:proofErr w:type="spellStart"/>
      <w:r w:rsidRPr="00600D22">
        <w:rPr>
          <w:rFonts w:eastAsia="Times New Roman"/>
        </w:rPr>
        <w:t>τὴν</w:t>
      </w:r>
      <w:proofErr w:type="spellEnd"/>
      <w:r w:rsidRPr="00600D22">
        <w:rPr>
          <w:rFonts w:eastAsia="Times New Roman"/>
        </w:rPr>
        <w:t xml:space="preserve"> </w:t>
      </w:r>
      <w:proofErr w:type="spellStart"/>
      <w:r w:rsidRPr="00600D22">
        <w:rPr>
          <w:rFonts w:eastAsia="Times New Roman"/>
        </w:rPr>
        <w:t>γῆν</w:t>
      </w:r>
      <w:proofErr w:type="spellEnd"/>
      <w:r w:rsidRPr="00600D22">
        <w:rPr>
          <w:rFonts w:hint="cs"/>
          <w:rtl/>
        </w:rPr>
        <w:t xml:space="preserve">). נראה כי מחבר </w:t>
      </w:r>
      <w:r w:rsidR="00295974">
        <w:rPr>
          <w:rFonts w:hint="cs"/>
          <w:rtl/>
        </w:rPr>
        <w:t>'</w:t>
      </w:r>
      <w:r w:rsidRPr="00600D22">
        <w:rPr>
          <w:rFonts w:hint="cs"/>
          <w:rtl/>
        </w:rPr>
        <w:t>קיפריה</w:t>
      </w:r>
      <w:r w:rsidR="00295974">
        <w:rPr>
          <w:rFonts w:hint="cs"/>
          <w:rtl/>
        </w:rPr>
        <w:t>'</w:t>
      </w:r>
      <w:r w:rsidRPr="00600D22">
        <w:rPr>
          <w:rFonts w:hint="cs"/>
          <w:rtl/>
        </w:rPr>
        <w:t>, שמוצאו על פי המסורת מקפריסין,</w:t>
      </w:r>
      <w:r w:rsidRPr="00600D22">
        <w:rPr>
          <w:rStyle w:val="FootnoteReference"/>
          <w:rtl/>
        </w:rPr>
        <w:footnoteReference w:id="35"/>
      </w:r>
      <w:r w:rsidRPr="00600D22">
        <w:rPr>
          <w:rFonts w:hint="cs"/>
          <w:rtl/>
        </w:rPr>
        <w:t xml:space="preserve"> הסגיר את העובדה שהוא תלוי בדפוס המבול כשהציג את מלחמת טרויה, לפחות בעיני ה</w:t>
      </w:r>
      <w:r w:rsidR="00295974">
        <w:rPr>
          <w:rFonts w:hint="cs"/>
          <w:rtl/>
        </w:rPr>
        <w:t>'</w:t>
      </w:r>
      <w:r w:rsidRPr="00600D22">
        <w:rPr>
          <w:rFonts w:hint="cs"/>
          <w:rtl/>
        </w:rPr>
        <w:t>סכוליה</w:t>
      </w:r>
      <w:r w:rsidR="00295974">
        <w:rPr>
          <w:rFonts w:hint="cs"/>
          <w:rtl/>
        </w:rPr>
        <w:t>'</w:t>
      </w:r>
      <w:r w:rsidRPr="00600D22">
        <w:rPr>
          <w:rFonts w:hint="cs"/>
          <w:rtl/>
        </w:rPr>
        <w:t>, כתחליף למבול.</w:t>
      </w:r>
    </w:p>
    <w:p w:rsidR="0004304E" w:rsidRPr="00600D22" w:rsidRDefault="00C07CA9" w:rsidP="006F5169">
      <w:pPr>
        <w:widowControl w:val="0"/>
        <w:spacing w:line="480" w:lineRule="auto"/>
        <w:ind w:firstLine="397"/>
        <w:rPr>
          <w:rtl/>
        </w:rPr>
      </w:pPr>
      <w:r w:rsidRPr="00600D22">
        <w:rPr>
          <w:rFonts w:hint="cs"/>
          <w:rtl/>
        </w:rPr>
        <w:t xml:space="preserve">עשוי </w:t>
      </w:r>
      <w:r w:rsidR="00313E2A" w:rsidRPr="00600D22">
        <w:rPr>
          <w:rFonts w:hint="cs"/>
          <w:rtl/>
        </w:rPr>
        <w:t xml:space="preserve">להיווצר </w:t>
      </w:r>
      <w:r w:rsidRPr="00600D22">
        <w:rPr>
          <w:rFonts w:hint="cs"/>
          <w:rtl/>
        </w:rPr>
        <w:t>אפוא הרושם</w:t>
      </w:r>
      <w:r w:rsidR="00E10671" w:rsidRPr="00600D22">
        <w:rPr>
          <w:rFonts w:hint="cs"/>
          <w:rtl/>
        </w:rPr>
        <w:t xml:space="preserve"> כי סיפור המבול המזרחי, שהחל לחלחל אל הספרות היוונית בתקופה הארכאית, הותיר את רישומו בחיבורים יווניים שבהם נזכרה השמדת דור הגיבורים </w:t>
      </w:r>
      <w:r w:rsidR="00E10671" w:rsidRPr="00600D22">
        <w:rPr>
          <w:rFonts w:hint="cs"/>
          <w:rtl/>
        </w:rPr>
        <w:lastRenderedPageBreak/>
        <w:t>והאנושות בכלל</w:t>
      </w:r>
      <w:r w:rsidR="00C53ABC" w:rsidRPr="00600D22">
        <w:rPr>
          <w:rFonts w:hint="cs"/>
          <w:rtl/>
        </w:rPr>
        <w:t>.</w:t>
      </w:r>
      <w:r w:rsidR="00E10671" w:rsidRPr="00600D22">
        <w:rPr>
          <w:rFonts w:hint="cs"/>
          <w:rtl/>
        </w:rPr>
        <w:t xml:space="preserve"> </w:t>
      </w:r>
      <w:r w:rsidR="002A09A6" w:rsidRPr="00600D22">
        <w:rPr>
          <w:rFonts w:hint="cs"/>
          <w:rtl/>
        </w:rPr>
        <w:t>טקסט נוסף שבו ניתן למצוא השפעה דומה, ועשוי לתרום להבנת ה</w:t>
      </w:r>
      <w:r w:rsidR="00E05F70">
        <w:rPr>
          <w:rFonts w:hint="cs"/>
          <w:rtl/>
        </w:rPr>
        <w:t>סצינה</w:t>
      </w:r>
      <w:r w:rsidR="002A09A6" w:rsidRPr="00600D22">
        <w:rPr>
          <w:rFonts w:hint="cs"/>
          <w:rtl/>
        </w:rPr>
        <w:t xml:space="preserve"> ב</w:t>
      </w:r>
      <w:r w:rsidR="00FA1352">
        <w:rPr>
          <w:rFonts w:hint="cs"/>
          <w:rtl/>
        </w:rPr>
        <w:t>'</w:t>
      </w:r>
      <w:r w:rsidR="002A09A6" w:rsidRPr="00600D22">
        <w:rPr>
          <w:rFonts w:hint="cs"/>
          <w:rtl/>
        </w:rPr>
        <w:t>קטלוג הנשים</w:t>
      </w:r>
      <w:r w:rsidR="00FA1352">
        <w:rPr>
          <w:rFonts w:hint="cs"/>
          <w:rtl/>
        </w:rPr>
        <w:t>'</w:t>
      </w:r>
      <w:r w:rsidR="002A09A6" w:rsidRPr="00600D22">
        <w:rPr>
          <w:rFonts w:hint="cs"/>
          <w:rtl/>
        </w:rPr>
        <w:t>, הוא ה</w:t>
      </w:r>
      <w:r w:rsidR="00AC7C8F" w:rsidRPr="00600D22">
        <w:rPr>
          <w:rFonts w:hint="cs"/>
          <w:rtl/>
        </w:rPr>
        <w:t>סיפור על השמדת החומה האכאיית ב</w:t>
      </w:r>
      <w:r w:rsidR="00FA1352">
        <w:rPr>
          <w:rFonts w:hint="cs"/>
          <w:rtl/>
        </w:rPr>
        <w:t>'</w:t>
      </w:r>
      <w:r w:rsidR="00AC7C8F" w:rsidRPr="00600D22">
        <w:rPr>
          <w:rFonts w:hint="cs"/>
          <w:rtl/>
        </w:rPr>
        <w:t>איליאדה</w:t>
      </w:r>
      <w:r w:rsidR="00FA1352">
        <w:rPr>
          <w:rFonts w:hint="cs"/>
          <w:rtl/>
        </w:rPr>
        <w:t>'</w:t>
      </w:r>
      <w:r w:rsidR="00E746A5" w:rsidRPr="00600D22">
        <w:rPr>
          <w:rFonts w:hint="cs"/>
          <w:rtl/>
        </w:rPr>
        <w:t>,</w:t>
      </w:r>
      <w:r w:rsidR="00AC7C8F" w:rsidRPr="00600D22">
        <w:rPr>
          <w:rFonts w:hint="cs"/>
          <w:rtl/>
        </w:rPr>
        <w:t xml:space="preserve"> הנחשב כבר מן העת העתיקה </w:t>
      </w:r>
      <w:r w:rsidR="004E4271" w:rsidRPr="00600D22">
        <w:rPr>
          <w:rFonts w:hint="cs"/>
          <w:rtl/>
        </w:rPr>
        <w:t>ל</w:t>
      </w:r>
      <w:r w:rsidR="00AC7C8F" w:rsidRPr="00600D22">
        <w:rPr>
          <w:rFonts w:hint="cs"/>
          <w:rtl/>
        </w:rPr>
        <w:t>רובד חריג</w:t>
      </w:r>
      <w:r w:rsidR="002A09A6" w:rsidRPr="00600D22">
        <w:rPr>
          <w:rFonts w:hint="cs"/>
          <w:rtl/>
        </w:rPr>
        <w:t xml:space="preserve"> ביצירה ההומרית</w:t>
      </w:r>
      <w:r w:rsidR="00AC7C8F" w:rsidRPr="00600D22">
        <w:rPr>
          <w:rFonts w:hint="cs"/>
          <w:rtl/>
        </w:rPr>
        <w:t>.</w:t>
      </w:r>
      <w:r w:rsidR="00AC7C8F" w:rsidRPr="00600D22">
        <w:rPr>
          <w:rStyle w:val="FootnoteReference"/>
          <w:rtl/>
        </w:rPr>
        <w:footnoteReference w:id="36"/>
      </w:r>
      <w:r w:rsidR="00AC7C8F" w:rsidRPr="00600D22">
        <w:rPr>
          <w:rFonts w:hint="cs"/>
          <w:rtl/>
        </w:rPr>
        <w:t xml:space="preserve"> סיפור </w:t>
      </w:r>
      <w:r w:rsidR="00E9143C" w:rsidRPr="00600D22">
        <w:rPr>
          <w:rFonts w:hint="cs"/>
          <w:rtl/>
        </w:rPr>
        <w:t>זה</w:t>
      </w:r>
      <w:r w:rsidR="00AC7C8F" w:rsidRPr="00600D22">
        <w:rPr>
          <w:rFonts w:hint="cs"/>
          <w:rtl/>
        </w:rPr>
        <w:t xml:space="preserve"> אצל הומרוס מורכב משני חלקים</w:t>
      </w:r>
      <w:r w:rsidR="00E746A5" w:rsidRPr="00600D22">
        <w:rPr>
          <w:rFonts w:hint="cs"/>
          <w:rtl/>
        </w:rPr>
        <w:t>:</w:t>
      </w:r>
      <w:r w:rsidR="00AC7C8F" w:rsidRPr="00600D22">
        <w:rPr>
          <w:rFonts w:hint="cs"/>
          <w:rtl/>
        </w:rPr>
        <w:t xml:space="preserve"> בתחילה סופר כיצד האכאים שצרו על טרויה </w:t>
      </w:r>
      <w:r w:rsidR="00A63660" w:rsidRPr="00600D22">
        <w:rPr>
          <w:rFonts w:hint="cs"/>
          <w:rtl/>
        </w:rPr>
        <w:t xml:space="preserve">בנו </w:t>
      </w:r>
      <w:r w:rsidR="00AC7C8F" w:rsidRPr="00600D22">
        <w:rPr>
          <w:rFonts w:hint="cs"/>
          <w:rtl/>
        </w:rPr>
        <w:t>חומה להגנת אניותיהם (</w:t>
      </w:r>
      <w:r w:rsidR="00AC7C8F" w:rsidRPr="00600D22">
        <w:rPr>
          <w:i/>
          <w:iCs/>
        </w:rPr>
        <w:t>Il</w:t>
      </w:r>
      <w:r w:rsidR="00AC7C8F" w:rsidRPr="00600D22">
        <w:t>. 7. 433–466</w:t>
      </w:r>
      <w:r w:rsidR="00AC7C8F" w:rsidRPr="00600D22">
        <w:rPr>
          <w:rFonts w:hint="cs"/>
          <w:rtl/>
        </w:rPr>
        <w:t xml:space="preserve">), ובהמשך סופר כיצד הים, הנהרות והגשם </w:t>
      </w:r>
      <w:r w:rsidR="0001550F" w:rsidRPr="00600D22">
        <w:rPr>
          <w:rFonts w:hint="cs"/>
          <w:rtl/>
        </w:rPr>
        <w:t xml:space="preserve">שטפו </w:t>
      </w:r>
      <w:r w:rsidR="00AC7C8F" w:rsidRPr="00600D22">
        <w:rPr>
          <w:rFonts w:hint="cs"/>
          <w:rtl/>
        </w:rPr>
        <w:t>את החומה (</w:t>
      </w:r>
      <w:r w:rsidR="00AC7C8F" w:rsidRPr="00600D22">
        <w:rPr>
          <w:i/>
          <w:iCs/>
        </w:rPr>
        <w:t>Il</w:t>
      </w:r>
      <w:r w:rsidR="00AC7C8F" w:rsidRPr="00600D22">
        <w:t>. 12.3–35</w:t>
      </w:r>
      <w:r w:rsidR="00AC7C8F" w:rsidRPr="00600D22">
        <w:rPr>
          <w:rFonts w:hint="cs"/>
          <w:rtl/>
        </w:rPr>
        <w:t>). על אף שחומה זו לא הי</w:t>
      </w:r>
      <w:r w:rsidR="00E746A5" w:rsidRPr="00600D22">
        <w:rPr>
          <w:rFonts w:hint="cs"/>
          <w:rtl/>
        </w:rPr>
        <w:t>י</w:t>
      </w:r>
      <w:r w:rsidR="00AC7C8F" w:rsidRPr="00600D22">
        <w:rPr>
          <w:rFonts w:hint="cs"/>
          <w:rtl/>
        </w:rPr>
        <w:t>תה אמורה להיות יותר מאשר ביצורי מגן זמניים בזמן שהותם של האכאים בטרויה, תוּארה החומה כמפעל אדיר, עד כדי כך שעוררה את קנאתו של פוסידון והביאה אותו לדרוש את החרבת החומה. זאוס נעתר לבקשתו של פוסידון, אך רק לאחר תום המלחמה. ואכן כאשר השיגו היוונים את הניצחון, ושבו למקומם</w:t>
      </w:r>
      <w:r w:rsidR="004E4271" w:rsidRPr="00600D22">
        <w:rPr>
          <w:rFonts w:hint="cs"/>
          <w:rtl/>
        </w:rPr>
        <w:t>,</w:t>
      </w:r>
      <w:r w:rsidR="00AC7C8F" w:rsidRPr="00600D22">
        <w:rPr>
          <w:rFonts w:hint="cs"/>
          <w:rtl/>
        </w:rPr>
        <w:t xml:space="preserve"> הוחרבה החומה</w:t>
      </w:r>
      <w:r w:rsidR="00F937D8" w:rsidRPr="00600D22">
        <w:rPr>
          <w:rFonts w:hint="cs"/>
          <w:rtl/>
        </w:rPr>
        <w:t>;</w:t>
      </w:r>
      <w:r w:rsidR="00AC7C8F" w:rsidRPr="00600D22">
        <w:rPr>
          <w:rFonts w:hint="cs"/>
          <w:rtl/>
        </w:rPr>
        <w:t xml:space="preserve"> פוסידון הציף את החומה בגלי הים, אפולון הטה לשם שמונה נהרות ששטפו את החומה במשך תשעה ימים</w:t>
      </w:r>
      <w:r w:rsidR="00F937D8" w:rsidRPr="00600D22">
        <w:rPr>
          <w:rFonts w:hint="cs"/>
          <w:rtl/>
        </w:rPr>
        <w:t>, ו</w:t>
      </w:r>
      <w:r w:rsidR="00AC7C8F" w:rsidRPr="00600D22">
        <w:rPr>
          <w:rFonts w:hint="cs"/>
          <w:rtl/>
        </w:rPr>
        <w:t xml:space="preserve">זאוס המטיר גשמים על החומה להטביע את שרידיה. </w:t>
      </w:r>
      <w:r w:rsidR="00E9143C" w:rsidRPr="00600D22">
        <w:rPr>
          <w:rFonts w:hint="cs"/>
          <w:rtl/>
        </w:rPr>
        <w:t xml:space="preserve">כל התיאור </w:t>
      </w:r>
      <w:r w:rsidR="00E746A5" w:rsidRPr="00600D22">
        <w:rPr>
          <w:rFonts w:hint="cs"/>
          <w:rtl/>
        </w:rPr>
        <w:t>ה</w:t>
      </w:r>
      <w:r w:rsidR="00E9143C" w:rsidRPr="00600D22">
        <w:rPr>
          <w:rFonts w:hint="cs"/>
          <w:rtl/>
        </w:rPr>
        <w:t xml:space="preserve">זה </w:t>
      </w:r>
      <w:r w:rsidR="00AC7C8F" w:rsidRPr="00600D22">
        <w:rPr>
          <w:rFonts w:hint="cs"/>
          <w:rtl/>
        </w:rPr>
        <w:t xml:space="preserve">בשיר י"ב של </w:t>
      </w:r>
      <w:r w:rsidR="00A63660">
        <w:rPr>
          <w:rFonts w:hint="cs"/>
          <w:rtl/>
        </w:rPr>
        <w:t>'</w:t>
      </w:r>
      <w:r w:rsidR="00AC7C8F" w:rsidRPr="00600D22">
        <w:rPr>
          <w:rFonts w:hint="cs"/>
          <w:rtl/>
        </w:rPr>
        <w:t>איליאדה</w:t>
      </w:r>
      <w:r w:rsidR="00A63660">
        <w:rPr>
          <w:rFonts w:hint="cs"/>
          <w:rtl/>
        </w:rPr>
        <w:t>'</w:t>
      </w:r>
      <w:r w:rsidR="002A09A6" w:rsidRPr="00600D22">
        <w:rPr>
          <w:rFonts w:hint="cs"/>
          <w:rtl/>
        </w:rPr>
        <w:t>,</w:t>
      </w:r>
      <w:r w:rsidR="00AC7C8F" w:rsidRPr="00600D22">
        <w:rPr>
          <w:rFonts w:hint="cs"/>
          <w:rtl/>
        </w:rPr>
        <w:t xml:space="preserve"> </w:t>
      </w:r>
      <w:r w:rsidR="00456F4C" w:rsidRPr="00600D22">
        <w:rPr>
          <w:rFonts w:hint="cs"/>
          <w:rtl/>
        </w:rPr>
        <w:t xml:space="preserve">ששייך לפי זמן העלילה לימים שאחרי מלחמת טרויה, </w:t>
      </w:r>
      <w:r w:rsidR="00AC7C8F" w:rsidRPr="00600D22">
        <w:rPr>
          <w:rFonts w:hint="cs"/>
          <w:rtl/>
        </w:rPr>
        <w:t>א</w:t>
      </w:r>
      <w:r w:rsidR="00456F4C" w:rsidRPr="00600D22">
        <w:rPr>
          <w:rFonts w:hint="cs"/>
          <w:rtl/>
        </w:rPr>
        <w:t>י</w:t>
      </w:r>
      <w:r w:rsidR="00AC7C8F" w:rsidRPr="00600D22">
        <w:rPr>
          <w:rFonts w:hint="cs"/>
          <w:rtl/>
        </w:rPr>
        <w:t xml:space="preserve">נו מוצג </w:t>
      </w:r>
      <w:r w:rsidR="00456F4C" w:rsidRPr="00600D22">
        <w:rPr>
          <w:rFonts w:hint="cs"/>
          <w:rtl/>
        </w:rPr>
        <w:t xml:space="preserve">ביצירה </w:t>
      </w:r>
      <w:r w:rsidR="00AC7C8F" w:rsidRPr="00600D22">
        <w:rPr>
          <w:rFonts w:hint="cs"/>
          <w:rtl/>
        </w:rPr>
        <w:t>לפי הסדר הכרונולוגי, אלא כ</w:t>
      </w:r>
      <w:r w:rsidR="002A09A6" w:rsidRPr="00600D22">
        <w:rPr>
          <w:rFonts w:hint="cs"/>
          <w:rtl/>
        </w:rPr>
        <w:t>מבט-</w:t>
      </w:r>
      <w:r w:rsidR="00AC7C8F" w:rsidRPr="00600D22">
        <w:rPr>
          <w:rFonts w:hint="cs"/>
          <w:rtl/>
        </w:rPr>
        <w:t>לעתיד</w:t>
      </w:r>
      <w:r w:rsidR="002A09A6" w:rsidRPr="00600D22">
        <w:rPr>
          <w:rFonts w:hint="cs"/>
          <w:rtl/>
        </w:rPr>
        <w:t>,</w:t>
      </w:r>
      <w:r w:rsidR="00AC7C8F" w:rsidRPr="00600D22">
        <w:rPr>
          <w:rFonts w:hint="cs"/>
          <w:rtl/>
        </w:rPr>
        <w:t xml:space="preserve"> לימים שיבואו בסוף המלחמה, על אף שאין זו נבואה, חזון או חלום.</w:t>
      </w:r>
      <w:r w:rsidR="00AC7C8F" w:rsidRPr="00600D22">
        <w:rPr>
          <w:rStyle w:val="FootnoteReference"/>
          <w:rtl/>
        </w:rPr>
        <w:footnoteReference w:id="37"/>
      </w:r>
      <w:r w:rsidR="00AC7C8F" w:rsidRPr="00600D22">
        <w:rPr>
          <w:rFonts w:hint="cs"/>
          <w:rtl/>
        </w:rPr>
        <w:t xml:space="preserve"> סיפור יוצא דופן זה </w:t>
      </w:r>
      <w:r w:rsidR="00456F4C" w:rsidRPr="00600D22">
        <w:rPr>
          <w:rFonts w:hint="cs"/>
          <w:rtl/>
        </w:rPr>
        <w:t xml:space="preserve">גם </w:t>
      </w:r>
      <w:r w:rsidR="00AC7C8F" w:rsidRPr="00600D22">
        <w:rPr>
          <w:rFonts w:hint="cs"/>
          <w:rtl/>
        </w:rPr>
        <w:t>סותר את מה שסופר דרך אגב בשיר ט"ו (</w:t>
      </w:r>
      <w:r w:rsidR="00AC7C8F" w:rsidRPr="00600D22">
        <w:rPr>
          <w:i/>
          <w:iCs/>
        </w:rPr>
        <w:t>Il</w:t>
      </w:r>
      <w:r w:rsidR="00AC7C8F" w:rsidRPr="00600D22">
        <w:t>. 15. 361–363</w:t>
      </w:r>
      <w:r w:rsidR="00AC7C8F" w:rsidRPr="00600D22">
        <w:rPr>
          <w:rFonts w:hint="cs"/>
          <w:rtl/>
        </w:rPr>
        <w:t xml:space="preserve">), </w:t>
      </w:r>
      <w:r w:rsidR="00E746A5" w:rsidRPr="00600D22">
        <w:rPr>
          <w:rFonts w:hint="cs"/>
          <w:rtl/>
        </w:rPr>
        <w:t xml:space="preserve">ובו </w:t>
      </w:r>
      <w:r w:rsidR="0001550F" w:rsidRPr="00600D22">
        <w:rPr>
          <w:rFonts w:hint="cs"/>
          <w:rtl/>
        </w:rPr>
        <w:t xml:space="preserve">השמיד </w:t>
      </w:r>
      <w:r w:rsidR="00AC7C8F" w:rsidRPr="00600D22">
        <w:rPr>
          <w:rFonts w:hint="cs"/>
          <w:rtl/>
        </w:rPr>
        <w:t>אפולון על נקלה את חומת האכאיים במהלך הקרב</w:t>
      </w:r>
      <w:r w:rsidR="00A63660">
        <w:rPr>
          <w:rFonts w:hint="cs"/>
          <w:rtl/>
        </w:rPr>
        <w:t>,</w:t>
      </w:r>
      <w:r w:rsidR="00AC7C8F" w:rsidRPr="00600D22">
        <w:rPr>
          <w:rFonts w:hint="cs"/>
          <w:rtl/>
        </w:rPr>
        <w:t xml:space="preserve"> </w:t>
      </w:r>
      <w:r w:rsidR="00295974">
        <w:rPr>
          <w:rFonts w:hint="cs"/>
          <w:rtl/>
        </w:rPr>
        <w:t>"</w:t>
      </w:r>
      <w:r w:rsidR="00AC7C8F" w:rsidRPr="00600D22">
        <w:rPr>
          <w:rFonts w:hint="cs"/>
          <w:rtl/>
        </w:rPr>
        <w:t>כמו ילד אחד על שפת הים, אשר מגדל חול שעשה לשעשועים בילדותו, נתץ בידיו וברגליו בשחקו</w:t>
      </w:r>
      <w:r w:rsidR="00295974">
        <w:rPr>
          <w:rFonts w:hint="cs"/>
          <w:rtl/>
        </w:rPr>
        <w:t>"</w:t>
      </w:r>
      <w:r w:rsidR="00AC7C8F" w:rsidRPr="00600D22">
        <w:rPr>
          <w:rFonts w:hint="cs"/>
          <w:rtl/>
        </w:rPr>
        <w:t xml:space="preserve"> </w:t>
      </w:r>
      <w:proofErr w:type="gramStart"/>
      <w:r w:rsidR="00AC7C8F" w:rsidRPr="00600D22">
        <w:rPr>
          <w:rFonts w:hint="cs"/>
          <w:rtl/>
        </w:rPr>
        <w:t>(</w:t>
      </w:r>
      <w:r w:rsidR="00AC7C8F" w:rsidRPr="00600D22">
        <w:rPr>
          <w:rFonts w:eastAsia="Times New Roman"/>
        </w:rPr>
        <w:t xml:space="preserve"> </w:t>
      </w:r>
      <w:r w:rsidR="00AC7C8F" w:rsidRPr="00600D22">
        <w:rPr>
          <w:rFonts w:eastAsia="Times New Roman"/>
          <w:i/>
          <w:iCs/>
        </w:rPr>
        <w:t>Il</w:t>
      </w:r>
      <w:proofErr w:type="gramEnd"/>
      <w:r w:rsidR="00AC7C8F" w:rsidRPr="00600D22">
        <w:rPr>
          <w:rFonts w:eastAsia="Times New Roman"/>
        </w:rPr>
        <w:t>. 15.362–364</w:t>
      </w:r>
      <w:r w:rsidR="00AC7C8F" w:rsidRPr="00600D22">
        <w:rPr>
          <w:rFonts w:hint="cs"/>
          <w:rtl/>
        </w:rPr>
        <w:t>).</w:t>
      </w:r>
      <w:r w:rsidR="00660FF4">
        <w:rPr>
          <w:rStyle w:val="FootnoteReference"/>
          <w:rtl/>
        </w:rPr>
        <w:footnoteReference w:id="38"/>
      </w:r>
      <w:r w:rsidR="00AC7C8F" w:rsidRPr="00600D22">
        <w:rPr>
          <w:rFonts w:hint="cs"/>
          <w:rtl/>
        </w:rPr>
        <w:t xml:space="preserve"> לא זאת בלבד שמתברר כי חומה חסרת ערך זו לא הי</w:t>
      </w:r>
      <w:r w:rsidR="00E746A5" w:rsidRPr="00600D22">
        <w:rPr>
          <w:rFonts w:hint="cs"/>
          <w:rtl/>
        </w:rPr>
        <w:t>י</w:t>
      </w:r>
      <w:r w:rsidR="00AC7C8F" w:rsidRPr="00600D22">
        <w:rPr>
          <w:rFonts w:hint="cs"/>
          <w:rtl/>
        </w:rPr>
        <w:t xml:space="preserve">תה יכולה לעורר את קנאתו של פוסידון, אלא גם שלפי תיאור </w:t>
      </w:r>
      <w:r w:rsidR="00E746A5" w:rsidRPr="00600D22">
        <w:rPr>
          <w:rFonts w:hint="cs"/>
          <w:rtl/>
        </w:rPr>
        <w:t>ז</w:t>
      </w:r>
      <w:r w:rsidR="00AC7C8F" w:rsidRPr="00600D22">
        <w:rPr>
          <w:rFonts w:hint="cs"/>
          <w:rtl/>
        </w:rPr>
        <w:t>ה, לא נותר דבר</w:t>
      </w:r>
      <w:r w:rsidR="00E746A5" w:rsidRPr="00600D22">
        <w:rPr>
          <w:rFonts w:hint="cs"/>
          <w:rtl/>
        </w:rPr>
        <w:t>-</w:t>
      </w:r>
      <w:r w:rsidR="00AC7C8F" w:rsidRPr="00600D22">
        <w:rPr>
          <w:rFonts w:hint="cs"/>
          <w:rtl/>
        </w:rPr>
        <w:t xml:space="preserve">מה שיש להרסו בסוף המלחמה. </w:t>
      </w:r>
      <w:r w:rsidR="00E746A5" w:rsidRPr="00600D22">
        <w:rPr>
          <w:rFonts w:hint="cs"/>
          <w:rtl/>
        </w:rPr>
        <w:t xml:space="preserve">אי אפשר </w:t>
      </w:r>
      <w:r w:rsidR="00197318" w:rsidRPr="00600D22">
        <w:rPr>
          <w:rFonts w:hint="cs"/>
          <w:rtl/>
        </w:rPr>
        <w:t>להבין מדוע תוארה השמדתה של החומה חסרת הערך בצורה כה מוגזמת באמצעות מים כבירים, כמבול של ממש.</w:t>
      </w:r>
      <w:r w:rsidR="00197318" w:rsidRPr="00600D22">
        <w:rPr>
          <w:rStyle w:val="FootnoteReference"/>
          <w:rtl/>
        </w:rPr>
        <w:footnoteReference w:id="39"/>
      </w:r>
      <w:r w:rsidR="00197318" w:rsidRPr="00600D22">
        <w:rPr>
          <w:rFonts w:hint="cs"/>
          <w:rtl/>
        </w:rPr>
        <w:t xml:space="preserve"> </w:t>
      </w:r>
      <w:r w:rsidR="00F937D8" w:rsidRPr="00600D22">
        <w:rPr>
          <w:rFonts w:hint="cs"/>
          <w:rtl/>
        </w:rPr>
        <w:t xml:space="preserve">מכל מקום, </w:t>
      </w:r>
      <w:r w:rsidR="00AC7C8F" w:rsidRPr="00600D22">
        <w:rPr>
          <w:rFonts w:hint="cs"/>
          <w:rtl/>
        </w:rPr>
        <w:t xml:space="preserve">לענייננו ראויה במיוחד לציון העובדה כי האתר שבו עמדה חומת האכאיים וחרבה תוּאר כמקום שבו </w:t>
      </w:r>
      <w:r w:rsidR="00952E4B">
        <w:rPr>
          <w:rFonts w:hint="cs"/>
          <w:rtl/>
        </w:rPr>
        <w:t>"</w:t>
      </w:r>
      <w:r w:rsidR="00AC7C8F" w:rsidRPr="00600D22">
        <w:rPr>
          <w:rFonts w:hint="cs"/>
          <w:rtl/>
        </w:rPr>
        <w:t>נפלו [...] גזע בני האדם אלים</w:t>
      </w:r>
      <w:r w:rsidR="00A63660">
        <w:rPr>
          <w:rFonts w:hint="cs"/>
          <w:rtl/>
        </w:rPr>
        <w:t xml:space="preserve"> </w:t>
      </w:r>
      <w:r w:rsidR="00AC7C8F" w:rsidRPr="00600D22">
        <w:rPr>
          <w:rFonts w:hint="cs"/>
          <w:rtl/>
        </w:rPr>
        <w:t>למחצה</w:t>
      </w:r>
      <w:r w:rsidR="00952E4B">
        <w:rPr>
          <w:rFonts w:hint="cs"/>
          <w:rtl/>
        </w:rPr>
        <w:t>"</w:t>
      </w:r>
      <w:r w:rsidR="00AC7C8F" w:rsidRPr="00600D22">
        <w:rPr>
          <w:rFonts w:hint="cs"/>
          <w:rtl/>
        </w:rPr>
        <w:t xml:space="preserve"> (</w:t>
      </w:r>
      <w:proofErr w:type="spellStart"/>
      <w:r w:rsidR="00AC7C8F" w:rsidRPr="00600D22">
        <w:rPr>
          <w:rStyle w:val="txt"/>
        </w:rPr>
        <w:t>κάππεσον</w:t>
      </w:r>
      <w:proofErr w:type="spellEnd"/>
      <w:r w:rsidR="00AC7C8F" w:rsidRPr="00600D22">
        <w:rPr>
          <w:rStyle w:val="txt"/>
        </w:rPr>
        <w:t xml:space="preserve"> […] </w:t>
      </w:r>
      <w:proofErr w:type="spellStart"/>
      <w:r w:rsidR="00AC7C8F" w:rsidRPr="00600D22">
        <w:rPr>
          <w:rStyle w:val="txt"/>
        </w:rPr>
        <w:t>ἡμιθέων</w:t>
      </w:r>
      <w:proofErr w:type="spellEnd"/>
      <w:r w:rsidR="00AC7C8F" w:rsidRPr="00600D22">
        <w:rPr>
          <w:rStyle w:val="txt"/>
        </w:rPr>
        <w:t xml:space="preserve"> </w:t>
      </w:r>
      <w:proofErr w:type="spellStart"/>
      <w:r w:rsidR="00AC7C8F" w:rsidRPr="00600D22">
        <w:rPr>
          <w:rStyle w:val="txt"/>
        </w:rPr>
        <w:t>γένος</w:t>
      </w:r>
      <w:proofErr w:type="spellEnd"/>
      <w:r w:rsidR="00AC7C8F" w:rsidRPr="00600D22">
        <w:rPr>
          <w:rStyle w:val="txt"/>
        </w:rPr>
        <w:t xml:space="preserve"> </w:t>
      </w:r>
      <w:proofErr w:type="spellStart"/>
      <w:r w:rsidR="00AC7C8F" w:rsidRPr="00600D22">
        <w:rPr>
          <w:rStyle w:val="txt"/>
        </w:rPr>
        <w:t>ἀνδρῶν</w:t>
      </w:r>
      <w:proofErr w:type="spellEnd"/>
      <w:r w:rsidR="00AC7C8F" w:rsidRPr="00600D22">
        <w:rPr>
          <w:rStyle w:val="txt"/>
        </w:rPr>
        <w:t xml:space="preserve">, </w:t>
      </w:r>
      <w:r w:rsidR="00AC7C8F" w:rsidRPr="00600D22">
        <w:rPr>
          <w:rStyle w:val="txt"/>
          <w:i/>
          <w:iCs/>
        </w:rPr>
        <w:t>Il</w:t>
      </w:r>
      <w:r w:rsidR="00AC7C8F" w:rsidRPr="00600D22">
        <w:rPr>
          <w:rStyle w:val="txt"/>
        </w:rPr>
        <w:t>. 12.23</w:t>
      </w:r>
      <w:r w:rsidR="00AC7C8F" w:rsidRPr="00600D22">
        <w:rPr>
          <w:rFonts w:hint="cs"/>
          <w:rtl/>
        </w:rPr>
        <w:t>). זו הפעם היחידה ביצירה ההומרית שבה גיבורי מלחמת טרויה, או בני הדור כולו, מכונים בכינוי 'אלים למחצה' (</w:t>
      </w:r>
      <w:proofErr w:type="spellStart"/>
      <w:r w:rsidR="00DE0906" w:rsidRPr="00600D22">
        <w:rPr>
          <w:rFonts w:eastAsia="Times New Roman"/>
        </w:rPr>
        <w:t>ἡμίθεοι</w:t>
      </w:r>
      <w:proofErr w:type="spellEnd"/>
      <w:r w:rsidR="00E746A5" w:rsidRPr="00600D22">
        <w:rPr>
          <w:rFonts w:hint="cs"/>
          <w:rtl/>
        </w:rPr>
        <w:t>) ונתפש</w:t>
      </w:r>
      <w:r w:rsidR="00AC7C8F" w:rsidRPr="00600D22">
        <w:rPr>
          <w:rFonts w:hint="cs"/>
          <w:rtl/>
        </w:rPr>
        <w:t xml:space="preserve">ים </w:t>
      </w:r>
      <w:r w:rsidR="00AC7C8F" w:rsidRPr="00600D22">
        <w:rPr>
          <w:rFonts w:hint="cs"/>
          <w:rtl/>
        </w:rPr>
        <w:lastRenderedPageBreak/>
        <w:t>כבני גזע (</w:t>
      </w:r>
      <w:proofErr w:type="spellStart"/>
      <w:r w:rsidR="00AC7C8F" w:rsidRPr="00600D22">
        <w:rPr>
          <w:rStyle w:val="txt"/>
        </w:rPr>
        <w:t>γένος</w:t>
      </w:r>
      <w:proofErr w:type="spellEnd"/>
      <w:r w:rsidR="00AC7C8F" w:rsidRPr="00600D22">
        <w:rPr>
          <w:rFonts w:hint="cs"/>
          <w:rtl/>
        </w:rPr>
        <w:t>) שונה מבני האדם הרגילים.</w:t>
      </w:r>
      <w:r w:rsidR="00AC7C8F" w:rsidRPr="00600D22">
        <w:rPr>
          <w:rStyle w:val="FootnoteReference"/>
          <w:rtl/>
        </w:rPr>
        <w:footnoteReference w:id="40"/>
      </w:r>
      <w:r w:rsidR="000F02AF" w:rsidRPr="00600D22">
        <w:rPr>
          <w:rFonts w:hint="cs"/>
          <w:rtl/>
        </w:rPr>
        <w:t xml:space="preserve"> </w:t>
      </w:r>
      <w:r w:rsidR="00E746A5" w:rsidRPr="00600D22">
        <w:rPr>
          <w:rFonts w:hint="cs"/>
          <w:rtl/>
        </w:rPr>
        <w:t>תפיש</w:t>
      </w:r>
      <w:r w:rsidR="002A09A6" w:rsidRPr="00600D22">
        <w:rPr>
          <w:rFonts w:hint="cs"/>
          <w:rtl/>
        </w:rPr>
        <w:t>ה זו ואותו מונח, 'אלים למחצה' (</w:t>
      </w:r>
      <w:proofErr w:type="spellStart"/>
      <w:r w:rsidR="002A09A6" w:rsidRPr="00600D22">
        <w:rPr>
          <w:rFonts w:eastAsia="Times New Roman"/>
        </w:rPr>
        <w:t>ἡμίθεοι</w:t>
      </w:r>
      <w:proofErr w:type="spellEnd"/>
      <w:r w:rsidR="002A09A6" w:rsidRPr="00600D22">
        <w:rPr>
          <w:rFonts w:hint="cs"/>
          <w:rtl/>
        </w:rPr>
        <w:t>), מצויים גם ב</w:t>
      </w:r>
      <w:r w:rsidR="00E05F70">
        <w:rPr>
          <w:rFonts w:hint="cs"/>
          <w:rtl/>
        </w:rPr>
        <w:t>סצינה</w:t>
      </w:r>
      <w:r w:rsidR="002A09A6" w:rsidRPr="00600D22">
        <w:rPr>
          <w:rFonts w:hint="cs"/>
          <w:rtl/>
        </w:rPr>
        <w:t xml:space="preserve"> מ</w:t>
      </w:r>
      <w:r w:rsidR="00A63660">
        <w:rPr>
          <w:rFonts w:hint="cs"/>
          <w:rtl/>
        </w:rPr>
        <w:t>'</w:t>
      </w:r>
      <w:r w:rsidR="002A09A6" w:rsidRPr="00600D22">
        <w:rPr>
          <w:rFonts w:hint="cs"/>
          <w:rtl/>
        </w:rPr>
        <w:t>קטלוג הנשים</w:t>
      </w:r>
      <w:r w:rsidR="00A63660">
        <w:rPr>
          <w:rFonts w:hint="cs"/>
          <w:rtl/>
        </w:rPr>
        <w:t>'</w:t>
      </w:r>
      <w:r w:rsidR="002A09A6" w:rsidRPr="00600D22">
        <w:rPr>
          <w:rFonts w:hint="cs"/>
          <w:rtl/>
        </w:rPr>
        <w:t xml:space="preserve"> המתארת את רצונו של זאוס </w:t>
      </w:r>
      <w:r w:rsidR="00952E4B">
        <w:rPr>
          <w:rFonts w:hint="cs"/>
          <w:rtl/>
        </w:rPr>
        <w:t>"</w:t>
      </w:r>
      <w:r w:rsidR="002A09A6" w:rsidRPr="00600D22">
        <w:rPr>
          <w:rFonts w:hint="cs"/>
          <w:rtl/>
        </w:rPr>
        <w:t>להשמיד את גזע [...] בני האדם כאמתלה להשמיד את נפש האלים למחצה</w:t>
      </w:r>
      <w:r w:rsidR="00952E4B">
        <w:rPr>
          <w:rFonts w:hint="cs"/>
          <w:rtl/>
        </w:rPr>
        <w:t>"</w:t>
      </w:r>
      <w:r w:rsidR="002A09A6" w:rsidRPr="00600D22">
        <w:rPr>
          <w:rFonts w:hint="cs"/>
          <w:rtl/>
        </w:rPr>
        <w:t xml:space="preserve"> (</w:t>
      </w:r>
      <w:proofErr w:type="spellStart"/>
      <w:r w:rsidR="002A09A6" w:rsidRPr="00600D22">
        <w:rPr>
          <w:rFonts w:eastAsia="Times New Roman"/>
        </w:rPr>
        <w:t>γένος</w:t>
      </w:r>
      <w:proofErr w:type="spellEnd"/>
      <w:r w:rsidR="002A09A6" w:rsidRPr="00600D22">
        <w:rPr>
          <w:rFonts w:eastAsia="Times New Roman"/>
        </w:rPr>
        <w:t xml:space="preserve"> […] </w:t>
      </w:r>
      <w:proofErr w:type="spellStart"/>
      <w:r w:rsidR="002A09A6" w:rsidRPr="00600D22">
        <w:rPr>
          <w:rFonts w:eastAsia="Times New Roman"/>
        </w:rPr>
        <w:t>ἀνθρώπων</w:t>
      </w:r>
      <w:proofErr w:type="spellEnd"/>
      <w:r w:rsidR="002A09A6" w:rsidRPr="00600D22">
        <w:rPr>
          <w:rFonts w:eastAsia="Times New Roman"/>
        </w:rPr>
        <w:t xml:space="preserve"> </w:t>
      </w:r>
      <w:proofErr w:type="spellStart"/>
      <w:r w:rsidR="002A09A6" w:rsidRPr="00600D22">
        <w:rPr>
          <w:rFonts w:eastAsia="Times New Roman"/>
        </w:rPr>
        <w:t>πολλὸν</w:t>
      </w:r>
      <w:proofErr w:type="spellEnd"/>
      <w:r w:rsidR="002A09A6" w:rsidRPr="00600D22">
        <w:rPr>
          <w:rFonts w:eastAsia="Times New Roman"/>
        </w:rPr>
        <w:t xml:space="preserve"> </w:t>
      </w:r>
      <w:proofErr w:type="spellStart"/>
      <w:r w:rsidR="002A09A6" w:rsidRPr="00600D22">
        <w:rPr>
          <w:rFonts w:eastAsia="Times New Roman"/>
        </w:rPr>
        <w:t>ἀϊστῶσαι</w:t>
      </w:r>
      <w:proofErr w:type="spellEnd"/>
      <w:r w:rsidR="002A09A6" w:rsidRPr="00600D22">
        <w:rPr>
          <w:rFonts w:eastAsia="Times New Roman"/>
        </w:rPr>
        <w:t xml:space="preserve"> […] </w:t>
      </w:r>
      <w:proofErr w:type="spellStart"/>
      <w:r w:rsidR="002A09A6" w:rsidRPr="00600D22">
        <w:rPr>
          <w:rFonts w:eastAsia="Times New Roman"/>
        </w:rPr>
        <w:t>π̣ρ</w:t>
      </w:r>
      <w:proofErr w:type="spellEnd"/>
      <w:r w:rsidR="002A09A6" w:rsidRPr="00600D22">
        <w:rPr>
          <w:rFonts w:eastAsia="Times New Roman"/>
        </w:rPr>
        <w:t>̣[ό]</w:t>
      </w:r>
      <w:proofErr w:type="spellStart"/>
      <w:r w:rsidR="002A09A6" w:rsidRPr="00600D22">
        <w:rPr>
          <w:rFonts w:eastAsia="Times New Roman"/>
        </w:rPr>
        <w:t>φασιν</w:t>
      </w:r>
      <w:proofErr w:type="spellEnd"/>
      <w:r w:rsidR="002A09A6" w:rsidRPr="00600D22">
        <w:rPr>
          <w:rFonts w:eastAsia="Times New Roman"/>
        </w:rPr>
        <w:t xml:space="preserve"> </w:t>
      </w:r>
      <w:proofErr w:type="spellStart"/>
      <w:r w:rsidR="002A09A6" w:rsidRPr="00600D22">
        <w:rPr>
          <w:rFonts w:eastAsia="Times New Roman"/>
        </w:rPr>
        <w:t>μὲν</w:t>
      </w:r>
      <w:proofErr w:type="spellEnd"/>
      <w:r w:rsidR="002A09A6" w:rsidRPr="00600D22">
        <w:rPr>
          <w:rFonts w:eastAsia="Times New Roman"/>
        </w:rPr>
        <w:t xml:space="preserve"> </w:t>
      </w:r>
      <w:proofErr w:type="spellStart"/>
      <w:r w:rsidR="002A09A6" w:rsidRPr="00600D22">
        <w:rPr>
          <w:rFonts w:eastAsia="Times New Roman"/>
        </w:rPr>
        <w:t>ὀλέσθαι</w:t>
      </w:r>
      <w:proofErr w:type="spellEnd"/>
      <w:r w:rsidR="002A09A6" w:rsidRPr="00600D22">
        <w:rPr>
          <w:rFonts w:eastAsia="Times New Roman"/>
        </w:rPr>
        <w:t xml:space="preserve"> </w:t>
      </w:r>
      <w:proofErr w:type="spellStart"/>
      <w:r w:rsidR="002A09A6" w:rsidRPr="00600D22">
        <w:rPr>
          <w:rFonts w:eastAsia="Times New Roman"/>
        </w:rPr>
        <w:t>ψυχὰς</w:t>
      </w:r>
      <w:proofErr w:type="spellEnd"/>
      <w:r w:rsidR="002A09A6" w:rsidRPr="00600D22">
        <w:rPr>
          <w:rFonts w:eastAsia="Times New Roman"/>
        </w:rPr>
        <w:t xml:space="preserve"> </w:t>
      </w:r>
      <w:proofErr w:type="spellStart"/>
      <w:r w:rsidR="002A09A6" w:rsidRPr="00600D22">
        <w:rPr>
          <w:rFonts w:eastAsia="Times New Roman"/>
        </w:rPr>
        <w:t>ἡμιθέω</w:t>
      </w:r>
      <w:proofErr w:type="spellEnd"/>
      <w:r w:rsidR="002A09A6" w:rsidRPr="00600D22">
        <w:rPr>
          <w:rFonts w:eastAsia="Times New Roman"/>
        </w:rPr>
        <w:t>[ν</w:t>
      </w:r>
      <w:r w:rsidR="002A09A6" w:rsidRPr="00600D22">
        <w:t>], F 204.98–100 M-W</w:t>
      </w:r>
      <w:r w:rsidR="002A09A6" w:rsidRPr="00600D22">
        <w:rPr>
          <w:rFonts w:hint="cs"/>
          <w:rtl/>
        </w:rPr>
        <w:t xml:space="preserve">). </w:t>
      </w:r>
      <w:r w:rsidR="00D03489" w:rsidRPr="00600D22">
        <w:rPr>
          <w:rFonts w:hint="cs"/>
          <w:rtl/>
        </w:rPr>
        <w:t>נראה כי יש כאן</w:t>
      </w:r>
      <w:r w:rsidR="000F02AF" w:rsidRPr="00600D22">
        <w:rPr>
          <w:rFonts w:hint="cs"/>
          <w:rtl/>
        </w:rPr>
        <w:t xml:space="preserve"> שיתוף של רעיונות ומסורות בין יחידה מיוחדת זו אצל הומרוס </w:t>
      </w:r>
      <w:r w:rsidR="00E746A5" w:rsidRPr="00600D22">
        <w:rPr>
          <w:rFonts w:hint="cs"/>
          <w:rtl/>
        </w:rPr>
        <w:t>ו</w:t>
      </w:r>
      <w:r w:rsidR="000F02AF" w:rsidRPr="00600D22">
        <w:rPr>
          <w:rFonts w:hint="cs"/>
          <w:rtl/>
        </w:rPr>
        <w:t xml:space="preserve">בין </w:t>
      </w:r>
      <w:r w:rsidR="0024701A">
        <w:rPr>
          <w:rFonts w:hint="cs"/>
          <w:rtl/>
        </w:rPr>
        <w:t>'</w:t>
      </w:r>
      <w:r w:rsidR="000F02AF" w:rsidRPr="00600D22">
        <w:rPr>
          <w:rFonts w:hint="cs"/>
          <w:rtl/>
        </w:rPr>
        <w:t>קטלוג הנשים</w:t>
      </w:r>
      <w:r w:rsidR="0024701A">
        <w:rPr>
          <w:rFonts w:hint="cs"/>
          <w:rtl/>
        </w:rPr>
        <w:t>'</w:t>
      </w:r>
      <w:r w:rsidR="000F02AF" w:rsidRPr="00600D22">
        <w:rPr>
          <w:rFonts w:hint="cs"/>
          <w:rtl/>
        </w:rPr>
        <w:t xml:space="preserve"> ההסיודי</w:t>
      </w:r>
      <w:r w:rsidR="00E746A5" w:rsidRPr="00600D22">
        <w:rPr>
          <w:rFonts w:hint="cs"/>
          <w:rtl/>
        </w:rPr>
        <w:t>,</w:t>
      </w:r>
      <w:r w:rsidR="000F02AF" w:rsidRPr="00600D22">
        <w:rPr>
          <w:rFonts w:hint="cs"/>
          <w:rtl/>
        </w:rPr>
        <w:t xml:space="preserve"> שתיארו את סילוק</w:t>
      </w:r>
      <w:r w:rsidR="003444AE">
        <w:rPr>
          <w:rFonts w:hint="cs"/>
          <w:rtl/>
        </w:rPr>
        <w:t>ו</w:t>
      </w:r>
      <w:r w:rsidR="000F02AF" w:rsidRPr="00600D22">
        <w:rPr>
          <w:rFonts w:hint="cs"/>
          <w:rtl/>
        </w:rPr>
        <w:t xml:space="preserve"> </w:t>
      </w:r>
      <w:r w:rsidR="006F5169" w:rsidRPr="00600D22">
        <w:rPr>
          <w:rFonts w:hint="cs"/>
          <w:rtl/>
        </w:rPr>
        <w:t xml:space="preserve">מן העולם </w:t>
      </w:r>
      <w:r w:rsidR="000F02AF" w:rsidRPr="00600D22">
        <w:rPr>
          <w:rFonts w:hint="cs"/>
          <w:rtl/>
        </w:rPr>
        <w:t xml:space="preserve">של דור </w:t>
      </w:r>
      <w:r w:rsidR="00197318" w:rsidRPr="00600D22">
        <w:rPr>
          <w:rFonts w:hint="cs"/>
          <w:rtl/>
        </w:rPr>
        <w:t>האלים למחצה (</w:t>
      </w:r>
      <w:proofErr w:type="spellStart"/>
      <w:r w:rsidR="00197318" w:rsidRPr="00600D22">
        <w:rPr>
          <w:rFonts w:eastAsia="Times New Roman"/>
        </w:rPr>
        <w:t>ἡμίθεοι</w:t>
      </w:r>
      <w:proofErr w:type="spellEnd"/>
      <w:r w:rsidR="00197318" w:rsidRPr="00600D22">
        <w:rPr>
          <w:rFonts w:hint="cs"/>
          <w:rtl/>
        </w:rPr>
        <w:t>)</w:t>
      </w:r>
      <w:r w:rsidR="000F02AF" w:rsidRPr="00600D22">
        <w:rPr>
          <w:rFonts w:hint="cs"/>
          <w:rtl/>
        </w:rPr>
        <w:t xml:space="preserve"> באמצעות מלחמת טרויה</w:t>
      </w:r>
      <w:r w:rsidR="00456F4C" w:rsidRPr="00600D22">
        <w:rPr>
          <w:rFonts w:hint="cs"/>
          <w:rtl/>
        </w:rPr>
        <w:t>.</w:t>
      </w:r>
      <w:r w:rsidR="000F02AF" w:rsidRPr="00600D22">
        <w:rPr>
          <w:rStyle w:val="FootnoteReference"/>
          <w:rtl/>
        </w:rPr>
        <w:footnoteReference w:id="41"/>
      </w:r>
      <w:r w:rsidR="000F02AF" w:rsidRPr="00600D22">
        <w:rPr>
          <w:rFonts w:hint="cs"/>
          <w:rtl/>
        </w:rPr>
        <w:t xml:space="preserve"> </w:t>
      </w:r>
      <w:r w:rsidR="00456F4C" w:rsidRPr="00600D22">
        <w:rPr>
          <w:rFonts w:hint="cs"/>
          <w:rtl/>
        </w:rPr>
        <w:t xml:space="preserve">בשני המקרים הללו </w:t>
      </w:r>
      <w:r w:rsidR="006F5169">
        <w:rPr>
          <w:rFonts w:hint="cs"/>
          <w:rtl/>
        </w:rPr>
        <w:t xml:space="preserve">מתוארים </w:t>
      </w:r>
      <w:r w:rsidR="00456F4C" w:rsidRPr="00600D22">
        <w:rPr>
          <w:rFonts w:hint="cs"/>
          <w:rtl/>
        </w:rPr>
        <w:t>אנשי הדור כבני גזע מיוחד של אלים ובני תמותה</w:t>
      </w:r>
      <w:r w:rsidR="002A09A6" w:rsidRPr="00600D22">
        <w:rPr>
          <w:rFonts w:hint="cs"/>
          <w:rtl/>
        </w:rPr>
        <w:t>,</w:t>
      </w:r>
      <w:r w:rsidR="00456F4C" w:rsidRPr="00600D22">
        <w:rPr>
          <w:rFonts w:hint="cs"/>
          <w:rtl/>
        </w:rPr>
        <w:t xml:space="preserve"> </w:t>
      </w:r>
      <w:r w:rsidR="002A09A6" w:rsidRPr="00600D22">
        <w:rPr>
          <w:rFonts w:hint="cs"/>
          <w:rtl/>
        </w:rPr>
        <w:t xml:space="preserve">ובשניהם </w:t>
      </w:r>
      <w:r w:rsidR="00456F4C" w:rsidRPr="00600D22">
        <w:rPr>
          <w:rFonts w:hint="cs"/>
          <w:rtl/>
        </w:rPr>
        <w:t>נ</w:t>
      </w:r>
      <w:r w:rsidR="000F02AF" w:rsidRPr="00600D22">
        <w:rPr>
          <w:rFonts w:hint="cs"/>
          <w:rtl/>
        </w:rPr>
        <w:t>יכרת השפע</w:t>
      </w:r>
      <w:r w:rsidR="00197318" w:rsidRPr="00600D22">
        <w:rPr>
          <w:rFonts w:hint="cs"/>
          <w:rtl/>
        </w:rPr>
        <w:t>ה</w:t>
      </w:r>
      <w:r w:rsidR="000F02AF" w:rsidRPr="00600D22">
        <w:rPr>
          <w:rFonts w:hint="cs"/>
          <w:rtl/>
        </w:rPr>
        <w:t xml:space="preserve"> </w:t>
      </w:r>
      <w:r w:rsidR="00456F4C" w:rsidRPr="00600D22">
        <w:rPr>
          <w:rFonts w:hint="cs"/>
          <w:rtl/>
        </w:rPr>
        <w:t xml:space="preserve">כלשהי </w:t>
      </w:r>
      <w:r w:rsidR="00197318" w:rsidRPr="00600D22">
        <w:rPr>
          <w:rFonts w:hint="cs"/>
          <w:rtl/>
        </w:rPr>
        <w:t xml:space="preserve">של </w:t>
      </w:r>
      <w:r w:rsidR="000F02AF" w:rsidRPr="00600D22">
        <w:rPr>
          <w:rFonts w:hint="cs"/>
          <w:rtl/>
        </w:rPr>
        <w:t>סיפור המבול</w:t>
      </w:r>
      <w:r w:rsidR="00197318" w:rsidRPr="00600D22">
        <w:rPr>
          <w:rFonts w:hint="cs"/>
          <w:rtl/>
        </w:rPr>
        <w:t xml:space="preserve"> המזרחי.</w:t>
      </w:r>
      <w:r w:rsidR="0004304E" w:rsidRPr="00600D22">
        <w:rPr>
          <w:rFonts w:hint="cs"/>
          <w:rtl/>
        </w:rPr>
        <w:t xml:space="preserve"> במקרה האחרון שנסקר, בסצ</w:t>
      </w:r>
      <w:r w:rsidR="006F5169">
        <w:rPr>
          <w:rFonts w:hint="cs"/>
          <w:rtl/>
        </w:rPr>
        <w:t>י</w:t>
      </w:r>
      <w:r w:rsidR="00972FC9" w:rsidRPr="00600D22">
        <w:rPr>
          <w:rFonts w:hint="cs"/>
          <w:rtl/>
        </w:rPr>
        <w:t>נת השמדת החומה האכאית</w:t>
      </w:r>
      <w:r w:rsidR="0004304E" w:rsidRPr="00600D22">
        <w:rPr>
          <w:rFonts w:hint="cs"/>
          <w:rtl/>
        </w:rPr>
        <w:t xml:space="preserve"> מהיצירה ההומרית, מתואר מבול של ממש </w:t>
      </w:r>
      <w:r w:rsidR="0004304E" w:rsidRPr="00600D22">
        <w:rPr>
          <w:rFonts w:hint="eastAsia"/>
          <w:rtl/>
        </w:rPr>
        <w:t>–</w:t>
      </w:r>
      <w:r w:rsidR="0004304E" w:rsidRPr="00600D22">
        <w:rPr>
          <w:rFonts w:hint="cs"/>
          <w:rtl/>
        </w:rPr>
        <w:t xml:space="preserve"> קשה לכנות את תיאור השמדת החומה בדרך אחרת </w:t>
      </w:r>
      <w:r w:rsidR="0004304E" w:rsidRPr="00600D22">
        <w:rPr>
          <w:rFonts w:hint="eastAsia"/>
          <w:rtl/>
        </w:rPr>
        <w:t>–</w:t>
      </w:r>
      <w:r w:rsidR="0004304E" w:rsidRPr="00600D22">
        <w:rPr>
          <w:rFonts w:hint="cs"/>
          <w:rtl/>
        </w:rPr>
        <w:t xml:space="preserve"> אף שאין הוא בא לכלות את האנושות. </w:t>
      </w:r>
      <w:r w:rsidR="002A09A6" w:rsidRPr="00600D22">
        <w:rPr>
          <w:rFonts w:hint="cs"/>
          <w:rtl/>
        </w:rPr>
        <w:t>ואילו ב</w:t>
      </w:r>
      <w:r w:rsidR="0024701A">
        <w:rPr>
          <w:rFonts w:hint="cs"/>
          <w:rtl/>
        </w:rPr>
        <w:t>'</w:t>
      </w:r>
      <w:r w:rsidR="002A09A6" w:rsidRPr="00600D22">
        <w:rPr>
          <w:rFonts w:hint="cs"/>
          <w:rtl/>
        </w:rPr>
        <w:t>קטלוג הנשים</w:t>
      </w:r>
      <w:r w:rsidR="0024701A">
        <w:rPr>
          <w:rFonts w:hint="cs"/>
          <w:rtl/>
        </w:rPr>
        <w:t>'</w:t>
      </w:r>
      <w:r w:rsidR="002A09A6" w:rsidRPr="00600D22">
        <w:rPr>
          <w:rFonts w:hint="cs"/>
          <w:rtl/>
        </w:rPr>
        <w:t xml:space="preserve"> נוסף </w:t>
      </w:r>
      <w:r w:rsidR="008B55B1" w:rsidRPr="00600D22">
        <w:rPr>
          <w:rFonts w:hint="cs"/>
          <w:rtl/>
        </w:rPr>
        <w:t xml:space="preserve">לתיאור מלחמת טרויה </w:t>
      </w:r>
      <w:r w:rsidR="00E746A5" w:rsidRPr="00600D22">
        <w:rPr>
          <w:rFonts w:hint="cs"/>
          <w:rtl/>
        </w:rPr>
        <w:t xml:space="preserve">ההיבט </w:t>
      </w:r>
      <w:r w:rsidR="002A09A6" w:rsidRPr="00600D22">
        <w:rPr>
          <w:rFonts w:hint="cs"/>
          <w:rtl/>
        </w:rPr>
        <w:t xml:space="preserve">החריג </w:t>
      </w:r>
      <w:r w:rsidR="008B55B1" w:rsidRPr="00600D22">
        <w:rPr>
          <w:rFonts w:hint="cs"/>
          <w:rtl/>
        </w:rPr>
        <w:t>של השמדה מוחלטת</w:t>
      </w:r>
      <w:r w:rsidR="006F5169">
        <w:rPr>
          <w:rFonts w:hint="cs"/>
          <w:rtl/>
        </w:rPr>
        <w:t>,</w:t>
      </w:r>
      <w:r w:rsidR="006F5169" w:rsidRPr="006F5169">
        <w:rPr>
          <w:rFonts w:hint="cs"/>
          <w:rtl/>
        </w:rPr>
        <w:t xml:space="preserve"> </w:t>
      </w:r>
      <w:r w:rsidR="006F5169" w:rsidRPr="00600D22">
        <w:rPr>
          <w:rFonts w:hint="cs"/>
          <w:rtl/>
        </w:rPr>
        <w:t>כאמור</w:t>
      </w:r>
      <w:r w:rsidR="006F5169">
        <w:rPr>
          <w:rFonts w:hint="cs"/>
          <w:rtl/>
        </w:rPr>
        <w:t xml:space="preserve"> לעיל</w:t>
      </w:r>
      <w:r w:rsidR="008B55B1" w:rsidRPr="00600D22">
        <w:rPr>
          <w:rFonts w:hint="cs"/>
          <w:rtl/>
        </w:rPr>
        <w:t>.</w:t>
      </w:r>
    </w:p>
    <w:p w:rsidR="00D03489" w:rsidRPr="00600D22" w:rsidRDefault="008B55B1" w:rsidP="0024701A">
      <w:pPr>
        <w:widowControl w:val="0"/>
        <w:spacing w:line="480" w:lineRule="auto"/>
        <w:ind w:firstLine="397"/>
        <w:rPr>
          <w:rtl/>
        </w:rPr>
      </w:pPr>
      <w:r w:rsidRPr="00600D22">
        <w:rPr>
          <w:rFonts w:hint="cs"/>
          <w:rtl/>
        </w:rPr>
        <w:t>י</w:t>
      </w:r>
      <w:r w:rsidR="00EE262D" w:rsidRPr="00600D22">
        <w:rPr>
          <w:rFonts w:hint="cs"/>
          <w:rtl/>
        </w:rPr>
        <w:t>י</w:t>
      </w:r>
      <w:r w:rsidRPr="00600D22">
        <w:rPr>
          <w:rFonts w:hint="cs"/>
          <w:rtl/>
        </w:rPr>
        <w:t xml:space="preserve">תכן כי </w:t>
      </w:r>
      <w:r w:rsidR="00D03489" w:rsidRPr="00600D22">
        <w:rPr>
          <w:rFonts w:hint="cs"/>
          <w:rtl/>
        </w:rPr>
        <w:t>יש להוסיף בהקשר זה גם את ה</w:t>
      </w:r>
      <w:r w:rsidR="00E05F70">
        <w:rPr>
          <w:rFonts w:hint="cs"/>
          <w:rtl/>
        </w:rPr>
        <w:t>סצינה</w:t>
      </w:r>
      <w:r w:rsidR="00D03489" w:rsidRPr="00600D22">
        <w:rPr>
          <w:rFonts w:hint="cs"/>
          <w:rtl/>
        </w:rPr>
        <w:t xml:space="preserve"> מ</w:t>
      </w:r>
      <w:r w:rsidR="0024701A">
        <w:rPr>
          <w:rFonts w:hint="cs"/>
          <w:rtl/>
        </w:rPr>
        <w:t>'</w:t>
      </w:r>
      <w:r w:rsidR="00D03489" w:rsidRPr="00600D22">
        <w:rPr>
          <w:rFonts w:hint="cs"/>
          <w:rtl/>
        </w:rPr>
        <w:t>קטלוג הנשים</w:t>
      </w:r>
      <w:r w:rsidR="0024701A">
        <w:rPr>
          <w:rFonts w:hint="cs"/>
          <w:rtl/>
        </w:rPr>
        <w:t>'</w:t>
      </w:r>
      <w:r w:rsidR="00461FFE" w:rsidRPr="00600D22">
        <w:rPr>
          <w:rFonts w:hint="cs"/>
          <w:rtl/>
        </w:rPr>
        <w:t>,</w:t>
      </w:r>
      <w:r w:rsidR="00D03489" w:rsidRPr="00600D22">
        <w:rPr>
          <w:rFonts w:hint="cs"/>
          <w:rtl/>
        </w:rPr>
        <w:t xml:space="preserve"> הבאה באותו פפירוס ברלין שנזכר לעיל (</w:t>
      </w:r>
      <w:r w:rsidR="00D03489" w:rsidRPr="00600D22">
        <w:softHyphen/>
        <w:t xml:space="preserve">F 204.124–128 </w:t>
      </w:r>
      <w:r w:rsidR="00EE262D" w:rsidRPr="00600D22">
        <w:t>M–</w:t>
      </w:r>
      <w:r w:rsidR="00D03489" w:rsidRPr="00600D22">
        <w:t>W</w:t>
      </w:r>
      <w:r w:rsidR="00D03489" w:rsidRPr="00600D22">
        <w:rPr>
          <w:rFonts w:hint="cs"/>
          <w:rtl/>
        </w:rPr>
        <w:t>)</w:t>
      </w:r>
      <w:r w:rsidR="00461FFE" w:rsidRPr="00600D22">
        <w:rPr>
          <w:rFonts w:hint="cs"/>
          <w:rtl/>
        </w:rPr>
        <w:t>,</w:t>
      </w:r>
      <w:r w:rsidR="00D03489" w:rsidRPr="00600D22">
        <w:rPr>
          <w:rFonts w:hint="cs"/>
          <w:rtl/>
        </w:rPr>
        <w:t xml:space="preserve"> אחרי החלטתו של זאוס להשמיד את דור הגיבורים</w:t>
      </w:r>
      <w:r w:rsidR="00461FFE" w:rsidRPr="00600D22">
        <w:rPr>
          <w:rFonts w:hint="cs"/>
          <w:rtl/>
        </w:rPr>
        <w:t xml:space="preserve"> </w:t>
      </w:r>
      <w:r w:rsidR="0024701A">
        <w:rPr>
          <w:rFonts w:hint="cs"/>
          <w:rtl/>
        </w:rPr>
        <w:t>ב</w:t>
      </w:r>
      <w:r w:rsidR="00461FFE" w:rsidRPr="00600D22">
        <w:rPr>
          <w:rFonts w:hint="cs"/>
          <w:rtl/>
        </w:rPr>
        <w:t>מלחמה</w:t>
      </w:r>
      <w:r w:rsidR="00D03489" w:rsidRPr="00600D22">
        <w:rPr>
          <w:rFonts w:hint="cs"/>
          <w:rtl/>
        </w:rPr>
        <w:t>:</w:t>
      </w:r>
    </w:p>
    <w:p w:rsidR="00D03489" w:rsidRPr="00600D22" w:rsidRDefault="00D03489" w:rsidP="00520772">
      <w:pPr>
        <w:widowControl w:val="0"/>
        <w:bidi w:val="0"/>
        <w:spacing w:line="480" w:lineRule="auto"/>
        <w:ind w:left="680" w:rightChars="567" w:right="1247"/>
      </w:pPr>
    </w:p>
    <w:p w:rsidR="00D03489" w:rsidRPr="00600D22" w:rsidRDefault="00D03489" w:rsidP="00520772">
      <w:pPr>
        <w:widowControl w:val="0"/>
        <w:spacing w:line="480" w:lineRule="auto"/>
        <w:ind w:left="680"/>
        <w:rPr>
          <w:rFonts w:eastAsia="Times New Roman"/>
          <w:rtl/>
        </w:rPr>
      </w:pPr>
      <w:r w:rsidRPr="00600D22">
        <w:rPr>
          <w:rFonts w:eastAsia="Times New Roman" w:hint="cs"/>
          <w:rtl/>
        </w:rPr>
        <w:t>מעצים הדורים נשרו (עלים) רבים ארצה</w:t>
      </w:r>
    </w:p>
    <w:p w:rsidR="00D03489" w:rsidRPr="00600D22" w:rsidRDefault="00EE262D" w:rsidP="00520772">
      <w:pPr>
        <w:widowControl w:val="0"/>
        <w:spacing w:line="480" w:lineRule="auto"/>
        <w:ind w:left="680"/>
        <w:rPr>
          <w:rFonts w:eastAsia="Times New Roman"/>
          <w:rtl/>
        </w:rPr>
      </w:pPr>
      <w:r w:rsidRPr="00F020CA">
        <w:rPr>
          <w:rFonts w:eastAsia="Times New Roman" w:hint="cs"/>
          <w:vertAlign w:val="subscript"/>
          <w:rtl/>
        </w:rPr>
        <w:t>(</w:t>
      </w:r>
      <w:r w:rsidR="00D03489" w:rsidRPr="00F020CA">
        <w:rPr>
          <w:rFonts w:eastAsia="Times New Roman" w:hint="cs"/>
          <w:vertAlign w:val="subscript"/>
          <w:rtl/>
        </w:rPr>
        <w:t>125</w:t>
      </w:r>
      <w:r w:rsidRPr="00F020CA">
        <w:rPr>
          <w:rFonts w:eastAsia="Times New Roman" w:hint="cs"/>
          <w:vertAlign w:val="subscript"/>
          <w:rtl/>
        </w:rPr>
        <w:t>)</w:t>
      </w:r>
      <w:r w:rsidR="00D03489" w:rsidRPr="00600D22">
        <w:rPr>
          <w:rFonts w:eastAsia="Times New Roman" w:hint="cs"/>
          <w:rtl/>
        </w:rPr>
        <w:t xml:space="preserve"> השילו עליהם היפים, והפרי נפל לארץ</w:t>
      </w:r>
    </w:p>
    <w:p w:rsidR="00D03489" w:rsidRPr="00600D22" w:rsidRDefault="00D03489" w:rsidP="0024701A">
      <w:pPr>
        <w:widowControl w:val="0"/>
        <w:spacing w:line="480" w:lineRule="auto"/>
        <w:ind w:left="680"/>
        <w:rPr>
          <w:rFonts w:eastAsia="Times New Roman"/>
          <w:rtl/>
        </w:rPr>
      </w:pPr>
      <w:r w:rsidRPr="00600D22">
        <w:rPr>
          <w:rFonts w:eastAsia="Times New Roman" w:hint="cs"/>
          <w:rtl/>
        </w:rPr>
        <w:t>כאשר נשב בוראס (=רוח הצפון) בע</w:t>
      </w:r>
      <w:r w:rsidR="00660FF4">
        <w:rPr>
          <w:rFonts w:eastAsia="Times New Roman" w:hint="cs"/>
          <w:rtl/>
        </w:rPr>
        <w:t>ו</w:t>
      </w:r>
      <w:r w:rsidRPr="00600D22">
        <w:rPr>
          <w:rFonts w:eastAsia="Times New Roman" w:hint="cs"/>
          <w:rtl/>
        </w:rPr>
        <w:t>צמה בגז</w:t>
      </w:r>
      <w:r w:rsidR="003444AE">
        <w:rPr>
          <w:rFonts w:eastAsia="Times New Roman" w:hint="cs"/>
          <w:rtl/>
        </w:rPr>
        <w:t>י</w:t>
      </w:r>
      <w:r w:rsidRPr="00600D22">
        <w:rPr>
          <w:rFonts w:eastAsia="Times New Roman" w:hint="cs"/>
          <w:rtl/>
        </w:rPr>
        <w:t>רת זאוס</w:t>
      </w:r>
    </w:p>
    <w:p w:rsidR="00D03489" w:rsidRPr="00600D22" w:rsidRDefault="00D03489" w:rsidP="00520772">
      <w:pPr>
        <w:widowControl w:val="0"/>
        <w:spacing w:line="480" w:lineRule="auto"/>
        <w:ind w:left="680"/>
        <w:rPr>
          <w:rFonts w:eastAsia="Times New Roman"/>
          <w:rtl/>
        </w:rPr>
      </w:pPr>
      <w:r w:rsidRPr="00600D22">
        <w:rPr>
          <w:rFonts w:eastAsia="Times New Roman" w:hint="cs"/>
          <w:rtl/>
        </w:rPr>
        <w:t>הים ג[אה],</w:t>
      </w:r>
      <w:r w:rsidR="00F020CA" w:rsidRPr="00F020CA">
        <w:rPr>
          <w:rStyle w:val="FootnoteReference"/>
          <w:rFonts w:eastAsia="Times New Roman"/>
        </w:rPr>
        <w:t xml:space="preserve"> </w:t>
      </w:r>
      <w:r w:rsidR="00F020CA" w:rsidRPr="00600D22">
        <w:rPr>
          <w:rStyle w:val="FootnoteReference"/>
          <w:rFonts w:eastAsia="Times New Roman"/>
        </w:rPr>
        <w:footnoteReference w:id="42"/>
      </w:r>
      <w:r w:rsidRPr="00600D22">
        <w:rPr>
          <w:rFonts w:eastAsia="Times New Roman" w:hint="cs"/>
          <w:rtl/>
        </w:rPr>
        <w:t xml:space="preserve"> סער הכול מפניו,</w:t>
      </w:r>
    </w:p>
    <w:p w:rsidR="00D03489" w:rsidRPr="00600D22" w:rsidRDefault="00D03489" w:rsidP="006F0513">
      <w:pPr>
        <w:widowControl w:val="0"/>
        <w:spacing w:line="480" w:lineRule="auto"/>
        <w:ind w:left="680"/>
        <w:rPr>
          <w:rtl/>
        </w:rPr>
      </w:pPr>
      <w:r w:rsidRPr="00600D22">
        <w:rPr>
          <w:rFonts w:eastAsia="Times New Roman" w:hint="cs"/>
          <w:rtl/>
        </w:rPr>
        <w:t>כוח האדם גווע ופחת הפרי</w:t>
      </w:r>
      <w:r w:rsidR="0024701A">
        <w:rPr>
          <w:rFonts w:hint="cs"/>
          <w:rtl/>
        </w:rPr>
        <w:t>.</w:t>
      </w:r>
      <w:r w:rsidR="00F020CA" w:rsidRPr="00F020CA">
        <w:rPr>
          <w:rStyle w:val="FootnoteReference"/>
          <w:rFonts w:eastAsia="Times New Roman"/>
        </w:rPr>
        <w:t xml:space="preserve"> </w:t>
      </w:r>
      <w:r w:rsidR="006F0513" w:rsidRPr="00600D22">
        <w:rPr>
          <w:rStyle w:val="FootnoteReference"/>
          <w:rFonts w:eastAsia="Times New Roman"/>
        </w:rPr>
        <w:footnoteReference w:id="43"/>
      </w:r>
    </w:p>
    <w:p w:rsidR="00D03489" w:rsidRPr="00600D22" w:rsidRDefault="00D03489" w:rsidP="00064813">
      <w:pPr>
        <w:widowControl w:val="0"/>
        <w:spacing w:line="480" w:lineRule="auto"/>
        <w:rPr>
          <w:rtl/>
        </w:rPr>
      </w:pPr>
    </w:p>
    <w:p w:rsidR="00D03489" w:rsidRPr="00600D22" w:rsidRDefault="00D03489" w:rsidP="0024701A">
      <w:pPr>
        <w:widowControl w:val="0"/>
        <w:spacing w:line="480" w:lineRule="auto"/>
        <w:rPr>
          <w:rtl/>
        </w:rPr>
      </w:pPr>
      <w:r w:rsidRPr="00600D22">
        <w:rPr>
          <w:rFonts w:hint="cs"/>
          <w:rtl/>
        </w:rPr>
        <w:t xml:space="preserve">בשורות אלו מתוארים שינויי מזג אוויר בעולם וסערת הים: הפירות והעלים נשרו, הרוח נשבה, </w:t>
      </w:r>
      <w:r w:rsidRPr="00600D22">
        <w:rPr>
          <w:rFonts w:hint="cs"/>
          <w:rtl/>
        </w:rPr>
        <w:lastRenderedPageBreak/>
        <w:t>הים געש, והכול סער (שורות 124–128).</w:t>
      </w:r>
      <w:r w:rsidRPr="00600D22">
        <w:rPr>
          <w:rStyle w:val="FootnoteReference"/>
          <w:rtl/>
        </w:rPr>
        <w:footnoteReference w:id="44"/>
      </w:r>
      <w:r w:rsidRPr="00600D22">
        <w:rPr>
          <w:rFonts w:hint="cs"/>
          <w:rtl/>
        </w:rPr>
        <w:t xml:space="preserve"> </w:t>
      </w:r>
      <w:r w:rsidR="00197318" w:rsidRPr="00600D22">
        <w:rPr>
          <w:rFonts w:hint="cs"/>
          <w:rtl/>
        </w:rPr>
        <w:t xml:space="preserve">אין כאן אמנם אזכור מפורש של מבול, אך </w:t>
      </w:r>
      <w:r w:rsidR="00461FFE" w:rsidRPr="00600D22">
        <w:rPr>
          <w:rFonts w:hint="cs"/>
          <w:rtl/>
        </w:rPr>
        <w:t xml:space="preserve">יש </w:t>
      </w:r>
      <w:r w:rsidRPr="00600D22">
        <w:rPr>
          <w:rFonts w:hint="cs"/>
          <w:rtl/>
        </w:rPr>
        <w:t>לתהות מדוע תוארו שינוי</w:t>
      </w:r>
      <w:r w:rsidR="00490F02" w:rsidRPr="00600D22">
        <w:rPr>
          <w:rFonts w:hint="cs"/>
          <w:rtl/>
        </w:rPr>
        <w:t>י</w:t>
      </w:r>
      <w:r w:rsidRPr="00600D22">
        <w:rPr>
          <w:rFonts w:hint="cs"/>
          <w:rtl/>
        </w:rPr>
        <w:t xml:space="preserve"> איתני הטבע וסערה </w:t>
      </w:r>
      <w:r w:rsidR="00461FFE" w:rsidRPr="00600D22">
        <w:rPr>
          <w:rFonts w:hint="cs"/>
          <w:rtl/>
        </w:rPr>
        <w:t xml:space="preserve">דווקא </w:t>
      </w:r>
      <w:r w:rsidRPr="00600D22">
        <w:rPr>
          <w:rFonts w:hint="cs"/>
          <w:rtl/>
        </w:rPr>
        <w:t>בסמוך למלחמת טרויה</w:t>
      </w:r>
      <w:r w:rsidR="0004304E" w:rsidRPr="00600D22">
        <w:rPr>
          <w:rFonts w:hint="cs"/>
          <w:rtl/>
        </w:rPr>
        <w:t xml:space="preserve"> ו</w:t>
      </w:r>
      <w:r w:rsidR="008B55B1" w:rsidRPr="00600D22">
        <w:rPr>
          <w:rFonts w:hint="cs"/>
          <w:rtl/>
        </w:rPr>
        <w:t xml:space="preserve">השמדת </w:t>
      </w:r>
      <w:r w:rsidR="0004304E" w:rsidRPr="00600D22">
        <w:rPr>
          <w:rFonts w:hint="cs"/>
          <w:rtl/>
        </w:rPr>
        <w:t>דור האלים</w:t>
      </w:r>
      <w:r w:rsidR="0024701A">
        <w:rPr>
          <w:rFonts w:hint="cs"/>
          <w:rtl/>
        </w:rPr>
        <w:t xml:space="preserve"> </w:t>
      </w:r>
      <w:r w:rsidR="0004304E" w:rsidRPr="00600D22">
        <w:rPr>
          <w:rFonts w:hint="cs"/>
          <w:rtl/>
        </w:rPr>
        <w:t>למחצה (</w:t>
      </w:r>
      <w:proofErr w:type="spellStart"/>
      <w:r w:rsidR="0004304E" w:rsidRPr="00600D22">
        <w:rPr>
          <w:rFonts w:eastAsia="Times New Roman"/>
        </w:rPr>
        <w:t>ἡμίθεοι</w:t>
      </w:r>
      <w:proofErr w:type="spellEnd"/>
      <w:r w:rsidR="0004304E" w:rsidRPr="00600D22">
        <w:rPr>
          <w:rFonts w:hint="cs"/>
          <w:rtl/>
        </w:rPr>
        <w:t>)</w:t>
      </w:r>
      <w:r w:rsidRPr="00600D22">
        <w:rPr>
          <w:rFonts w:hint="cs"/>
          <w:rtl/>
        </w:rPr>
        <w:t>.</w:t>
      </w:r>
    </w:p>
    <w:p w:rsidR="00611530" w:rsidRPr="00600D22" w:rsidRDefault="00611530" w:rsidP="00064813">
      <w:pPr>
        <w:widowControl w:val="0"/>
        <w:spacing w:line="480" w:lineRule="auto"/>
        <w:ind w:firstLine="397"/>
        <w:rPr>
          <w:rtl/>
        </w:rPr>
      </w:pPr>
    </w:p>
    <w:p w:rsidR="00611530" w:rsidRPr="00600D22" w:rsidRDefault="00973136" w:rsidP="00064813">
      <w:pPr>
        <w:widowControl w:val="0"/>
        <w:spacing w:line="480" w:lineRule="auto"/>
        <w:rPr>
          <w:b/>
          <w:bCs/>
          <w:rtl/>
        </w:rPr>
      </w:pPr>
      <w:r>
        <w:rPr>
          <w:rFonts w:hint="cs"/>
          <w:b/>
          <w:bCs/>
          <w:rtl/>
        </w:rPr>
        <w:t>ג</w:t>
      </w:r>
      <w:r w:rsidR="00611530" w:rsidRPr="00600D22">
        <w:rPr>
          <w:rFonts w:hint="cs"/>
          <w:b/>
          <w:bCs/>
          <w:rtl/>
        </w:rPr>
        <w:t xml:space="preserve">. </w:t>
      </w:r>
      <w:r w:rsidR="00367E17">
        <w:rPr>
          <w:rFonts w:hint="cs"/>
          <w:b/>
          <w:bCs/>
          <w:rtl/>
        </w:rPr>
        <w:t xml:space="preserve">מסורת </w:t>
      </w:r>
      <w:r w:rsidR="00611530" w:rsidRPr="00600D22">
        <w:rPr>
          <w:rFonts w:hint="cs"/>
          <w:b/>
          <w:bCs/>
          <w:rtl/>
        </w:rPr>
        <w:t>משות</w:t>
      </w:r>
      <w:r w:rsidR="00367E17">
        <w:rPr>
          <w:rFonts w:hint="cs"/>
          <w:b/>
          <w:bCs/>
          <w:rtl/>
        </w:rPr>
        <w:t>פת</w:t>
      </w:r>
      <w:r w:rsidR="00611530" w:rsidRPr="00600D22">
        <w:rPr>
          <w:rFonts w:hint="cs"/>
          <w:b/>
          <w:bCs/>
          <w:rtl/>
        </w:rPr>
        <w:t xml:space="preserve"> וגלגולי</w:t>
      </w:r>
      <w:r w:rsidR="00367E17">
        <w:rPr>
          <w:rFonts w:hint="cs"/>
          <w:b/>
          <w:bCs/>
          <w:rtl/>
        </w:rPr>
        <w:t>ה</w:t>
      </w:r>
    </w:p>
    <w:p w:rsidR="002758E6" w:rsidRPr="00600D22" w:rsidRDefault="0004304E" w:rsidP="00952E4B">
      <w:pPr>
        <w:widowControl w:val="0"/>
        <w:spacing w:line="480" w:lineRule="auto"/>
        <w:rPr>
          <w:rtl/>
        </w:rPr>
      </w:pPr>
      <w:r w:rsidRPr="00600D22">
        <w:rPr>
          <w:rFonts w:hint="cs"/>
          <w:rtl/>
        </w:rPr>
        <w:t>מאותן מסורות יווניות</w:t>
      </w:r>
      <w:r w:rsidR="00A43DE0" w:rsidRPr="00600D22">
        <w:rPr>
          <w:rFonts w:hint="cs"/>
          <w:rtl/>
        </w:rPr>
        <w:t>,</w:t>
      </w:r>
      <w:r w:rsidRPr="00600D22">
        <w:rPr>
          <w:rFonts w:hint="cs"/>
          <w:rtl/>
        </w:rPr>
        <w:t xml:space="preserve"> ובמיוחד מאותה </w:t>
      </w:r>
      <w:r w:rsidR="00E05F70">
        <w:rPr>
          <w:rFonts w:hint="cs"/>
          <w:rtl/>
        </w:rPr>
        <w:t>סצינה</w:t>
      </w:r>
      <w:r w:rsidRPr="00600D22">
        <w:rPr>
          <w:rFonts w:hint="cs"/>
          <w:rtl/>
        </w:rPr>
        <w:t xml:space="preserve"> שבה תואר רצונו של זאוס להשמיד את כל בני האדם</w:t>
      </w:r>
      <w:r w:rsidR="00A43DE0" w:rsidRPr="00600D22">
        <w:rPr>
          <w:rFonts w:hint="cs"/>
          <w:rtl/>
        </w:rPr>
        <w:t>:</w:t>
      </w:r>
      <w:r w:rsidRPr="00600D22">
        <w:rPr>
          <w:rFonts w:hint="cs"/>
          <w:rtl/>
        </w:rPr>
        <w:t xml:space="preserve"> </w:t>
      </w:r>
      <w:r w:rsidR="00952E4B">
        <w:rPr>
          <w:rFonts w:hint="cs"/>
          <w:rtl/>
        </w:rPr>
        <w:t>"</w:t>
      </w:r>
      <w:r w:rsidRPr="00600D22">
        <w:rPr>
          <w:rFonts w:hint="cs"/>
          <w:rtl/>
        </w:rPr>
        <w:t>להשמיד את גזע [...] בני האדם כאמתלה להשמיד את נפש האלים למחצה</w:t>
      </w:r>
      <w:r w:rsidR="00952E4B">
        <w:rPr>
          <w:rFonts w:hint="cs"/>
          <w:rtl/>
        </w:rPr>
        <w:t>"</w:t>
      </w:r>
      <w:r w:rsidRPr="00600D22">
        <w:rPr>
          <w:rFonts w:hint="cs"/>
          <w:rtl/>
        </w:rPr>
        <w:t xml:space="preserve"> (</w:t>
      </w:r>
      <w:proofErr w:type="spellStart"/>
      <w:r w:rsidRPr="00600D22">
        <w:rPr>
          <w:rFonts w:eastAsia="Times New Roman"/>
        </w:rPr>
        <w:t>γένος</w:t>
      </w:r>
      <w:proofErr w:type="spellEnd"/>
      <w:r w:rsidRPr="00600D22">
        <w:rPr>
          <w:rFonts w:eastAsia="Times New Roman"/>
        </w:rPr>
        <w:t xml:space="preserve"> […] </w:t>
      </w:r>
      <w:proofErr w:type="spellStart"/>
      <w:r w:rsidRPr="00600D22">
        <w:rPr>
          <w:rFonts w:eastAsia="Times New Roman"/>
        </w:rPr>
        <w:t>ἀνθρώπων</w:t>
      </w:r>
      <w:proofErr w:type="spellEnd"/>
      <w:r w:rsidRPr="00600D22">
        <w:rPr>
          <w:rFonts w:eastAsia="Times New Roman"/>
        </w:rPr>
        <w:t xml:space="preserve"> </w:t>
      </w:r>
      <w:proofErr w:type="spellStart"/>
      <w:r w:rsidRPr="00600D22">
        <w:rPr>
          <w:rFonts w:eastAsia="Times New Roman"/>
        </w:rPr>
        <w:t>πολλὸν</w:t>
      </w:r>
      <w:proofErr w:type="spellEnd"/>
      <w:r w:rsidRPr="00600D22">
        <w:rPr>
          <w:rFonts w:eastAsia="Times New Roman"/>
        </w:rPr>
        <w:t xml:space="preserve"> </w:t>
      </w:r>
      <w:proofErr w:type="spellStart"/>
      <w:r w:rsidRPr="00600D22">
        <w:rPr>
          <w:rFonts w:eastAsia="Times New Roman"/>
        </w:rPr>
        <w:t>ἀϊστῶσαι</w:t>
      </w:r>
      <w:proofErr w:type="spellEnd"/>
      <w:r w:rsidRPr="00600D22">
        <w:rPr>
          <w:rFonts w:eastAsia="Times New Roman"/>
        </w:rPr>
        <w:t xml:space="preserve"> […] </w:t>
      </w:r>
      <w:proofErr w:type="spellStart"/>
      <w:r w:rsidRPr="00600D22">
        <w:rPr>
          <w:rFonts w:eastAsia="Times New Roman"/>
        </w:rPr>
        <w:t>π̣ρ</w:t>
      </w:r>
      <w:proofErr w:type="spellEnd"/>
      <w:r w:rsidRPr="00600D22">
        <w:rPr>
          <w:rFonts w:eastAsia="Times New Roman"/>
        </w:rPr>
        <w:t>̣[ό]</w:t>
      </w:r>
      <w:proofErr w:type="spellStart"/>
      <w:r w:rsidRPr="00600D22">
        <w:rPr>
          <w:rFonts w:eastAsia="Times New Roman"/>
        </w:rPr>
        <w:t>φασιν</w:t>
      </w:r>
      <w:proofErr w:type="spellEnd"/>
      <w:r w:rsidRPr="00600D22">
        <w:rPr>
          <w:rFonts w:eastAsia="Times New Roman"/>
        </w:rPr>
        <w:t xml:space="preserve"> </w:t>
      </w:r>
      <w:proofErr w:type="spellStart"/>
      <w:r w:rsidRPr="00600D22">
        <w:rPr>
          <w:rFonts w:eastAsia="Times New Roman"/>
        </w:rPr>
        <w:t>μὲν</w:t>
      </w:r>
      <w:proofErr w:type="spellEnd"/>
      <w:r w:rsidRPr="00600D22">
        <w:rPr>
          <w:rFonts w:eastAsia="Times New Roman"/>
        </w:rPr>
        <w:t xml:space="preserve"> </w:t>
      </w:r>
      <w:proofErr w:type="spellStart"/>
      <w:r w:rsidRPr="00600D22">
        <w:rPr>
          <w:rFonts w:eastAsia="Times New Roman"/>
        </w:rPr>
        <w:t>ὀλέσθαι</w:t>
      </w:r>
      <w:proofErr w:type="spellEnd"/>
      <w:r w:rsidRPr="00600D22">
        <w:rPr>
          <w:rFonts w:eastAsia="Times New Roman"/>
        </w:rPr>
        <w:t xml:space="preserve"> </w:t>
      </w:r>
      <w:proofErr w:type="spellStart"/>
      <w:r w:rsidRPr="00600D22">
        <w:rPr>
          <w:rFonts w:eastAsia="Times New Roman"/>
        </w:rPr>
        <w:t>ψυχὰς</w:t>
      </w:r>
      <w:proofErr w:type="spellEnd"/>
      <w:r w:rsidRPr="00600D22">
        <w:rPr>
          <w:rFonts w:eastAsia="Times New Roman"/>
        </w:rPr>
        <w:t xml:space="preserve"> </w:t>
      </w:r>
      <w:proofErr w:type="spellStart"/>
      <w:r w:rsidRPr="00600D22">
        <w:rPr>
          <w:rFonts w:eastAsia="Times New Roman"/>
        </w:rPr>
        <w:t>ἡμιθέω</w:t>
      </w:r>
      <w:proofErr w:type="spellEnd"/>
      <w:r w:rsidRPr="00600D22">
        <w:rPr>
          <w:rFonts w:eastAsia="Times New Roman"/>
        </w:rPr>
        <w:t>[ν</w:t>
      </w:r>
      <w:r w:rsidRPr="00600D22">
        <w:t>], F 204.98–100 M</w:t>
      </w:r>
      <w:r w:rsidR="00490F02" w:rsidRPr="00600D22">
        <w:t>–</w:t>
      </w:r>
      <w:r w:rsidRPr="00600D22">
        <w:t>W</w:t>
      </w:r>
      <w:r w:rsidRPr="00600D22">
        <w:rPr>
          <w:rFonts w:hint="cs"/>
          <w:rtl/>
        </w:rPr>
        <w:t>)</w:t>
      </w:r>
      <w:r w:rsidR="00A43DE0" w:rsidRPr="00600D22">
        <w:rPr>
          <w:rFonts w:hint="cs"/>
          <w:rtl/>
        </w:rPr>
        <w:t>,</w:t>
      </w:r>
      <w:r w:rsidRPr="00600D22">
        <w:rPr>
          <w:rFonts w:hint="cs"/>
          <w:rtl/>
        </w:rPr>
        <w:t xml:space="preserve"> ע</w:t>
      </w:r>
      <w:r w:rsidR="00456F4C" w:rsidRPr="00600D22">
        <w:rPr>
          <w:rFonts w:hint="cs"/>
          <w:rtl/>
        </w:rPr>
        <w:t>שוי</w:t>
      </w:r>
      <w:r w:rsidRPr="00600D22">
        <w:rPr>
          <w:rFonts w:hint="cs"/>
          <w:rtl/>
        </w:rPr>
        <w:t xml:space="preserve"> </w:t>
      </w:r>
      <w:r w:rsidR="00456F4C" w:rsidRPr="00600D22">
        <w:rPr>
          <w:rFonts w:hint="cs"/>
          <w:rtl/>
        </w:rPr>
        <w:t xml:space="preserve">לעלות הרושם </w:t>
      </w:r>
      <w:r w:rsidRPr="00600D22">
        <w:rPr>
          <w:rFonts w:hint="cs"/>
          <w:rtl/>
        </w:rPr>
        <w:t xml:space="preserve">כי </w:t>
      </w:r>
      <w:r w:rsidR="00456F4C" w:rsidRPr="00600D22">
        <w:rPr>
          <w:rFonts w:hint="cs"/>
          <w:rtl/>
        </w:rPr>
        <w:t xml:space="preserve">סיפור </w:t>
      </w:r>
      <w:r w:rsidRPr="00600D22">
        <w:rPr>
          <w:rFonts w:hint="cs"/>
          <w:rtl/>
        </w:rPr>
        <w:t xml:space="preserve">מלחמת טרויה </w:t>
      </w:r>
      <w:r w:rsidR="00FE3612" w:rsidRPr="00600D22">
        <w:rPr>
          <w:rFonts w:hint="cs"/>
          <w:rtl/>
        </w:rPr>
        <w:t>אימץ</w:t>
      </w:r>
      <w:r w:rsidRPr="00600D22">
        <w:rPr>
          <w:rFonts w:hint="cs"/>
          <w:rtl/>
        </w:rPr>
        <w:t xml:space="preserve"> </w:t>
      </w:r>
      <w:r w:rsidR="00456F4C" w:rsidRPr="00600D22">
        <w:rPr>
          <w:rFonts w:hint="cs"/>
          <w:rtl/>
        </w:rPr>
        <w:t xml:space="preserve">את </w:t>
      </w:r>
      <w:r w:rsidR="00490F02" w:rsidRPr="00600D22">
        <w:rPr>
          <w:rFonts w:hint="cs"/>
          <w:rtl/>
        </w:rPr>
        <w:t xml:space="preserve">רכיב </w:t>
      </w:r>
      <w:r w:rsidRPr="00600D22">
        <w:rPr>
          <w:rFonts w:hint="cs"/>
          <w:rtl/>
        </w:rPr>
        <w:t xml:space="preserve">השמדת האנושות </w:t>
      </w:r>
      <w:r w:rsidR="00FE3612" w:rsidRPr="00600D22">
        <w:rPr>
          <w:rFonts w:hint="cs"/>
          <w:rtl/>
        </w:rPr>
        <w:t>מסיפור המבול</w:t>
      </w:r>
      <w:r w:rsidR="00490F02" w:rsidRPr="00600D22">
        <w:rPr>
          <w:rFonts w:hint="cs"/>
          <w:rtl/>
        </w:rPr>
        <w:t>,</w:t>
      </w:r>
      <w:r w:rsidR="00FE3612" w:rsidRPr="00600D22">
        <w:rPr>
          <w:rFonts w:hint="cs"/>
          <w:rtl/>
        </w:rPr>
        <w:t xml:space="preserve"> ש</w:t>
      </w:r>
      <w:r w:rsidR="00E05F70">
        <w:rPr>
          <w:rFonts w:hint="cs"/>
          <w:rtl/>
        </w:rPr>
        <w:t xml:space="preserve">כאמור </w:t>
      </w:r>
      <w:r w:rsidR="00FE3612" w:rsidRPr="00600D22">
        <w:rPr>
          <w:rFonts w:hint="cs"/>
          <w:rtl/>
        </w:rPr>
        <w:t xml:space="preserve">החל לחלחל לעולם היווני בתקופה הארכאית. </w:t>
      </w:r>
      <w:r w:rsidRPr="00600D22">
        <w:rPr>
          <w:rFonts w:hint="cs"/>
          <w:rtl/>
        </w:rPr>
        <w:t>אולם אם כך</w:t>
      </w:r>
      <w:r w:rsidR="00FE3612" w:rsidRPr="00600D22">
        <w:rPr>
          <w:rFonts w:hint="cs"/>
          <w:rtl/>
        </w:rPr>
        <w:t>,</w:t>
      </w:r>
      <w:r w:rsidR="007462A2" w:rsidRPr="00600D22">
        <w:rPr>
          <w:rFonts w:hint="cs"/>
          <w:rtl/>
        </w:rPr>
        <w:t xml:space="preserve"> </w:t>
      </w:r>
      <w:r w:rsidR="00A42F81" w:rsidRPr="00600D22">
        <w:rPr>
          <w:rFonts w:hint="cs"/>
          <w:rtl/>
        </w:rPr>
        <w:t xml:space="preserve">יש לשאול מדוע השפיע סיפור </w:t>
      </w:r>
      <w:r w:rsidR="00952257" w:rsidRPr="00600D22">
        <w:rPr>
          <w:rFonts w:hint="cs"/>
          <w:rtl/>
        </w:rPr>
        <w:t>ה</w:t>
      </w:r>
      <w:r w:rsidR="00A42F81" w:rsidRPr="00600D22">
        <w:rPr>
          <w:rFonts w:hint="cs"/>
          <w:rtl/>
        </w:rPr>
        <w:t>מבול על יצירה שעיקרה הולדת הגיבורים והזיווגים בין בנ</w:t>
      </w:r>
      <w:r w:rsidR="00AD5B95" w:rsidRPr="00600D22">
        <w:rPr>
          <w:rFonts w:hint="cs"/>
          <w:rtl/>
        </w:rPr>
        <w:t>י</w:t>
      </w:r>
      <w:r w:rsidR="00A42F81" w:rsidRPr="00600D22">
        <w:rPr>
          <w:rFonts w:hint="cs"/>
          <w:rtl/>
        </w:rPr>
        <w:t xml:space="preserve"> תמותה לבין אלים</w:t>
      </w:r>
      <w:r w:rsidR="00AD5B95" w:rsidRPr="00600D22">
        <w:rPr>
          <w:rFonts w:hint="cs"/>
          <w:rtl/>
        </w:rPr>
        <w:t>?</w:t>
      </w:r>
      <w:r w:rsidR="00A42F81" w:rsidRPr="00600D22">
        <w:rPr>
          <w:rFonts w:hint="cs"/>
          <w:rtl/>
        </w:rPr>
        <w:t xml:space="preserve"> ו</w:t>
      </w:r>
      <w:r w:rsidR="00065C38" w:rsidRPr="00600D22">
        <w:rPr>
          <w:rFonts w:hint="cs"/>
          <w:rtl/>
        </w:rPr>
        <w:t>הרי במסופוטמיה לא כרוך סיפור המבול בסיפור על הזיווגים שבין האלים לבנות האדם</w:t>
      </w:r>
      <w:r w:rsidR="00105734" w:rsidRPr="00600D22">
        <w:rPr>
          <w:rFonts w:hint="cs"/>
          <w:rtl/>
        </w:rPr>
        <w:t xml:space="preserve"> ובהשמדת דור הגיבורים</w:t>
      </w:r>
      <w:r w:rsidR="00065C38" w:rsidRPr="00600D22">
        <w:rPr>
          <w:rFonts w:hint="cs"/>
          <w:rtl/>
        </w:rPr>
        <w:t xml:space="preserve">. גם בספרות מצרים או חֵת אין לכך הדים. </w:t>
      </w:r>
      <w:r w:rsidR="009E6AEC" w:rsidRPr="00600D22">
        <w:rPr>
          <w:rFonts w:hint="cs"/>
          <w:rtl/>
        </w:rPr>
        <w:t xml:space="preserve">למעשה </w:t>
      </w:r>
      <w:r w:rsidR="00615FB7" w:rsidRPr="00600D22">
        <w:rPr>
          <w:rFonts w:hint="cs"/>
          <w:rtl/>
        </w:rPr>
        <w:t>רק בספרות המקראית ישנ</w:t>
      </w:r>
      <w:r w:rsidR="002758E6" w:rsidRPr="00600D22">
        <w:rPr>
          <w:rFonts w:hint="cs"/>
          <w:rtl/>
        </w:rPr>
        <w:t>ו</w:t>
      </w:r>
      <w:r w:rsidR="00615FB7" w:rsidRPr="00600D22">
        <w:rPr>
          <w:rFonts w:hint="cs"/>
          <w:rtl/>
        </w:rPr>
        <w:t xml:space="preserve"> </w:t>
      </w:r>
      <w:r w:rsidR="002758E6" w:rsidRPr="00600D22">
        <w:rPr>
          <w:rFonts w:hint="cs"/>
          <w:rtl/>
        </w:rPr>
        <w:t xml:space="preserve">סיפור </w:t>
      </w:r>
      <w:r w:rsidR="007228BC" w:rsidRPr="00600D22">
        <w:rPr>
          <w:rFonts w:hint="cs"/>
          <w:rtl/>
        </w:rPr>
        <w:t>על</w:t>
      </w:r>
      <w:r w:rsidR="00F32F02" w:rsidRPr="00600D22">
        <w:rPr>
          <w:rFonts w:hint="cs"/>
          <w:rtl/>
        </w:rPr>
        <w:t xml:space="preserve"> זיווגים בין אלים לבני אדם</w:t>
      </w:r>
      <w:r w:rsidR="007228BC" w:rsidRPr="00600D22">
        <w:rPr>
          <w:rFonts w:hint="cs"/>
          <w:rtl/>
        </w:rPr>
        <w:t xml:space="preserve"> </w:t>
      </w:r>
      <w:r w:rsidR="002758E6" w:rsidRPr="00600D22">
        <w:rPr>
          <w:rFonts w:hint="cs"/>
          <w:rtl/>
        </w:rPr>
        <w:t>הצמוד ל</w:t>
      </w:r>
      <w:r w:rsidR="007228BC" w:rsidRPr="00600D22">
        <w:rPr>
          <w:rFonts w:hint="cs"/>
          <w:rtl/>
        </w:rPr>
        <w:t>סיפור מבול והשמדת הדור</w:t>
      </w:r>
      <w:r w:rsidR="00200214" w:rsidRPr="00600D22">
        <w:rPr>
          <w:rFonts w:hint="cs"/>
          <w:rtl/>
        </w:rPr>
        <w:t>;</w:t>
      </w:r>
      <w:r w:rsidR="00615FB7" w:rsidRPr="00600D22">
        <w:rPr>
          <w:rFonts w:hint="cs"/>
          <w:rtl/>
        </w:rPr>
        <w:t xml:space="preserve"> זהו הסיפור בבראשית ו 1–4</w:t>
      </w:r>
      <w:r w:rsidR="008B55B1" w:rsidRPr="00600D22">
        <w:rPr>
          <w:rFonts w:hint="cs"/>
          <w:rtl/>
        </w:rPr>
        <w:t>.</w:t>
      </w:r>
    </w:p>
    <w:p w:rsidR="00423698" w:rsidRPr="00600D22" w:rsidRDefault="001A5E1C" w:rsidP="004D42AD">
      <w:pPr>
        <w:widowControl w:val="0"/>
        <w:spacing w:line="480" w:lineRule="auto"/>
        <w:ind w:firstLine="397"/>
        <w:rPr>
          <w:rtl/>
        </w:rPr>
      </w:pPr>
      <w:r w:rsidRPr="00600D22">
        <w:rPr>
          <w:rFonts w:hint="cs"/>
          <w:rtl/>
        </w:rPr>
        <w:t>ההצמדה בין בראשית ו 1</w:t>
      </w:r>
      <w:r w:rsidRPr="00600D22">
        <w:rPr>
          <w:rFonts w:hint="eastAsia"/>
          <w:rtl/>
        </w:rPr>
        <w:t>–</w:t>
      </w:r>
      <w:r w:rsidRPr="00600D22">
        <w:rPr>
          <w:rFonts w:hint="cs"/>
          <w:rtl/>
        </w:rPr>
        <w:t xml:space="preserve">4 לבין </w:t>
      </w:r>
      <w:r w:rsidR="008B55B1" w:rsidRPr="00600D22">
        <w:rPr>
          <w:rFonts w:hint="cs"/>
          <w:rtl/>
        </w:rPr>
        <w:t xml:space="preserve">סיפור </w:t>
      </w:r>
      <w:r w:rsidRPr="00600D22">
        <w:rPr>
          <w:rFonts w:hint="cs"/>
          <w:rtl/>
        </w:rPr>
        <w:t>המבול</w:t>
      </w:r>
      <w:r w:rsidR="008B55B1" w:rsidRPr="00600D22">
        <w:rPr>
          <w:rFonts w:hint="cs"/>
          <w:rtl/>
        </w:rPr>
        <w:t xml:space="preserve">, המתבטאת בכתובים שלפנינו לכל הפחות מעצם סמיכות הכתובים, </w:t>
      </w:r>
      <w:r w:rsidRPr="00600D22">
        <w:rPr>
          <w:rFonts w:hint="cs"/>
          <w:rtl/>
        </w:rPr>
        <w:t>איננה מקרית</w:t>
      </w:r>
      <w:r w:rsidR="008B55B1" w:rsidRPr="00600D22">
        <w:rPr>
          <w:rFonts w:hint="cs"/>
          <w:rtl/>
        </w:rPr>
        <w:t xml:space="preserve"> </w:t>
      </w:r>
      <w:r w:rsidR="00401463" w:rsidRPr="00600D22">
        <w:rPr>
          <w:rFonts w:hint="cs"/>
          <w:rtl/>
        </w:rPr>
        <w:t>כפי ה</w:t>
      </w:r>
      <w:r w:rsidR="008B55B1" w:rsidRPr="00600D22">
        <w:rPr>
          <w:rFonts w:hint="cs"/>
          <w:rtl/>
        </w:rPr>
        <w:t>נראה</w:t>
      </w:r>
      <w:r w:rsidRPr="00600D22">
        <w:rPr>
          <w:rFonts w:hint="cs"/>
          <w:rtl/>
        </w:rPr>
        <w:t xml:space="preserve">. </w:t>
      </w:r>
      <w:r w:rsidR="00AE2D6D" w:rsidRPr="00600D22">
        <w:rPr>
          <w:rFonts w:hint="cs"/>
          <w:rtl/>
        </w:rPr>
        <w:t>הצמדה כזו בין סיפורי זיווגים של אלים ובני אדם לבין השמדת האנושות מצויה גם ב</w:t>
      </w:r>
      <w:r w:rsidR="00834B3F" w:rsidRPr="00600D22">
        <w:rPr>
          <w:rFonts w:hint="cs"/>
          <w:rtl/>
        </w:rPr>
        <w:t>סצ</w:t>
      </w:r>
      <w:r w:rsidR="00E05F70">
        <w:rPr>
          <w:rFonts w:hint="cs"/>
          <w:rtl/>
        </w:rPr>
        <w:t>י</w:t>
      </w:r>
      <w:r w:rsidR="00834B3F" w:rsidRPr="00600D22">
        <w:rPr>
          <w:rFonts w:hint="cs"/>
          <w:rtl/>
        </w:rPr>
        <w:t>נה החריגה ב</w:t>
      </w:r>
      <w:r w:rsidR="00756909">
        <w:rPr>
          <w:rFonts w:hint="cs"/>
          <w:rtl/>
        </w:rPr>
        <w:t>'</w:t>
      </w:r>
      <w:r w:rsidR="00834B3F" w:rsidRPr="00600D22">
        <w:rPr>
          <w:rFonts w:hint="cs"/>
          <w:rtl/>
        </w:rPr>
        <w:t>קטלוג הנשים</w:t>
      </w:r>
      <w:r w:rsidR="00756909">
        <w:rPr>
          <w:rFonts w:hint="cs"/>
          <w:rtl/>
        </w:rPr>
        <w:t>'</w:t>
      </w:r>
      <w:r w:rsidR="00834B3F" w:rsidRPr="00600D22">
        <w:rPr>
          <w:rFonts w:hint="cs"/>
          <w:rtl/>
        </w:rPr>
        <w:t xml:space="preserve"> המספרת כיצד זאוס</w:t>
      </w:r>
      <w:r w:rsidR="00AE2D6D" w:rsidRPr="00600D22">
        <w:rPr>
          <w:rFonts w:hint="cs"/>
          <w:rtl/>
        </w:rPr>
        <w:t xml:space="preserve"> </w:t>
      </w:r>
      <w:r w:rsidR="00AE2D6D" w:rsidRPr="00600D22">
        <w:rPr>
          <w:rFonts w:hint="eastAsia"/>
          <w:rtl/>
        </w:rPr>
        <w:t>–</w:t>
      </w:r>
      <w:r w:rsidR="00834B3F" w:rsidRPr="00600D22">
        <w:rPr>
          <w:rFonts w:hint="cs"/>
          <w:rtl/>
        </w:rPr>
        <w:t xml:space="preserve"> בניג</w:t>
      </w:r>
      <w:r w:rsidR="00FD4DA6" w:rsidRPr="00600D22">
        <w:rPr>
          <w:rFonts w:hint="cs"/>
          <w:rtl/>
        </w:rPr>
        <w:t>וד</w:t>
      </w:r>
      <w:r w:rsidR="00834B3F" w:rsidRPr="00600D22">
        <w:rPr>
          <w:rFonts w:hint="cs"/>
          <w:rtl/>
        </w:rPr>
        <w:t xml:space="preserve"> לדרכו בשאר החיבור</w:t>
      </w:r>
      <w:r w:rsidR="00AE2D6D" w:rsidRPr="00600D22">
        <w:rPr>
          <w:rFonts w:hint="cs"/>
          <w:rtl/>
        </w:rPr>
        <w:t xml:space="preserve"> ובמסורות יווניות אחרות </w:t>
      </w:r>
      <w:r w:rsidR="00AE2D6D" w:rsidRPr="00600D22">
        <w:rPr>
          <w:rFonts w:hint="eastAsia"/>
          <w:rtl/>
        </w:rPr>
        <w:t>–</w:t>
      </w:r>
      <w:r w:rsidR="00456F4C" w:rsidRPr="00600D22">
        <w:rPr>
          <w:rFonts w:hint="cs"/>
          <w:rtl/>
        </w:rPr>
        <w:t xml:space="preserve"> </w:t>
      </w:r>
      <w:r w:rsidR="00834B3F" w:rsidRPr="00600D22">
        <w:rPr>
          <w:rFonts w:hint="cs"/>
          <w:rtl/>
        </w:rPr>
        <w:t>ב</w:t>
      </w:r>
      <w:r w:rsidR="00BB0954" w:rsidRPr="00600D22">
        <w:rPr>
          <w:rFonts w:hint="cs"/>
          <w:rtl/>
        </w:rPr>
        <w:t>י</w:t>
      </w:r>
      <w:r w:rsidR="00834B3F" w:rsidRPr="00600D22">
        <w:rPr>
          <w:rFonts w:hint="cs"/>
          <w:rtl/>
        </w:rPr>
        <w:t>קש להפסיק את הזיווגים בין האלים לבני האדם ו</w:t>
      </w:r>
      <w:r w:rsidR="00BB0954" w:rsidRPr="00600D22">
        <w:rPr>
          <w:rFonts w:hint="cs"/>
          <w:rtl/>
        </w:rPr>
        <w:t>ג</w:t>
      </w:r>
      <w:r w:rsidR="00834B3F" w:rsidRPr="00600D22">
        <w:rPr>
          <w:rFonts w:hint="cs"/>
          <w:rtl/>
        </w:rPr>
        <w:t>זר כליה על האנושות</w:t>
      </w:r>
      <w:r w:rsidRPr="00600D22">
        <w:rPr>
          <w:rFonts w:hint="cs"/>
          <w:rtl/>
        </w:rPr>
        <w:t xml:space="preserve">. </w:t>
      </w:r>
      <w:r w:rsidR="008B55B1" w:rsidRPr="00600D22">
        <w:rPr>
          <w:rFonts w:hint="cs"/>
          <w:rtl/>
        </w:rPr>
        <w:t xml:space="preserve">לפיכך </w:t>
      </w:r>
      <w:r w:rsidR="00A43DE0" w:rsidRPr="00600D22">
        <w:rPr>
          <w:rFonts w:hint="cs"/>
          <w:rtl/>
        </w:rPr>
        <w:t xml:space="preserve">ייתכן </w:t>
      </w:r>
      <w:r w:rsidR="00A711F8" w:rsidRPr="00600D22">
        <w:rPr>
          <w:rFonts w:hint="cs"/>
          <w:rtl/>
        </w:rPr>
        <w:t xml:space="preserve">כי </w:t>
      </w:r>
      <w:r w:rsidR="00BB0954" w:rsidRPr="00600D22">
        <w:rPr>
          <w:rFonts w:hint="cs"/>
          <w:rtl/>
        </w:rPr>
        <w:t>הן מאחורי הס</w:t>
      </w:r>
      <w:r w:rsidR="00C916D9" w:rsidRPr="00600D22">
        <w:rPr>
          <w:rFonts w:hint="cs"/>
          <w:rtl/>
        </w:rPr>
        <w:t>י</w:t>
      </w:r>
      <w:r w:rsidR="00F97751" w:rsidRPr="00600D22">
        <w:rPr>
          <w:rFonts w:hint="cs"/>
          <w:rtl/>
        </w:rPr>
        <w:t>פ</w:t>
      </w:r>
      <w:r w:rsidR="00BB0954" w:rsidRPr="00600D22">
        <w:rPr>
          <w:rFonts w:hint="cs"/>
          <w:rtl/>
        </w:rPr>
        <w:t>ור הקצר בבראשית ו 1</w:t>
      </w:r>
      <w:r w:rsidR="00BB0954" w:rsidRPr="00600D22">
        <w:rPr>
          <w:rFonts w:hint="eastAsia"/>
          <w:rtl/>
        </w:rPr>
        <w:t>–</w:t>
      </w:r>
      <w:r w:rsidR="00BB0954" w:rsidRPr="00600D22">
        <w:rPr>
          <w:rFonts w:hint="cs"/>
          <w:rtl/>
        </w:rPr>
        <w:t>4 הן מאחורי ה</w:t>
      </w:r>
      <w:r w:rsidR="00E05F70">
        <w:rPr>
          <w:rFonts w:hint="cs"/>
          <w:rtl/>
        </w:rPr>
        <w:t>סצינה</w:t>
      </w:r>
      <w:r w:rsidR="00BB0954" w:rsidRPr="00600D22">
        <w:rPr>
          <w:rFonts w:hint="cs"/>
          <w:rtl/>
        </w:rPr>
        <w:t xml:space="preserve"> ב</w:t>
      </w:r>
      <w:r w:rsidR="00756909">
        <w:rPr>
          <w:rFonts w:hint="cs"/>
          <w:rtl/>
        </w:rPr>
        <w:t>'</w:t>
      </w:r>
      <w:r w:rsidR="00BB0954" w:rsidRPr="00600D22">
        <w:rPr>
          <w:rFonts w:hint="cs"/>
          <w:rtl/>
        </w:rPr>
        <w:t>קטלוג הנשים</w:t>
      </w:r>
      <w:r w:rsidR="00756909">
        <w:rPr>
          <w:rFonts w:hint="cs"/>
          <w:rtl/>
        </w:rPr>
        <w:t>'</w:t>
      </w:r>
      <w:r w:rsidR="00BB0954" w:rsidRPr="00600D22">
        <w:rPr>
          <w:rFonts w:hint="cs"/>
          <w:rtl/>
        </w:rPr>
        <w:t xml:space="preserve"> והמסורות היווניות האחרות</w:t>
      </w:r>
      <w:r w:rsidR="00A711F8" w:rsidRPr="00600D22">
        <w:rPr>
          <w:rFonts w:hint="cs"/>
          <w:rtl/>
        </w:rPr>
        <w:t xml:space="preserve"> משתקף סיפור מבול מיוחד. </w:t>
      </w:r>
      <w:r w:rsidR="003E24D2" w:rsidRPr="00600D22">
        <w:rPr>
          <w:rFonts w:hint="cs"/>
          <w:rtl/>
        </w:rPr>
        <w:t xml:space="preserve">סיפור זה </w:t>
      </w:r>
      <w:r w:rsidR="00423698" w:rsidRPr="00600D22">
        <w:rPr>
          <w:rFonts w:hint="cs"/>
          <w:rtl/>
        </w:rPr>
        <w:t xml:space="preserve">היה שונה במידה ניכרת מסיפור המבול המסופוטמי על גרסאותיו השונות, לרבות שתי הגרסאות המלאות ששוקעו בספר בראשית (בר' ו 5–ט 17). </w:t>
      </w:r>
      <w:r w:rsidR="00EF536C" w:rsidRPr="00600D22">
        <w:rPr>
          <w:rFonts w:hint="cs"/>
          <w:rtl/>
        </w:rPr>
        <w:t>בדומה ל</w:t>
      </w:r>
      <w:r w:rsidR="00756909">
        <w:rPr>
          <w:rFonts w:hint="cs"/>
          <w:rtl/>
        </w:rPr>
        <w:t>'</w:t>
      </w:r>
      <w:r w:rsidR="00EF536C" w:rsidRPr="00600D22">
        <w:rPr>
          <w:rFonts w:hint="cs"/>
          <w:rtl/>
        </w:rPr>
        <w:t>אתרח'סיס</w:t>
      </w:r>
      <w:r w:rsidR="00756909">
        <w:rPr>
          <w:rFonts w:hint="cs"/>
          <w:rtl/>
        </w:rPr>
        <w:t>'</w:t>
      </w:r>
      <w:r w:rsidR="00EF536C" w:rsidRPr="00600D22">
        <w:rPr>
          <w:rFonts w:hint="cs"/>
          <w:rtl/>
        </w:rPr>
        <w:t xml:space="preserve"> גם המבול בסיפור זה החל אחרי התרבות האדם בארץ מעין </w:t>
      </w:r>
      <w:r w:rsidR="00952E4B">
        <w:rPr>
          <w:rFonts w:hint="cs"/>
          <w:rtl/>
        </w:rPr>
        <w:t>"</w:t>
      </w:r>
      <w:r w:rsidR="00EF536C" w:rsidRPr="00600D22">
        <w:rPr>
          <w:rtl/>
        </w:rPr>
        <w:t>וַיְהִי כִּי-הֵחֵל הָאָדָם לָרֹב עַל-פְּנֵי הָאֲדָמָה</w:t>
      </w:r>
      <w:r w:rsidR="00952E4B">
        <w:rPr>
          <w:rFonts w:hint="cs"/>
          <w:rtl/>
        </w:rPr>
        <w:t>"</w:t>
      </w:r>
      <w:r w:rsidR="00EF536C" w:rsidRPr="00600D22">
        <w:rPr>
          <w:rFonts w:hint="cs"/>
          <w:rtl/>
        </w:rPr>
        <w:t xml:space="preserve"> (</w:t>
      </w:r>
      <w:r w:rsidR="004D42AD">
        <w:rPr>
          <w:rFonts w:hint="cs"/>
          <w:rtl/>
        </w:rPr>
        <w:t>שם,</w:t>
      </w:r>
      <w:r w:rsidR="00EF536C" w:rsidRPr="00600D22">
        <w:rPr>
          <w:rFonts w:hint="cs"/>
          <w:rtl/>
        </w:rPr>
        <w:t xml:space="preserve"> 1)</w:t>
      </w:r>
      <w:r w:rsidR="001221EB" w:rsidRPr="00600D22">
        <w:rPr>
          <w:rFonts w:hint="cs"/>
          <w:rtl/>
        </w:rPr>
        <w:t>.</w:t>
      </w:r>
      <w:r w:rsidR="00EF536C" w:rsidRPr="00600D22">
        <w:rPr>
          <w:rFonts w:hint="cs"/>
          <w:rtl/>
        </w:rPr>
        <w:t xml:space="preserve"> אולם </w:t>
      </w:r>
      <w:r w:rsidR="00423698" w:rsidRPr="00600D22">
        <w:rPr>
          <w:rFonts w:hint="cs"/>
          <w:rtl/>
        </w:rPr>
        <w:t xml:space="preserve">בניגוד למקורות אלו, המבול בסיפור מיוחד זה לא בא בעקבות הרעש שהקימו בני האדם, ולא בגלל רעת האדם, אלא בעקבות רצונו של ראש האלים </w:t>
      </w:r>
      <w:r w:rsidR="00952257" w:rsidRPr="00600D22">
        <w:rPr>
          <w:rFonts w:hint="cs"/>
          <w:rtl/>
        </w:rPr>
        <w:t xml:space="preserve">למחוק את </w:t>
      </w:r>
      <w:r w:rsidR="00373006" w:rsidRPr="00600D22">
        <w:rPr>
          <w:rFonts w:hint="cs"/>
          <w:rtl/>
        </w:rPr>
        <w:t>ה</w:t>
      </w:r>
      <w:r w:rsidR="00952257" w:rsidRPr="00600D22">
        <w:rPr>
          <w:rFonts w:hint="cs"/>
          <w:rtl/>
        </w:rPr>
        <w:t xml:space="preserve">דור </w:t>
      </w:r>
      <w:r w:rsidR="00373006" w:rsidRPr="00600D22">
        <w:rPr>
          <w:rFonts w:hint="cs"/>
          <w:rtl/>
        </w:rPr>
        <w:t>ה</w:t>
      </w:r>
      <w:r w:rsidR="00952257" w:rsidRPr="00600D22">
        <w:rPr>
          <w:rFonts w:hint="cs"/>
          <w:rtl/>
        </w:rPr>
        <w:t xml:space="preserve">קדום של </w:t>
      </w:r>
      <w:r w:rsidR="006B7F0B" w:rsidRPr="00600D22">
        <w:rPr>
          <w:rFonts w:hint="cs"/>
          <w:rtl/>
        </w:rPr>
        <w:lastRenderedPageBreak/>
        <w:t>ה</w:t>
      </w:r>
      <w:r w:rsidR="00952257" w:rsidRPr="00600D22">
        <w:rPr>
          <w:rFonts w:hint="cs"/>
          <w:rtl/>
        </w:rPr>
        <w:t xml:space="preserve">גיבורים שהם בני תערובת של </w:t>
      </w:r>
      <w:r w:rsidR="00954522">
        <w:rPr>
          <w:rFonts w:hint="cs"/>
          <w:rtl/>
        </w:rPr>
        <w:t>ה</w:t>
      </w:r>
      <w:r w:rsidR="00952257" w:rsidRPr="00600D22">
        <w:rPr>
          <w:rFonts w:hint="cs"/>
          <w:rtl/>
        </w:rPr>
        <w:t>אלוהי ו</w:t>
      </w:r>
      <w:r w:rsidR="00954522">
        <w:rPr>
          <w:rFonts w:hint="cs"/>
          <w:rtl/>
        </w:rPr>
        <w:t>ה</w:t>
      </w:r>
      <w:r w:rsidR="00952257" w:rsidRPr="00600D22">
        <w:rPr>
          <w:rFonts w:hint="cs"/>
          <w:rtl/>
        </w:rPr>
        <w:t>ארצי</w:t>
      </w:r>
      <w:r w:rsidR="00373006" w:rsidRPr="00600D22">
        <w:rPr>
          <w:rFonts w:hint="cs"/>
          <w:rtl/>
        </w:rPr>
        <w:t>,</w:t>
      </w:r>
      <w:r w:rsidR="00952257" w:rsidRPr="00600D22">
        <w:rPr>
          <w:rFonts w:hint="cs"/>
          <w:rtl/>
        </w:rPr>
        <w:t xml:space="preserve"> ולהפריד להבא </w:t>
      </w:r>
      <w:r w:rsidR="00423698" w:rsidRPr="00600D22">
        <w:rPr>
          <w:rFonts w:hint="cs"/>
          <w:rtl/>
        </w:rPr>
        <w:t>בין האלים לבין בני האדם</w:t>
      </w:r>
      <w:r w:rsidR="00373006" w:rsidRPr="00600D22">
        <w:rPr>
          <w:rFonts w:hint="cs"/>
          <w:rtl/>
        </w:rPr>
        <w:t xml:space="preserve"> ולמנוע זיווגים ביניהם</w:t>
      </w:r>
      <w:r w:rsidR="00423698" w:rsidRPr="00600D22">
        <w:rPr>
          <w:rFonts w:hint="cs"/>
          <w:rtl/>
        </w:rPr>
        <w:t>. לא האלים היו הגורם למבול, ולא היה כאן מרד אלים זוטרים (מעין גיגנטים או טיטנים) כפי שרצו אחדים לומר,</w:t>
      </w:r>
      <w:r w:rsidR="00423698" w:rsidRPr="00600D22">
        <w:rPr>
          <w:rStyle w:val="FootnoteReference"/>
          <w:rtl/>
        </w:rPr>
        <w:footnoteReference w:id="45"/>
      </w:r>
      <w:r w:rsidR="00423698" w:rsidRPr="00600D22">
        <w:rPr>
          <w:rFonts w:hint="cs"/>
          <w:rtl/>
        </w:rPr>
        <w:t xml:space="preserve"> אלא בְּניהם, בני התערובת</w:t>
      </w:r>
      <w:r w:rsidR="001221EB" w:rsidRPr="00600D22">
        <w:rPr>
          <w:rFonts w:hint="cs"/>
          <w:rtl/>
        </w:rPr>
        <w:t>,</w:t>
      </w:r>
      <w:r w:rsidR="00423698" w:rsidRPr="00600D22">
        <w:rPr>
          <w:rFonts w:hint="cs"/>
          <w:rtl/>
        </w:rPr>
        <w:t xml:space="preserve"> של אל ואדם </w:t>
      </w:r>
      <w:r w:rsidR="00423698" w:rsidRPr="00600D22">
        <w:rPr>
          <w:rFonts w:hint="eastAsia"/>
          <w:rtl/>
        </w:rPr>
        <w:t>–</w:t>
      </w:r>
      <w:r w:rsidR="00423698" w:rsidRPr="00600D22">
        <w:rPr>
          <w:rFonts w:hint="cs"/>
          <w:rtl/>
        </w:rPr>
        <w:t xml:space="preserve"> הם היו מקור הבעיה</w:t>
      </w:r>
      <w:r w:rsidR="00373006" w:rsidRPr="00600D22">
        <w:rPr>
          <w:rFonts w:hint="cs"/>
          <w:rtl/>
        </w:rPr>
        <w:t xml:space="preserve"> מעצם קיומם</w:t>
      </w:r>
      <w:r w:rsidR="00423698" w:rsidRPr="00600D22">
        <w:rPr>
          <w:rFonts w:hint="cs"/>
          <w:rtl/>
        </w:rPr>
        <w:t>.</w:t>
      </w:r>
      <w:r w:rsidR="00373006" w:rsidRPr="00600D22">
        <w:rPr>
          <w:rFonts w:hint="cs"/>
          <w:rtl/>
        </w:rPr>
        <w:t xml:space="preserve"> כוונת סיפור זה איננה מונות</w:t>
      </w:r>
      <w:r w:rsidR="00E05CFB">
        <w:rPr>
          <w:rFonts w:hint="cs"/>
          <w:rtl/>
        </w:rPr>
        <w:t>י</w:t>
      </w:r>
      <w:r w:rsidR="00373006" w:rsidRPr="00600D22">
        <w:rPr>
          <w:rFonts w:hint="cs"/>
          <w:rtl/>
        </w:rPr>
        <w:t xml:space="preserve">איסטית, </w:t>
      </w:r>
      <w:r w:rsidR="00E05CFB">
        <w:rPr>
          <w:rFonts w:hint="cs"/>
          <w:rtl/>
        </w:rPr>
        <w:t xml:space="preserve">שאלמלא כן </w:t>
      </w:r>
      <w:r w:rsidR="00DA2ED3" w:rsidRPr="00600D22">
        <w:rPr>
          <w:rFonts w:hint="cs"/>
          <w:rtl/>
        </w:rPr>
        <w:t xml:space="preserve">לא היה נזקק המספר לתאר את זיווגיהם של </w:t>
      </w:r>
      <w:r w:rsidR="006B7F0B" w:rsidRPr="00600D22">
        <w:rPr>
          <w:rFonts w:hint="cs"/>
          <w:rtl/>
        </w:rPr>
        <w:t>יצורים אלוהיים עם בנות אדם</w:t>
      </w:r>
      <w:r w:rsidR="00DA2ED3" w:rsidRPr="00600D22">
        <w:rPr>
          <w:rFonts w:hint="cs"/>
          <w:rtl/>
        </w:rPr>
        <w:t xml:space="preserve">, </w:t>
      </w:r>
      <w:r w:rsidR="00373006" w:rsidRPr="00600D22">
        <w:rPr>
          <w:rFonts w:hint="cs"/>
          <w:rtl/>
        </w:rPr>
        <w:t xml:space="preserve">אלא </w:t>
      </w:r>
      <w:r w:rsidR="00423698" w:rsidRPr="00600D22">
        <w:rPr>
          <w:rFonts w:hint="cs"/>
          <w:rtl/>
        </w:rPr>
        <w:t>ניכרת כאן השקפה היסטורית של מחבר שביקש להשתמש בסיפור המבול כח</w:t>
      </w:r>
      <w:r w:rsidR="00DA2ED3" w:rsidRPr="00600D22">
        <w:rPr>
          <w:rFonts w:hint="cs"/>
          <w:rtl/>
        </w:rPr>
        <w:t>ַ</w:t>
      </w:r>
      <w:r w:rsidR="00423698" w:rsidRPr="00600D22">
        <w:rPr>
          <w:rFonts w:hint="cs"/>
          <w:rtl/>
        </w:rPr>
        <w:t>י</w:t>
      </w:r>
      <w:r w:rsidR="00DA2ED3" w:rsidRPr="00600D22">
        <w:rPr>
          <w:rFonts w:hint="cs"/>
          <w:rtl/>
        </w:rPr>
        <w:t>ִ</w:t>
      </w:r>
      <w:r w:rsidR="00423698" w:rsidRPr="00600D22">
        <w:rPr>
          <w:rFonts w:hint="cs"/>
          <w:rtl/>
        </w:rPr>
        <w:t xml:space="preserve">ץ בין דור הגיבורים, אנשי השם, </w:t>
      </w:r>
      <w:r w:rsidR="003E3DB7" w:rsidRPr="00600D22">
        <w:rPr>
          <w:rFonts w:hint="cs"/>
          <w:rtl/>
        </w:rPr>
        <w:t>ו</w:t>
      </w:r>
      <w:r w:rsidR="00490F02" w:rsidRPr="00600D22">
        <w:rPr>
          <w:rFonts w:hint="cs"/>
          <w:rtl/>
        </w:rPr>
        <w:t>ביננו</w:t>
      </w:r>
      <w:r w:rsidR="00423698" w:rsidRPr="00600D22">
        <w:rPr>
          <w:rFonts w:hint="cs"/>
          <w:rtl/>
        </w:rPr>
        <w:t xml:space="preserve"> ואבותינו, בני האדם הרגילים. כששָאַל</w:t>
      </w:r>
      <w:r w:rsidR="00373006" w:rsidRPr="00600D22">
        <w:rPr>
          <w:rFonts w:hint="cs"/>
          <w:rtl/>
        </w:rPr>
        <w:t xml:space="preserve"> מחבר </w:t>
      </w:r>
      <w:r w:rsidR="006B7F0B" w:rsidRPr="00600D22">
        <w:rPr>
          <w:rFonts w:hint="cs"/>
          <w:rtl/>
        </w:rPr>
        <w:t xml:space="preserve">סיפור זה </w:t>
      </w:r>
      <w:r w:rsidR="00423698" w:rsidRPr="00600D22">
        <w:rPr>
          <w:rFonts w:hint="cs"/>
          <w:rtl/>
        </w:rPr>
        <w:t xml:space="preserve">לאן נעלמו אותם אנשים שהיו מהלכים זה </w:t>
      </w:r>
      <w:r w:rsidR="00490F02" w:rsidRPr="00600D22">
        <w:rPr>
          <w:rFonts w:hint="cs"/>
          <w:rtl/>
        </w:rPr>
        <w:t>ב</w:t>
      </w:r>
      <w:r w:rsidR="00423698" w:rsidRPr="00600D22">
        <w:rPr>
          <w:rFonts w:hint="cs"/>
          <w:rtl/>
        </w:rPr>
        <w:t xml:space="preserve">צד זה עם האלים, השיב </w:t>
      </w:r>
      <w:r w:rsidR="00373006" w:rsidRPr="00600D22">
        <w:rPr>
          <w:rFonts w:hint="cs"/>
          <w:rtl/>
        </w:rPr>
        <w:t>ה</w:t>
      </w:r>
      <w:r w:rsidR="00423698" w:rsidRPr="00600D22">
        <w:rPr>
          <w:rFonts w:hint="cs"/>
          <w:rtl/>
        </w:rPr>
        <w:t>סיפור שהם בוודאי נכחדו עם המבול, ואין המבול נוצר אלא להכחידם</w:t>
      </w:r>
      <w:r w:rsidR="003F415E" w:rsidRPr="00600D22">
        <w:rPr>
          <w:rFonts w:hint="cs"/>
          <w:rtl/>
        </w:rPr>
        <w:t xml:space="preserve"> ויחד עמם את הדור כולו</w:t>
      </w:r>
      <w:r w:rsidR="00423698" w:rsidRPr="00600D22">
        <w:rPr>
          <w:rFonts w:hint="cs"/>
          <w:rtl/>
        </w:rPr>
        <w:t>.</w:t>
      </w:r>
    </w:p>
    <w:p w:rsidR="008C281B" w:rsidRPr="00600D22" w:rsidRDefault="00065C38" w:rsidP="00491B7E">
      <w:pPr>
        <w:widowControl w:val="0"/>
        <w:spacing w:line="480" w:lineRule="auto"/>
        <w:ind w:firstLine="397"/>
        <w:rPr>
          <w:rtl/>
        </w:rPr>
      </w:pPr>
      <w:r w:rsidRPr="00600D22">
        <w:rPr>
          <w:rFonts w:hint="cs"/>
          <w:rtl/>
        </w:rPr>
        <w:t>הד ל</w:t>
      </w:r>
      <w:r w:rsidR="00FE6760" w:rsidRPr="00600D22">
        <w:rPr>
          <w:rFonts w:hint="cs"/>
          <w:rtl/>
        </w:rPr>
        <w:t xml:space="preserve">אותו </w:t>
      </w:r>
      <w:r w:rsidRPr="00600D22">
        <w:rPr>
          <w:rFonts w:hint="cs"/>
          <w:rtl/>
        </w:rPr>
        <w:t xml:space="preserve">סיפור </w:t>
      </w:r>
      <w:r w:rsidR="00FE6760" w:rsidRPr="00600D22">
        <w:rPr>
          <w:rFonts w:hint="cs"/>
          <w:rtl/>
        </w:rPr>
        <w:t>מיוחד הקושר בין דור הגיבורים לבין המבול</w:t>
      </w:r>
      <w:r w:rsidRPr="00600D22">
        <w:rPr>
          <w:rFonts w:hint="cs"/>
          <w:rtl/>
        </w:rPr>
        <w:t xml:space="preserve"> עולה </w:t>
      </w:r>
      <w:r w:rsidR="00B86AC7" w:rsidRPr="00600D22">
        <w:rPr>
          <w:rFonts w:hint="cs"/>
          <w:rtl/>
        </w:rPr>
        <w:t xml:space="preserve">כנראה </w:t>
      </w:r>
      <w:r w:rsidR="00C7746F" w:rsidRPr="00600D22">
        <w:rPr>
          <w:rFonts w:hint="cs"/>
          <w:rtl/>
        </w:rPr>
        <w:t xml:space="preserve">גם </w:t>
      </w:r>
      <w:r w:rsidRPr="00600D22">
        <w:rPr>
          <w:rFonts w:hint="cs"/>
          <w:rtl/>
        </w:rPr>
        <w:t>ממקומות אחרים במקרא</w:t>
      </w:r>
      <w:r w:rsidR="008677FD" w:rsidRPr="00600D22">
        <w:rPr>
          <w:rFonts w:hint="cs"/>
          <w:rtl/>
        </w:rPr>
        <w:t xml:space="preserve"> </w:t>
      </w:r>
      <w:r w:rsidR="006E702E" w:rsidRPr="00600D22">
        <w:rPr>
          <w:rFonts w:hint="cs"/>
          <w:rtl/>
        </w:rPr>
        <w:t>ובספרות בית שני</w:t>
      </w:r>
      <w:r w:rsidRPr="00600D22">
        <w:rPr>
          <w:rFonts w:hint="cs"/>
          <w:rtl/>
        </w:rPr>
        <w:t>. יחזקאל (</w:t>
      </w:r>
      <w:r w:rsidR="00EB30DD" w:rsidRPr="00600D22">
        <w:rPr>
          <w:rFonts w:hint="cs"/>
          <w:rtl/>
        </w:rPr>
        <w:t>כו 19–20</w:t>
      </w:r>
      <w:r w:rsidRPr="00600D22">
        <w:rPr>
          <w:rFonts w:hint="cs"/>
          <w:rtl/>
        </w:rPr>
        <w:t>) ניבא לצור שת</w:t>
      </w:r>
      <w:r w:rsidR="00340D07" w:rsidRPr="00600D22">
        <w:rPr>
          <w:rFonts w:hint="cs"/>
          <w:rtl/>
        </w:rPr>
        <w:t>י</w:t>
      </w:r>
      <w:r w:rsidRPr="00600D22">
        <w:rPr>
          <w:rFonts w:hint="cs"/>
          <w:rtl/>
        </w:rPr>
        <w:t xml:space="preserve">הפך לעיר </w:t>
      </w:r>
      <w:r w:rsidRPr="00600D22">
        <w:rPr>
          <w:rtl/>
        </w:rPr>
        <w:t>נֶחֱרֶבֶת</w:t>
      </w:r>
      <w:r w:rsidRPr="00600D22">
        <w:rPr>
          <w:rFonts w:hint="cs"/>
          <w:rtl/>
        </w:rPr>
        <w:t>, תהום יעלה עליה ומים רבים יכסו אותה, צוֹר תרד עם יורדי בור ותשכב עִם עַם עולם</w:t>
      </w:r>
      <w:r w:rsidR="0033062C" w:rsidRPr="00600D22">
        <w:rPr>
          <w:rFonts w:hint="cs"/>
          <w:rtl/>
        </w:rPr>
        <w:t xml:space="preserve">: </w:t>
      </w:r>
      <w:r w:rsidR="00952E4B">
        <w:rPr>
          <w:rFonts w:hint="cs"/>
          <w:rtl/>
        </w:rPr>
        <w:t>"</w:t>
      </w:r>
      <w:r w:rsidR="0033062C" w:rsidRPr="00600D22">
        <w:rPr>
          <w:rtl/>
        </w:rPr>
        <w:t xml:space="preserve">כִּי כֹה אָמַר אֲדֹנָי </w:t>
      </w:r>
      <w:r w:rsidR="0033062C" w:rsidRPr="00600D22">
        <w:rPr>
          <w:rFonts w:hint="cs"/>
          <w:rtl/>
        </w:rPr>
        <w:t>ה'</w:t>
      </w:r>
      <w:r w:rsidR="0033062C" w:rsidRPr="00600D22">
        <w:rPr>
          <w:rtl/>
        </w:rPr>
        <w:t xml:space="preserve"> בְּתִתִּי אֹתָךְ עִיר נֶחֱרֶבֶת כֶּעָרִים אֲשֶׁר לֹא נוֹשָׁבוּ בְּהַעֲלוֹת עָלַיִךְ אֶת תְּהוֹם וְכִסּוּךְ הַמַּיִם הָרַבִּים</w:t>
      </w:r>
      <w:r w:rsidR="00A12967" w:rsidRPr="00600D22">
        <w:rPr>
          <w:rFonts w:hint="cs"/>
          <w:rtl/>
        </w:rPr>
        <w:t>.</w:t>
      </w:r>
      <w:r w:rsidR="0033062C" w:rsidRPr="00600D22">
        <w:rPr>
          <w:rtl/>
        </w:rPr>
        <w:t xml:space="preserve"> וְהוֹרַדְתִּיךְ אֶת יוֹרְדֵי בוֹר אֶל עַם עוֹלָם </w:t>
      </w:r>
      <w:r w:rsidR="00353B03" w:rsidRPr="00600D22">
        <w:rPr>
          <w:rFonts w:hint="cs"/>
          <w:rtl/>
        </w:rPr>
        <w:t>[...]</w:t>
      </w:r>
      <w:r w:rsidR="00952E4B">
        <w:rPr>
          <w:rFonts w:hint="cs"/>
          <w:rtl/>
        </w:rPr>
        <w:t>"</w:t>
      </w:r>
      <w:r w:rsidR="0033062C" w:rsidRPr="00600D22">
        <w:rPr>
          <w:rFonts w:hint="cs"/>
          <w:rtl/>
        </w:rPr>
        <w:t xml:space="preserve"> (</w:t>
      </w:r>
      <w:r w:rsidR="00013B8A">
        <w:rPr>
          <w:rFonts w:hint="cs"/>
          <w:rtl/>
        </w:rPr>
        <w:t>שם</w:t>
      </w:r>
      <w:r w:rsidR="0033062C" w:rsidRPr="00600D22">
        <w:rPr>
          <w:rFonts w:hint="cs"/>
          <w:rtl/>
        </w:rPr>
        <w:t xml:space="preserve">). </w:t>
      </w:r>
      <w:r w:rsidR="008772C1" w:rsidRPr="00600D22">
        <w:rPr>
          <w:rFonts w:hint="cs"/>
          <w:rtl/>
        </w:rPr>
        <w:t>כפי שראו אחדים</w:t>
      </w:r>
      <w:r w:rsidR="00DC7E27" w:rsidRPr="00600D22">
        <w:rPr>
          <w:rFonts w:hint="cs"/>
          <w:rtl/>
        </w:rPr>
        <w:t>,</w:t>
      </w:r>
      <w:r w:rsidR="008772C1" w:rsidRPr="00600D22">
        <w:rPr>
          <w:rFonts w:hint="cs"/>
          <w:rtl/>
        </w:rPr>
        <w:t xml:space="preserve"> הביטוי </w:t>
      </w:r>
      <w:r w:rsidR="00B30169" w:rsidRPr="00600D22">
        <w:rPr>
          <w:rFonts w:hint="cs"/>
          <w:rtl/>
        </w:rPr>
        <w:t xml:space="preserve">המיוחד </w:t>
      </w:r>
      <w:r w:rsidR="008772C1" w:rsidRPr="00600D22">
        <w:rPr>
          <w:rFonts w:hint="cs"/>
          <w:rtl/>
        </w:rPr>
        <w:t>'</w:t>
      </w:r>
      <w:r w:rsidRPr="00600D22">
        <w:rPr>
          <w:rFonts w:hint="cs"/>
          <w:rtl/>
        </w:rPr>
        <w:t>עַם עולם</w:t>
      </w:r>
      <w:r w:rsidR="008772C1" w:rsidRPr="00600D22">
        <w:rPr>
          <w:rFonts w:hint="cs"/>
          <w:rtl/>
        </w:rPr>
        <w:t>'</w:t>
      </w:r>
      <w:r w:rsidRPr="00600D22">
        <w:rPr>
          <w:rFonts w:hint="cs"/>
          <w:rtl/>
        </w:rPr>
        <w:t xml:space="preserve"> </w:t>
      </w:r>
      <w:r w:rsidR="008772C1" w:rsidRPr="00600D22">
        <w:rPr>
          <w:rFonts w:hint="cs"/>
          <w:rtl/>
        </w:rPr>
        <w:t>אצל יחזקאל מקביל</w:t>
      </w:r>
      <w:r w:rsidRPr="00600D22">
        <w:rPr>
          <w:rFonts w:hint="cs"/>
          <w:rtl/>
        </w:rPr>
        <w:t xml:space="preserve"> </w:t>
      </w:r>
      <w:r w:rsidR="008772C1" w:rsidRPr="00600D22">
        <w:rPr>
          <w:rFonts w:hint="cs"/>
          <w:rtl/>
        </w:rPr>
        <w:t>ל</w:t>
      </w:r>
      <w:r w:rsidR="00952E4B">
        <w:rPr>
          <w:rFonts w:hint="cs"/>
          <w:rtl/>
        </w:rPr>
        <w:t>"</w:t>
      </w:r>
      <w:r w:rsidR="0033062C" w:rsidRPr="00600D22">
        <w:rPr>
          <w:rtl/>
        </w:rPr>
        <w:t>הַגִּבֹּרִים אֲשֶׁר מֵעוֹלָם</w:t>
      </w:r>
      <w:r w:rsidR="0033062C" w:rsidRPr="00600D22">
        <w:rPr>
          <w:rFonts w:hint="cs"/>
          <w:rtl/>
        </w:rPr>
        <w:t xml:space="preserve">, </w:t>
      </w:r>
      <w:r w:rsidR="0033062C" w:rsidRPr="00600D22">
        <w:rPr>
          <w:rtl/>
        </w:rPr>
        <w:t>אַנְשֵׁי הַשֵּׁם</w:t>
      </w:r>
      <w:r w:rsidR="00952E4B">
        <w:rPr>
          <w:rFonts w:hint="cs"/>
          <w:rtl/>
        </w:rPr>
        <w:t>"</w:t>
      </w:r>
      <w:r w:rsidR="00340D07" w:rsidRPr="00600D22">
        <w:rPr>
          <w:rFonts w:hint="cs"/>
          <w:rtl/>
        </w:rPr>
        <w:t>,</w:t>
      </w:r>
      <w:r w:rsidR="0033062C" w:rsidRPr="00600D22">
        <w:rPr>
          <w:rFonts w:hint="cs"/>
          <w:rtl/>
        </w:rPr>
        <w:t xml:space="preserve"> הנזכרים בסיפור בני האל</w:t>
      </w:r>
      <w:r w:rsidR="00340D07" w:rsidRPr="00600D22">
        <w:rPr>
          <w:rFonts w:hint="cs"/>
          <w:rtl/>
        </w:rPr>
        <w:t>ו</w:t>
      </w:r>
      <w:r w:rsidR="0033062C" w:rsidRPr="00600D22">
        <w:rPr>
          <w:rFonts w:hint="cs"/>
          <w:rtl/>
        </w:rPr>
        <w:t>הים ובנות האדם (בר' ו 4).</w:t>
      </w:r>
      <w:r w:rsidR="00B30169" w:rsidRPr="00600D22">
        <w:rPr>
          <w:rStyle w:val="FootnoteReference"/>
          <w:rtl/>
        </w:rPr>
        <w:footnoteReference w:id="46"/>
      </w:r>
      <w:r w:rsidR="0033062C" w:rsidRPr="00600D22">
        <w:rPr>
          <w:rFonts w:hint="cs"/>
          <w:rtl/>
        </w:rPr>
        <w:t xml:space="preserve"> </w:t>
      </w:r>
      <w:r w:rsidR="003F415E" w:rsidRPr="00600D22">
        <w:rPr>
          <w:rFonts w:hint="cs"/>
          <w:rtl/>
        </w:rPr>
        <w:t xml:space="preserve">וכבר </w:t>
      </w:r>
      <w:r w:rsidR="00581A92" w:rsidRPr="00600D22">
        <w:rPr>
          <w:rFonts w:hint="cs"/>
          <w:rtl/>
        </w:rPr>
        <w:t>קריילינג</w:t>
      </w:r>
      <w:r w:rsidR="00FE3612" w:rsidRPr="00600D22">
        <w:rPr>
          <w:rFonts w:hint="cs"/>
          <w:rtl/>
        </w:rPr>
        <w:t xml:space="preserve"> הציע</w:t>
      </w:r>
      <w:r w:rsidR="00335872" w:rsidRPr="00600D22">
        <w:rPr>
          <w:rFonts w:hint="cs"/>
          <w:rtl/>
        </w:rPr>
        <w:t xml:space="preserve"> </w:t>
      </w:r>
      <w:r w:rsidR="00581A92" w:rsidRPr="00600D22">
        <w:rPr>
          <w:rFonts w:hint="cs"/>
          <w:rtl/>
        </w:rPr>
        <w:t xml:space="preserve">כי נשמר כאן </w:t>
      </w:r>
      <w:r w:rsidR="003F415E" w:rsidRPr="00600D22">
        <w:rPr>
          <w:rFonts w:hint="cs"/>
          <w:rtl/>
        </w:rPr>
        <w:t xml:space="preserve">ביחזקאל הד </w:t>
      </w:r>
      <w:r w:rsidR="00581A92" w:rsidRPr="00600D22">
        <w:rPr>
          <w:rFonts w:hint="cs"/>
          <w:rtl/>
        </w:rPr>
        <w:t xml:space="preserve">לסיפור </w:t>
      </w:r>
      <w:r w:rsidR="00DC7E27" w:rsidRPr="00600D22">
        <w:rPr>
          <w:rFonts w:hint="cs"/>
          <w:rtl/>
        </w:rPr>
        <w:t>על</w:t>
      </w:r>
      <w:r w:rsidR="00581A92" w:rsidRPr="00600D22">
        <w:rPr>
          <w:rFonts w:hint="cs"/>
          <w:rtl/>
        </w:rPr>
        <w:t xml:space="preserve"> הגיבורים 'עם עולם'</w:t>
      </w:r>
      <w:r w:rsidR="00340D07" w:rsidRPr="00600D22">
        <w:rPr>
          <w:rFonts w:hint="cs"/>
          <w:rtl/>
        </w:rPr>
        <w:t>,</w:t>
      </w:r>
      <w:r w:rsidR="00581A92" w:rsidRPr="00600D22">
        <w:rPr>
          <w:rFonts w:hint="cs"/>
          <w:rtl/>
        </w:rPr>
        <w:t xml:space="preserve"> </w:t>
      </w:r>
      <w:r w:rsidR="00DC7E27" w:rsidRPr="00600D22">
        <w:rPr>
          <w:rFonts w:hint="cs"/>
          <w:rtl/>
        </w:rPr>
        <w:t xml:space="preserve">אשר </w:t>
      </w:r>
      <w:r w:rsidR="00581A92" w:rsidRPr="00600D22">
        <w:rPr>
          <w:rFonts w:hint="cs"/>
          <w:rtl/>
        </w:rPr>
        <w:t xml:space="preserve">הוטבעו במי המבול וכך </w:t>
      </w:r>
      <w:r w:rsidR="003812A5" w:rsidRPr="00600D22">
        <w:rPr>
          <w:rFonts w:hint="cs"/>
          <w:rtl/>
        </w:rPr>
        <w:t>אבדו</w:t>
      </w:r>
      <w:r w:rsidR="0033062C" w:rsidRPr="00600D22">
        <w:rPr>
          <w:rFonts w:hint="cs"/>
          <w:rtl/>
        </w:rPr>
        <w:t>.</w:t>
      </w:r>
      <w:r w:rsidR="00581A92" w:rsidRPr="00600D22">
        <w:rPr>
          <w:rStyle w:val="FootnoteReference"/>
          <w:rtl/>
        </w:rPr>
        <w:footnoteReference w:id="47"/>
      </w:r>
      <w:r w:rsidR="00581A92" w:rsidRPr="00600D22">
        <w:rPr>
          <w:rFonts w:hint="cs"/>
          <w:rtl/>
        </w:rPr>
        <w:t xml:space="preserve"> </w:t>
      </w:r>
      <w:r w:rsidR="00EF536C" w:rsidRPr="00600D22">
        <w:rPr>
          <w:rFonts w:hint="cs"/>
          <w:rtl/>
        </w:rPr>
        <w:t xml:space="preserve">בנבואות אחרות לצור </w:t>
      </w:r>
      <w:r w:rsidR="003E24D2" w:rsidRPr="00600D22">
        <w:rPr>
          <w:rFonts w:hint="cs"/>
          <w:rtl/>
        </w:rPr>
        <w:t>השתמש</w:t>
      </w:r>
      <w:r w:rsidR="00EF536C" w:rsidRPr="00600D22">
        <w:rPr>
          <w:rFonts w:hint="cs"/>
          <w:rtl/>
        </w:rPr>
        <w:t xml:space="preserve"> יחזקאל </w:t>
      </w:r>
      <w:r w:rsidR="003E24D2" w:rsidRPr="00600D22">
        <w:rPr>
          <w:rFonts w:hint="cs"/>
          <w:rtl/>
        </w:rPr>
        <w:t xml:space="preserve">במוטיבים </w:t>
      </w:r>
      <w:r w:rsidR="00EF536C" w:rsidRPr="00600D22">
        <w:rPr>
          <w:rFonts w:hint="cs"/>
          <w:rtl/>
        </w:rPr>
        <w:t>מתוך המיתוס הכנעני</w:t>
      </w:r>
      <w:r w:rsidR="001221EB" w:rsidRPr="00600D22">
        <w:rPr>
          <w:rFonts w:hint="cs"/>
          <w:rtl/>
        </w:rPr>
        <w:t>,</w:t>
      </w:r>
      <w:r w:rsidR="00EF536C" w:rsidRPr="00600D22">
        <w:rPr>
          <w:rFonts w:hint="cs"/>
          <w:rtl/>
        </w:rPr>
        <w:t xml:space="preserve"> כמו בדבריו על 'אֵל' היושב בלב ימים </w:t>
      </w:r>
      <w:r w:rsidR="007B5ADA" w:rsidRPr="00600D22">
        <w:rPr>
          <w:rFonts w:hint="cs"/>
          <w:rtl/>
        </w:rPr>
        <w:t>(</w:t>
      </w:r>
      <w:r w:rsidR="00013B8A">
        <w:rPr>
          <w:rFonts w:hint="cs"/>
          <w:rtl/>
        </w:rPr>
        <w:t xml:space="preserve">יח' </w:t>
      </w:r>
      <w:r w:rsidR="007B5ADA" w:rsidRPr="00600D22">
        <w:rPr>
          <w:rFonts w:hint="cs"/>
          <w:rtl/>
        </w:rPr>
        <w:t xml:space="preserve">כח 2) </w:t>
      </w:r>
      <w:r w:rsidR="00EF536C" w:rsidRPr="00600D22">
        <w:rPr>
          <w:rFonts w:hint="cs"/>
          <w:rtl/>
        </w:rPr>
        <w:t>או על 'דנאל' (</w:t>
      </w:r>
      <w:r w:rsidR="00013B8A">
        <w:rPr>
          <w:rFonts w:hint="cs"/>
          <w:rtl/>
        </w:rPr>
        <w:t xml:space="preserve">שם, </w:t>
      </w:r>
      <w:r w:rsidR="00EF536C" w:rsidRPr="00600D22">
        <w:rPr>
          <w:rFonts w:hint="cs"/>
          <w:rtl/>
        </w:rPr>
        <w:t>יד 14, 20</w:t>
      </w:r>
      <w:r w:rsidR="00013B8A">
        <w:rPr>
          <w:rFonts w:hint="cs"/>
          <w:rtl/>
        </w:rPr>
        <w:t>,</w:t>
      </w:r>
      <w:r w:rsidR="00EF536C" w:rsidRPr="00600D22">
        <w:rPr>
          <w:rFonts w:hint="cs"/>
          <w:rtl/>
        </w:rPr>
        <w:t xml:space="preserve"> כח 3)</w:t>
      </w:r>
      <w:r w:rsidR="001221EB" w:rsidRPr="00600D22">
        <w:rPr>
          <w:rFonts w:hint="cs"/>
          <w:rtl/>
        </w:rPr>
        <w:t>,</w:t>
      </w:r>
      <w:r w:rsidR="00EF536C" w:rsidRPr="00600D22">
        <w:rPr>
          <w:rFonts w:hint="cs"/>
          <w:rtl/>
        </w:rPr>
        <w:t xml:space="preserve"> וי</w:t>
      </w:r>
      <w:r w:rsidR="00340D07" w:rsidRPr="00600D22">
        <w:rPr>
          <w:rFonts w:hint="cs"/>
          <w:rtl/>
        </w:rPr>
        <w:t>י</w:t>
      </w:r>
      <w:r w:rsidR="00EF536C" w:rsidRPr="00600D22">
        <w:rPr>
          <w:rFonts w:hint="cs"/>
          <w:rtl/>
        </w:rPr>
        <w:t xml:space="preserve">תכן שכך עשה גם כאן. </w:t>
      </w:r>
      <w:r w:rsidR="00340D07" w:rsidRPr="00600D22">
        <w:rPr>
          <w:rFonts w:hint="cs"/>
          <w:rtl/>
        </w:rPr>
        <w:t>תפיש</w:t>
      </w:r>
      <w:r w:rsidR="008D7911" w:rsidRPr="00600D22">
        <w:rPr>
          <w:rFonts w:hint="cs"/>
          <w:rtl/>
        </w:rPr>
        <w:t xml:space="preserve">ה </w:t>
      </w:r>
      <w:r w:rsidR="001F64B8" w:rsidRPr="00600D22">
        <w:rPr>
          <w:rFonts w:hint="cs"/>
          <w:rtl/>
        </w:rPr>
        <w:t>קרובה</w:t>
      </w:r>
      <w:r w:rsidR="0033062C" w:rsidRPr="00600D22">
        <w:rPr>
          <w:rFonts w:hint="cs"/>
          <w:rtl/>
        </w:rPr>
        <w:t xml:space="preserve"> עולה </w:t>
      </w:r>
      <w:r w:rsidR="00AB0247" w:rsidRPr="00600D22">
        <w:rPr>
          <w:rFonts w:hint="cs"/>
          <w:rtl/>
        </w:rPr>
        <w:t xml:space="preserve">אולי </w:t>
      </w:r>
      <w:r w:rsidR="0033062C" w:rsidRPr="00600D22">
        <w:rPr>
          <w:rFonts w:hint="cs"/>
          <w:rtl/>
        </w:rPr>
        <w:t xml:space="preserve">גם מדברי איוב </w:t>
      </w:r>
      <w:r w:rsidRPr="00600D22">
        <w:rPr>
          <w:rFonts w:hint="cs"/>
          <w:rtl/>
        </w:rPr>
        <w:t xml:space="preserve">לבלדד באיוב כו </w:t>
      </w:r>
      <w:r w:rsidR="00EB30DD" w:rsidRPr="00600D22">
        <w:rPr>
          <w:rFonts w:hint="cs"/>
          <w:rtl/>
        </w:rPr>
        <w:t>5–6</w:t>
      </w:r>
      <w:r w:rsidRPr="00600D22">
        <w:rPr>
          <w:rFonts w:hint="cs"/>
          <w:rtl/>
        </w:rPr>
        <w:t>. איוב שואל שם מי יוכל לעמוד בפני ה'</w:t>
      </w:r>
      <w:r w:rsidR="00F32F02" w:rsidRPr="00600D22">
        <w:rPr>
          <w:rFonts w:hint="cs"/>
          <w:rtl/>
        </w:rPr>
        <w:t>,</w:t>
      </w:r>
      <w:r w:rsidRPr="00600D22">
        <w:rPr>
          <w:rFonts w:hint="cs"/>
          <w:rtl/>
        </w:rPr>
        <w:t xml:space="preserve"> הרי הוא שולט בכול </w:t>
      </w:r>
      <w:r w:rsidR="00F32F02" w:rsidRPr="00600D22">
        <w:rPr>
          <w:rFonts w:hint="cs"/>
          <w:rtl/>
        </w:rPr>
        <w:t>ו</w:t>
      </w:r>
      <w:r w:rsidRPr="00600D22">
        <w:rPr>
          <w:rFonts w:hint="cs"/>
          <w:rtl/>
        </w:rPr>
        <w:t>אף ש</w:t>
      </w:r>
      <w:r w:rsidR="00896334" w:rsidRPr="00600D22">
        <w:rPr>
          <w:rFonts w:hint="cs"/>
          <w:rtl/>
        </w:rPr>
        <w:t>ְ</w:t>
      </w:r>
      <w:r w:rsidRPr="00600D22">
        <w:rPr>
          <w:rFonts w:hint="cs"/>
          <w:rtl/>
        </w:rPr>
        <w:t xml:space="preserve">אול ושוכניו יראים ממנו: </w:t>
      </w:r>
      <w:r w:rsidR="00952E4B">
        <w:rPr>
          <w:rFonts w:hint="cs"/>
          <w:rtl/>
        </w:rPr>
        <w:t>"</w:t>
      </w:r>
      <w:r w:rsidRPr="00600D22">
        <w:rPr>
          <w:rtl/>
        </w:rPr>
        <w:t>הָרְפָאִים יְחוֹלָלוּ</w:t>
      </w:r>
      <w:r w:rsidRPr="00600D22">
        <w:rPr>
          <w:rFonts w:hint="cs"/>
          <w:rtl/>
        </w:rPr>
        <w:t xml:space="preserve"> </w:t>
      </w:r>
      <w:r w:rsidRPr="00600D22">
        <w:rPr>
          <w:rtl/>
        </w:rPr>
        <w:t>מִתַּחַת מַיִם וְשֹׁכְנֵיהֶם</w:t>
      </w:r>
      <w:r w:rsidRPr="00600D22">
        <w:rPr>
          <w:rFonts w:hint="cs"/>
          <w:rtl/>
        </w:rPr>
        <w:t xml:space="preserve">. </w:t>
      </w:r>
      <w:r w:rsidRPr="00600D22">
        <w:rPr>
          <w:rtl/>
        </w:rPr>
        <w:t>עָרוֹם שְׁאוֹל נֶגְדּוֹ</w:t>
      </w:r>
      <w:r w:rsidR="00EB30DD" w:rsidRPr="00600D22">
        <w:rPr>
          <w:rFonts w:hint="cs"/>
          <w:rtl/>
        </w:rPr>
        <w:t xml:space="preserve"> </w:t>
      </w:r>
      <w:r w:rsidRPr="00600D22">
        <w:rPr>
          <w:rtl/>
        </w:rPr>
        <w:t>וְאֵין כְּסוּת לָאֲבַדּוֹן</w:t>
      </w:r>
      <w:r w:rsidR="00952E4B">
        <w:rPr>
          <w:rFonts w:hint="cs"/>
          <w:rtl/>
        </w:rPr>
        <w:t>"</w:t>
      </w:r>
      <w:r w:rsidRPr="00600D22">
        <w:rPr>
          <w:rFonts w:hint="cs"/>
          <w:rtl/>
        </w:rPr>
        <w:t xml:space="preserve">. </w:t>
      </w:r>
      <w:r w:rsidR="001E0042" w:rsidRPr="00600D22">
        <w:rPr>
          <w:rFonts w:hint="cs"/>
          <w:rtl/>
        </w:rPr>
        <w:t xml:space="preserve">בעקבות כתוב </w:t>
      </w:r>
      <w:r w:rsidR="009245D0" w:rsidRPr="00600D22">
        <w:rPr>
          <w:rFonts w:hint="cs"/>
          <w:rtl/>
        </w:rPr>
        <w:t xml:space="preserve">זה </w:t>
      </w:r>
      <w:r w:rsidR="00491B7E">
        <w:rPr>
          <w:rFonts w:hint="cs"/>
          <w:rtl/>
        </w:rPr>
        <w:t>יש</w:t>
      </w:r>
      <w:r w:rsidR="001E0042" w:rsidRPr="00600D22">
        <w:rPr>
          <w:rFonts w:hint="cs"/>
          <w:rtl/>
        </w:rPr>
        <w:t xml:space="preserve"> לתהות מה לרפאים, הגיבורים מימי קדם הנזכרים כשוכני שאול במקורות רבים, ולמשכנם תחת </w:t>
      </w:r>
      <w:r w:rsidR="001E0042" w:rsidRPr="00600D22">
        <w:rPr>
          <w:rFonts w:hint="cs"/>
          <w:rtl/>
        </w:rPr>
        <w:lastRenderedPageBreak/>
        <w:t xml:space="preserve">מים לפי </w:t>
      </w:r>
      <w:r w:rsidR="009245D0" w:rsidRPr="00600D22">
        <w:rPr>
          <w:rFonts w:hint="cs"/>
          <w:rtl/>
        </w:rPr>
        <w:t>איוב כו</w:t>
      </w:r>
      <w:r w:rsidR="00E56212" w:rsidRPr="00600D22">
        <w:rPr>
          <w:rFonts w:hint="cs"/>
          <w:rtl/>
        </w:rPr>
        <w:t>,</w:t>
      </w:r>
      <w:r w:rsidR="001E0042" w:rsidRPr="00600D22">
        <w:rPr>
          <w:rStyle w:val="FootnoteReference"/>
          <w:rtl/>
        </w:rPr>
        <w:footnoteReference w:id="48"/>
      </w:r>
      <w:r w:rsidR="001E0042" w:rsidRPr="00600D22">
        <w:rPr>
          <w:rFonts w:hint="cs"/>
          <w:rtl/>
        </w:rPr>
        <w:t xml:space="preserve"> </w:t>
      </w:r>
      <w:r w:rsidR="00E56212" w:rsidRPr="00600D22">
        <w:rPr>
          <w:rFonts w:hint="cs"/>
          <w:rtl/>
        </w:rPr>
        <w:t>אלא אם כן</w:t>
      </w:r>
      <w:r w:rsidR="001E0042" w:rsidRPr="00600D22">
        <w:rPr>
          <w:rFonts w:hint="cs"/>
          <w:rtl/>
        </w:rPr>
        <w:t xml:space="preserve"> </w:t>
      </w:r>
      <w:r w:rsidR="00E56212" w:rsidRPr="00600D22">
        <w:rPr>
          <w:rFonts w:hint="cs"/>
          <w:rtl/>
        </w:rPr>
        <w:t xml:space="preserve">גם כאן </w:t>
      </w:r>
      <w:r w:rsidR="001E0042" w:rsidRPr="00600D22">
        <w:rPr>
          <w:rFonts w:hint="cs"/>
          <w:rtl/>
        </w:rPr>
        <w:t xml:space="preserve">יש הד </w:t>
      </w:r>
      <w:r w:rsidRPr="00600D22">
        <w:rPr>
          <w:rFonts w:hint="cs"/>
          <w:rtl/>
        </w:rPr>
        <w:t>ל</w:t>
      </w:r>
      <w:r w:rsidR="008772C1" w:rsidRPr="00600D22">
        <w:rPr>
          <w:rFonts w:hint="cs"/>
          <w:rtl/>
        </w:rPr>
        <w:t xml:space="preserve">מסורת </w:t>
      </w:r>
      <w:r w:rsidR="00340D07" w:rsidRPr="00600D22">
        <w:rPr>
          <w:rFonts w:hint="cs"/>
          <w:rtl/>
        </w:rPr>
        <w:t>ש</w:t>
      </w:r>
      <w:r w:rsidR="001E0042" w:rsidRPr="00600D22">
        <w:rPr>
          <w:rFonts w:hint="cs"/>
          <w:rtl/>
        </w:rPr>
        <w:t xml:space="preserve">דור </w:t>
      </w:r>
      <w:r w:rsidRPr="00600D22">
        <w:rPr>
          <w:rFonts w:hint="cs"/>
          <w:rtl/>
        </w:rPr>
        <w:t>ה</w:t>
      </w:r>
      <w:r w:rsidR="001E0042" w:rsidRPr="00600D22">
        <w:rPr>
          <w:rFonts w:hint="cs"/>
          <w:rtl/>
        </w:rPr>
        <w:t>ג</w:t>
      </w:r>
      <w:r w:rsidR="00AB0247" w:rsidRPr="00600D22">
        <w:rPr>
          <w:rFonts w:hint="cs"/>
          <w:rtl/>
        </w:rPr>
        <w:t>י</w:t>
      </w:r>
      <w:r w:rsidR="001E0042" w:rsidRPr="00600D22">
        <w:rPr>
          <w:rFonts w:hint="cs"/>
          <w:rtl/>
        </w:rPr>
        <w:t>בורים</w:t>
      </w:r>
      <w:r w:rsidR="00527B83" w:rsidRPr="00600D22">
        <w:rPr>
          <w:rFonts w:hint="cs"/>
          <w:rtl/>
        </w:rPr>
        <w:t xml:space="preserve"> הקדמונים כוסה במים</w:t>
      </w:r>
      <w:r w:rsidR="001E0042" w:rsidRPr="00600D22">
        <w:rPr>
          <w:rFonts w:hint="cs"/>
          <w:rtl/>
        </w:rPr>
        <w:t>.</w:t>
      </w:r>
      <w:r w:rsidR="00527B83" w:rsidRPr="00600D22">
        <w:rPr>
          <w:rFonts w:hint="cs"/>
          <w:rtl/>
        </w:rPr>
        <w:t xml:space="preserve"> </w:t>
      </w:r>
      <w:r w:rsidR="006E702E" w:rsidRPr="00600D22">
        <w:rPr>
          <w:rFonts w:hint="cs"/>
          <w:rtl/>
        </w:rPr>
        <w:t>ו</w:t>
      </w:r>
      <w:r w:rsidR="008C281B" w:rsidRPr="00600D22">
        <w:rPr>
          <w:rFonts w:hint="cs"/>
          <w:rtl/>
        </w:rPr>
        <w:t>אפשר שגם המסורת בספרות בית שני על הטבעת הנפילים במי המבול</w:t>
      </w:r>
      <w:r w:rsidR="008C281B" w:rsidRPr="00600D22">
        <w:rPr>
          <w:rStyle w:val="FootnoteReference"/>
          <w:rtl/>
        </w:rPr>
        <w:footnoteReference w:id="49"/>
      </w:r>
      <w:r w:rsidR="008C281B" w:rsidRPr="00600D22">
        <w:rPr>
          <w:rFonts w:hint="cs"/>
          <w:rtl/>
        </w:rPr>
        <w:t xml:space="preserve"> ו</w:t>
      </w:r>
      <w:r w:rsidR="00340D07" w:rsidRPr="00600D22">
        <w:rPr>
          <w:rFonts w:hint="cs"/>
          <w:rtl/>
        </w:rPr>
        <w:t xml:space="preserve">המסורת בספרות חז"ל </w:t>
      </w:r>
      <w:r w:rsidR="008C281B" w:rsidRPr="00600D22">
        <w:rPr>
          <w:rFonts w:hint="cs"/>
          <w:rtl/>
        </w:rPr>
        <w:t>על עוג</w:t>
      </w:r>
      <w:r w:rsidR="00340D07" w:rsidRPr="00600D22">
        <w:rPr>
          <w:rFonts w:hint="cs"/>
          <w:rtl/>
        </w:rPr>
        <w:t xml:space="preserve">, </w:t>
      </w:r>
      <w:r w:rsidR="008C281B" w:rsidRPr="00600D22">
        <w:rPr>
          <w:rFonts w:hint="cs"/>
          <w:rtl/>
        </w:rPr>
        <w:t>שנותר לבדו מיתר הרפאים שנשמדו במבול</w:t>
      </w:r>
      <w:r w:rsidR="00B02BA0" w:rsidRPr="00600D22">
        <w:rPr>
          <w:rFonts w:hint="cs"/>
          <w:rtl/>
        </w:rPr>
        <w:t>,</w:t>
      </w:r>
      <w:r w:rsidR="008C281B" w:rsidRPr="00600D22">
        <w:rPr>
          <w:rFonts w:hint="cs"/>
          <w:rtl/>
        </w:rPr>
        <w:t xml:space="preserve"> משמרות הד למסורת מבול ייחודי</w:t>
      </w:r>
      <w:r w:rsidR="001F64B8" w:rsidRPr="00600D22">
        <w:rPr>
          <w:rFonts w:hint="cs"/>
          <w:rtl/>
        </w:rPr>
        <w:t>ת</w:t>
      </w:r>
      <w:r w:rsidR="008C281B" w:rsidRPr="00600D22">
        <w:rPr>
          <w:rFonts w:hint="cs"/>
          <w:rtl/>
        </w:rPr>
        <w:t xml:space="preserve"> זו.</w:t>
      </w:r>
      <w:r w:rsidR="008C281B" w:rsidRPr="00600D22">
        <w:rPr>
          <w:rStyle w:val="FootnoteReference"/>
          <w:rtl/>
        </w:rPr>
        <w:footnoteReference w:id="50"/>
      </w:r>
      <w:r w:rsidR="008C281B" w:rsidRPr="00600D22">
        <w:rPr>
          <w:rFonts w:hint="cs"/>
          <w:rtl/>
        </w:rPr>
        <w:t xml:space="preserve"> ובכל מקרה עולה ממסורות אלו כי כבר הפרשנים הקדומים ביותר חשו כי </w:t>
      </w:r>
      <w:r w:rsidR="00AC580C" w:rsidRPr="00600D22">
        <w:rPr>
          <w:rFonts w:hint="cs"/>
          <w:rtl/>
        </w:rPr>
        <w:t>אי</w:t>
      </w:r>
      <w:r w:rsidR="00436507" w:rsidRPr="00600D22">
        <w:rPr>
          <w:rFonts w:hint="cs"/>
          <w:rtl/>
        </w:rPr>
        <w:t>ן</w:t>
      </w:r>
      <w:r w:rsidR="004F3DF1" w:rsidRPr="00600D22">
        <w:rPr>
          <w:rFonts w:hint="cs"/>
          <w:rtl/>
        </w:rPr>
        <w:t xml:space="preserve"> </w:t>
      </w:r>
      <w:r w:rsidR="008C281B" w:rsidRPr="00600D22">
        <w:rPr>
          <w:rFonts w:hint="cs"/>
          <w:rtl/>
        </w:rPr>
        <w:t>לנתק בין מעשי בני האל</w:t>
      </w:r>
      <w:r w:rsidR="00AC580C" w:rsidRPr="00600D22">
        <w:rPr>
          <w:rFonts w:hint="cs"/>
          <w:rtl/>
        </w:rPr>
        <w:t>ו</w:t>
      </w:r>
      <w:r w:rsidR="008C281B" w:rsidRPr="00600D22">
        <w:rPr>
          <w:rFonts w:hint="cs"/>
          <w:rtl/>
        </w:rPr>
        <w:t>הים בבר</w:t>
      </w:r>
      <w:r w:rsidR="000227D9">
        <w:rPr>
          <w:rFonts w:hint="cs"/>
          <w:rtl/>
        </w:rPr>
        <w:t>אשית</w:t>
      </w:r>
      <w:r w:rsidR="008C281B" w:rsidRPr="00600D22">
        <w:rPr>
          <w:rFonts w:hint="cs"/>
          <w:rtl/>
        </w:rPr>
        <w:t xml:space="preserve"> ו 1–4 לבין סיפור המבול, ושני הדברים </w:t>
      </w:r>
      <w:r w:rsidR="001F64B8" w:rsidRPr="00600D22">
        <w:rPr>
          <w:rFonts w:hint="cs"/>
          <w:rtl/>
        </w:rPr>
        <w:t xml:space="preserve">בוודאי </w:t>
      </w:r>
      <w:r w:rsidR="008C281B" w:rsidRPr="00600D22">
        <w:rPr>
          <w:rFonts w:hint="cs"/>
          <w:rtl/>
        </w:rPr>
        <w:t>קשורים זה לזה.</w:t>
      </w:r>
    </w:p>
    <w:p w:rsidR="008B55B1" w:rsidRPr="00600D22" w:rsidRDefault="008B55B1" w:rsidP="00EF3517">
      <w:pPr>
        <w:widowControl w:val="0"/>
        <w:spacing w:line="480" w:lineRule="auto"/>
        <w:ind w:firstLine="397"/>
        <w:rPr>
          <w:rtl/>
        </w:rPr>
      </w:pPr>
      <w:r w:rsidRPr="00600D22">
        <w:rPr>
          <w:rFonts w:hint="cs"/>
          <w:rtl/>
        </w:rPr>
        <w:t xml:space="preserve">הסיפור המיוחד על דור הגיבורים לא נשמר בשלמותו ביצירה המקראית או במסורות היווניות שהובאו לעיל, אלא רק נתן את אותותיו או הותיר את שרידיו. לפיכך, </w:t>
      </w:r>
      <w:r w:rsidR="00AC580C" w:rsidRPr="00600D22">
        <w:rPr>
          <w:rFonts w:hint="cs"/>
          <w:rtl/>
        </w:rPr>
        <w:t xml:space="preserve">אי אפשר </w:t>
      </w:r>
      <w:r w:rsidRPr="00600D22">
        <w:rPr>
          <w:rFonts w:hint="cs"/>
          <w:rtl/>
        </w:rPr>
        <w:t xml:space="preserve">לומר כי החיבור המקראי השפיע על החיבור היווני או להפך. אין אלא לומר כי מקור אחר השפיע הן על החיבור המקראי הן על החיבור יווני, ומכיוון שבחיבורים אלו מצויה גרסה ייחודית לסיפור המבול, מתבקש לחפש את מוצאו במזרח </w:t>
      </w:r>
      <w:r w:rsidRPr="00600D22">
        <w:rPr>
          <w:rFonts w:hint="eastAsia"/>
          <w:rtl/>
        </w:rPr>
        <w:t>–</w:t>
      </w:r>
      <w:r w:rsidRPr="00600D22">
        <w:rPr>
          <w:rFonts w:hint="cs"/>
          <w:rtl/>
        </w:rPr>
        <w:t xml:space="preserve"> קרוב לוודאי בגרסאות המבול הייחודיות שצמחו בלבנט או במרחב הסורי בתחילת האלף הראשון לפ</w:t>
      </w:r>
      <w:r w:rsidR="00A81BB0" w:rsidRPr="00600D22">
        <w:rPr>
          <w:rFonts w:hint="cs"/>
          <w:rtl/>
        </w:rPr>
        <w:t>סה"</w:t>
      </w:r>
      <w:r w:rsidRPr="00600D22">
        <w:rPr>
          <w:rFonts w:hint="cs"/>
          <w:rtl/>
        </w:rPr>
        <w:t xml:space="preserve">נ. </w:t>
      </w:r>
      <w:r w:rsidR="00763591" w:rsidRPr="00600D22">
        <w:rPr>
          <w:rFonts w:hint="cs"/>
          <w:rtl/>
        </w:rPr>
        <w:t xml:space="preserve">כידוע, </w:t>
      </w:r>
      <w:r w:rsidRPr="00600D22">
        <w:rPr>
          <w:rFonts w:hint="cs"/>
          <w:rtl/>
        </w:rPr>
        <w:t>באלף השני לפ</w:t>
      </w:r>
      <w:r w:rsidR="00A81BB0" w:rsidRPr="00600D22">
        <w:rPr>
          <w:rFonts w:hint="cs"/>
          <w:rtl/>
        </w:rPr>
        <w:t>סה"</w:t>
      </w:r>
      <w:r w:rsidRPr="00600D22">
        <w:rPr>
          <w:rFonts w:hint="cs"/>
          <w:rtl/>
        </w:rPr>
        <w:t>נ נלמד סיפור המבול בתרבויות מערב-אסיה באכדית או לכל הפחות בכתב אכדי,</w:t>
      </w:r>
      <w:r w:rsidRPr="00600D22">
        <w:rPr>
          <w:rStyle w:val="FootnoteReference"/>
          <w:rtl/>
        </w:rPr>
        <w:footnoteReference w:id="51"/>
      </w:r>
      <w:r w:rsidRPr="00600D22">
        <w:rPr>
          <w:rFonts w:hint="cs"/>
          <w:rtl/>
        </w:rPr>
        <w:t xml:space="preserve"> ויש מקום להניח כי באלף הראשון לפ</w:t>
      </w:r>
      <w:r w:rsidR="00A81BB0" w:rsidRPr="00600D22">
        <w:rPr>
          <w:rFonts w:hint="cs"/>
          <w:rtl/>
        </w:rPr>
        <w:t>סה"</w:t>
      </w:r>
      <w:r w:rsidRPr="00600D22">
        <w:rPr>
          <w:rFonts w:hint="cs"/>
          <w:rtl/>
        </w:rPr>
        <w:t>נ נקלט הסיפור במר</w:t>
      </w:r>
      <w:r w:rsidR="00730F52" w:rsidRPr="00600D22">
        <w:rPr>
          <w:rFonts w:hint="cs"/>
          <w:rtl/>
        </w:rPr>
        <w:t>חב הסורי-פ</w:t>
      </w:r>
      <w:r w:rsidR="000227D9">
        <w:rPr>
          <w:rFonts w:hint="cs"/>
          <w:rtl/>
        </w:rPr>
        <w:t>י</w:t>
      </w:r>
      <w:r w:rsidR="00730F52" w:rsidRPr="00600D22">
        <w:rPr>
          <w:rFonts w:hint="cs"/>
          <w:rtl/>
        </w:rPr>
        <w:t>ניקי גם בלשונות המקום</w:t>
      </w:r>
      <w:r w:rsidRPr="00600D22">
        <w:rPr>
          <w:rFonts w:hint="cs"/>
          <w:rtl/>
        </w:rPr>
        <w:t xml:space="preserve"> ובכתביהם</w:t>
      </w:r>
      <w:r w:rsidR="00730F52" w:rsidRPr="00600D22">
        <w:rPr>
          <w:rFonts w:hint="cs"/>
          <w:rtl/>
        </w:rPr>
        <w:t>,</w:t>
      </w:r>
      <w:r w:rsidRPr="00600D22">
        <w:rPr>
          <w:rFonts w:hint="cs"/>
          <w:rtl/>
        </w:rPr>
        <w:t xml:space="preserve"> וקיבל צורה ייחודית.</w:t>
      </w:r>
      <w:r w:rsidR="003B24B9" w:rsidRPr="00600D22">
        <w:rPr>
          <w:rFonts w:hint="cs"/>
          <w:rtl/>
        </w:rPr>
        <w:t xml:space="preserve"> משם, מן המרחב הסורי-פ</w:t>
      </w:r>
      <w:r w:rsidR="000227D9">
        <w:rPr>
          <w:rFonts w:hint="cs"/>
          <w:rtl/>
        </w:rPr>
        <w:t>י</w:t>
      </w:r>
      <w:r w:rsidR="003B24B9" w:rsidRPr="00600D22">
        <w:rPr>
          <w:rFonts w:hint="cs"/>
          <w:rtl/>
        </w:rPr>
        <w:t xml:space="preserve">ניקי, יכול היה סיפור זה להתגלגל למקומות שונים ברחבי אגן הים התיכון המזרחי, </w:t>
      </w:r>
      <w:r w:rsidR="00B651DE" w:rsidRPr="00600D22">
        <w:rPr>
          <w:rFonts w:hint="cs"/>
          <w:rtl/>
        </w:rPr>
        <w:t xml:space="preserve">היינו </w:t>
      </w:r>
      <w:r w:rsidR="003B24B9" w:rsidRPr="00600D22">
        <w:rPr>
          <w:rFonts w:hint="cs"/>
          <w:rtl/>
        </w:rPr>
        <w:t>למחברים</w:t>
      </w:r>
      <w:r w:rsidR="00331646" w:rsidRPr="00600D22">
        <w:rPr>
          <w:rFonts w:hint="cs"/>
          <w:rtl/>
        </w:rPr>
        <w:t xml:space="preserve"> המקראיים שהיו חלק מאותו מרחב ג</w:t>
      </w:r>
      <w:r w:rsidR="000227D9">
        <w:rPr>
          <w:rFonts w:hint="cs"/>
          <w:rtl/>
        </w:rPr>
        <w:t>י</w:t>
      </w:r>
      <w:r w:rsidR="003B24B9" w:rsidRPr="00600D22">
        <w:rPr>
          <w:rFonts w:hint="cs"/>
          <w:rtl/>
        </w:rPr>
        <w:t xml:space="preserve">אוגרפי ותרבותי, </w:t>
      </w:r>
      <w:r w:rsidR="003B24B9" w:rsidRPr="00600D22">
        <w:rPr>
          <w:rFonts w:hint="cs"/>
          <w:rtl/>
        </w:rPr>
        <w:lastRenderedPageBreak/>
        <w:t xml:space="preserve">ולמחברים יווניים שפעלו בתקופה הארכאית, אז </w:t>
      </w:r>
      <w:r w:rsidR="00B651DE" w:rsidRPr="00600D22">
        <w:rPr>
          <w:rFonts w:hint="cs"/>
          <w:rtl/>
        </w:rPr>
        <w:t xml:space="preserve">במיוחד </w:t>
      </w:r>
      <w:r w:rsidR="003B24B9" w:rsidRPr="00600D22">
        <w:rPr>
          <w:rFonts w:hint="cs"/>
          <w:rtl/>
        </w:rPr>
        <w:t>נכון היה העולם היווני לאמץ קווים תרבותיים רבים מן הלבנט</w:t>
      </w:r>
      <w:r w:rsidR="00604EE8" w:rsidRPr="00600D22">
        <w:rPr>
          <w:rFonts w:hint="cs"/>
          <w:rtl/>
        </w:rPr>
        <w:t xml:space="preserve"> והמרחב הסורי</w:t>
      </w:r>
      <w:r w:rsidR="003B24B9" w:rsidRPr="00600D22">
        <w:rPr>
          <w:rFonts w:hint="cs"/>
          <w:rtl/>
        </w:rPr>
        <w:t>.</w:t>
      </w:r>
      <w:r w:rsidR="00604EE8" w:rsidRPr="00600D22">
        <w:rPr>
          <w:rStyle w:val="FootnoteReference"/>
          <w:rtl/>
        </w:rPr>
        <w:footnoteReference w:id="52"/>
      </w:r>
    </w:p>
    <w:p w:rsidR="00477851" w:rsidRPr="00600D22" w:rsidRDefault="000A4EA7" w:rsidP="000A4EA7">
      <w:pPr>
        <w:widowControl w:val="0"/>
        <w:spacing w:line="480" w:lineRule="auto"/>
        <w:ind w:firstLine="397"/>
        <w:rPr>
          <w:rtl/>
        </w:rPr>
      </w:pPr>
      <w:r>
        <w:rPr>
          <w:rFonts w:hint="cs"/>
          <w:rtl/>
        </w:rPr>
        <w:t xml:space="preserve">נראה כי </w:t>
      </w:r>
      <w:r w:rsidR="00FB2AB6" w:rsidRPr="00600D22">
        <w:rPr>
          <w:rFonts w:hint="cs"/>
          <w:rtl/>
        </w:rPr>
        <w:t xml:space="preserve">סיפור </w:t>
      </w:r>
      <w:r w:rsidR="00E56212" w:rsidRPr="00600D22">
        <w:rPr>
          <w:rFonts w:hint="cs"/>
          <w:rtl/>
        </w:rPr>
        <w:t xml:space="preserve">מיוחד </w:t>
      </w:r>
      <w:r w:rsidR="008B55B1" w:rsidRPr="00600D22">
        <w:rPr>
          <w:rFonts w:hint="cs"/>
          <w:rtl/>
        </w:rPr>
        <w:t>זה</w:t>
      </w:r>
      <w:r w:rsidR="00FB2AB6" w:rsidRPr="00600D22">
        <w:rPr>
          <w:rFonts w:hint="cs"/>
          <w:rtl/>
        </w:rPr>
        <w:t xml:space="preserve"> השתלב </w:t>
      </w:r>
      <w:r w:rsidR="009370BA" w:rsidRPr="00600D22">
        <w:rPr>
          <w:rFonts w:hint="cs"/>
          <w:rtl/>
        </w:rPr>
        <w:t>ב</w:t>
      </w:r>
      <w:r w:rsidR="00865048">
        <w:rPr>
          <w:rFonts w:hint="cs"/>
          <w:rtl/>
        </w:rPr>
        <w:t>סיפורי המוצא ובמסורות</w:t>
      </w:r>
      <w:r w:rsidR="00865048" w:rsidRPr="00600D22">
        <w:rPr>
          <w:rFonts w:hint="cs"/>
          <w:rtl/>
        </w:rPr>
        <w:t xml:space="preserve"> הגנאלוגי</w:t>
      </w:r>
      <w:r w:rsidR="00865048">
        <w:rPr>
          <w:rFonts w:hint="cs"/>
          <w:rtl/>
        </w:rPr>
        <w:t>ות</w:t>
      </w:r>
      <w:r w:rsidR="00865048" w:rsidRPr="00600D22">
        <w:rPr>
          <w:rFonts w:hint="cs"/>
          <w:rtl/>
        </w:rPr>
        <w:t xml:space="preserve"> </w:t>
      </w:r>
      <w:r w:rsidR="009370BA" w:rsidRPr="00600D22">
        <w:rPr>
          <w:rFonts w:hint="cs"/>
          <w:rtl/>
        </w:rPr>
        <w:t xml:space="preserve">של </w:t>
      </w:r>
      <w:r w:rsidR="001768A3" w:rsidRPr="00600D22">
        <w:rPr>
          <w:rFonts w:hint="cs"/>
          <w:rtl/>
        </w:rPr>
        <w:t>אגן הים התיכון המזרחי</w:t>
      </w:r>
      <w:r w:rsidR="00331646" w:rsidRPr="00600D22">
        <w:rPr>
          <w:rFonts w:hint="cs"/>
          <w:rtl/>
        </w:rPr>
        <w:t>,</w:t>
      </w:r>
      <w:r w:rsidR="009370BA" w:rsidRPr="00600D22">
        <w:rPr>
          <w:rFonts w:hint="cs"/>
          <w:rtl/>
        </w:rPr>
        <w:t xml:space="preserve"> כי</w:t>
      </w:r>
      <w:r w:rsidR="006E702E" w:rsidRPr="00600D22">
        <w:rPr>
          <w:rFonts w:hint="cs"/>
          <w:rtl/>
        </w:rPr>
        <w:t>וון ש</w:t>
      </w:r>
      <w:r w:rsidR="009370BA" w:rsidRPr="00600D22">
        <w:rPr>
          <w:rFonts w:hint="cs"/>
          <w:rtl/>
        </w:rPr>
        <w:t xml:space="preserve">עיקר מטרתו </w:t>
      </w:r>
      <w:r w:rsidR="006E702E" w:rsidRPr="00600D22">
        <w:rPr>
          <w:rFonts w:hint="cs"/>
          <w:rtl/>
        </w:rPr>
        <w:t>הי</w:t>
      </w:r>
      <w:r w:rsidR="00AE2D6D" w:rsidRPr="00600D22">
        <w:rPr>
          <w:rFonts w:hint="cs"/>
          <w:rtl/>
        </w:rPr>
        <w:t>א</w:t>
      </w:r>
      <w:r w:rsidR="006E702E" w:rsidRPr="00600D22">
        <w:rPr>
          <w:rFonts w:hint="cs"/>
          <w:rtl/>
        </w:rPr>
        <w:t xml:space="preserve"> </w:t>
      </w:r>
      <w:r w:rsidR="009370BA" w:rsidRPr="00600D22">
        <w:rPr>
          <w:rFonts w:hint="cs"/>
          <w:rtl/>
        </w:rPr>
        <w:t xml:space="preserve">להבדיל בין הדורות </w:t>
      </w:r>
      <w:r w:rsidR="009370BA" w:rsidRPr="00600D22">
        <w:rPr>
          <w:rFonts w:hint="eastAsia"/>
          <w:rtl/>
        </w:rPr>
        <w:t>–</w:t>
      </w:r>
      <w:r w:rsidR="009370BA" w:rsidRPr="00600D22">
        <w:rPr>
          <w:rFonts w:hint="cs"/>
          <w:rtl/>
        </w:rPr>
        <w:t xml:space="preserve"> בין דור הראשונים והנפילים שבו חיו האלים </w:t>
      </w:r>
      <w:r w:rsidR="00331646" w:rsidRPr="00600D22">
        <w:rPr>
          <w:rFonts w:hint="cs"/>
          <w:rtl/>
        </w:rPr>
        <w:t>ב</w:t>
      </w:r>
      <w:r w:rsidR="009370BA" w:rsidRPr="00600D22">
        <w:rPr>
          <w:rFonts w:hint="cs"/>
          <w:rtl/>
        </w:rPr>
        <w:t xml:space="preserve">צד בני האדם, לבין דור בני האדם הרגילים. </w:t>
      </w:r>
      <w:r w:rsidR="003B24B9" w:rsidRPr="00600D22">
        <w:rPr>
          <w:rFonts w:hint="cs"/>
          <w:rtl/>
        </w:rPr>
        <w:t xml:space="preserve">בעל </w:t>
      </w:r>
      <w:r w:rsidR="005B75B2">
        <w:rPr>
          <w:rFonts w:hint="cs"/>
          <w:rtl/>
        </w:rPr>
        <w:t>'</w:t>
      </w:r>
      <w:r w:rsidR="003B24B9" w:rsidRPr="00600D22">
        <w:rPr>
          <w:rFonts w:hint="cs"/>
          <w:rtl/>
        </w:rPr>
        <w:t>קטלוג הנשים</w:t>
      </w:r>
      <w:r w:rsidR="005B75B2">
        <w:rPr>
          <w:rFonts w:hint="cs"/>
          <w:rtl/>
        </w:rPr>
        <w:t>'</w:t>
      </w:r>
      <w:r w:rsidR="003B24B9" w:rsidRPr="00600D22">
        <w:rPr>
          <w:rFonts w:hint="cs"/>
          <w:rtl/>
        </w:rPr>
        <w:t xml:space="preserve"> אימץ </w:t>
      </w:r>
      <w:r w:rsidR="00065C38" w:rsidRPr="00600D22">
        <w:rPr>
          <w:rFonts w:hint="cs"/>
          <w:rtl/>
        </w:rPr>
        <w:t>בחום את השקפתו ההיסטורית של הסיפור שכיסה את דור הגיבורים כיוון שהתאימה לתפי</w:t>
      </w:r>
      <w:r w:rsidR="00331646" w:rsidRPr="00600D22">
        <w:rPr>
          <w:rFonts w:hint="cs"/>
          <w:rtl/>
        </w:rPr>
        <w:t>ש</w:t>
      </w:r>
      <w:r w:rsidR="00065C38" w:rsidRPr="00600D22">
        <w:rPr>
          <w:rFonts w:hint="cs"/>
          <w:rtl/>
        </w:rPr>
        <w:t>ת הדורות ההסיודית</w:t>
      </w:r>
      <w:r w:rsidR="00B20817" w:rsidRPr="00600D22">
        <w:rPr>
          <w:rFonts w:hint="cs"/>
          <w:rtl/>
        </w:rPr>
        <w:t xml:space="preserve"> (</w:t>
      </w:r>
      <w:r w:rsidR="002F1B6C" w:rsidRPr="00600D22">
        <w:rPr>
          <w:i/>
          <w:iCs/>
        </w:rPr>
        <w:t>Op.</w:t>
      </w:r>
      <w:r w:rsidR="002F1B6C" w:rsidRPr="00600D22">
        <w:t xml:space="preserve"> 109–201</w:t>
      </w:r>
      <w:r w:rsidR="00B20817" w:rsidRPr="00600D22">
        <w:rPr>
          <w:rFonts w:hint="cs"/>
          <w:rtl/>
        </w:rPr>
        <w:t>)</w:t>
      </w:r>
      <w:r w:rsidR="006A317F" w:rsidRPr="00600D22">
        <w:rPr>
          <w:rFonts w:hint="cs"/>
          <w:rtl/>
        </w:rPr>
        <w:t>, אך</w:t>
      </w:r>
      <w:r w:rsidR="00065C38" w:rsidRPr="00600D22">
        <w:rPr>
          <w:rFonts w:hint="cs"/>
          <w:rtl/>
        </w:rPr>
        <w:t xml:space="preserve"> </w:t>
      </w:r>
      <w:r w:rsidR="00D11E73" w:rsidRPr="00600D22">
        <w:rPr>
          <w:rFonts w:hint="cs"/>
          <w:rtl/>
        </w:rPr>
        <w:t xml:space="preserve">אצלו כאמור תפסה </w:t>
      </w:r>
      <w:r w:rsidR="00065C38" w:rsidRPr="00600D22">
        <w:rPr>
          <w:rFonts w:hint="cs"/>
          <w:rtl/>
        </w:rPr>
        <w:t>מלחמת טרויה</w:t>
      </w:r>
      <w:r w:rsidR="00D11E73" w:rsidRPr="00600D22">
        <w:rPr>
          <w:rFonts w:hint="cs"/>
          <w:rtl/>
        </w:rPr>
        <w:t xml:space="preserve"> את </w:t>
      </w:r>
      <w:r w:rsidR="00331646" w:rsidRPr="00600D22">
        <w:rPr>
          <w:rFonts w:hint="cs"/>
          <w:rtl/>
        </w:rPr>
        <w:t xml:space="preserve">הרכיב </w:t>
      </w:r>
      <w:r w:rsidR="00D11E73" w:rsidRPr="00600D22">
        <w:rPr>
          <w:rFonts w:hint="cs"/>
          <w:rtl/>
        </w:rPr>
        <w:t>של המבול כאמצעי להשמדת האנושות</w:t>
      </w:r>
      <w:r w:rsidR="00065C38" w:rsidRPr="00600D22">
        <w:rPr>
          <w:rFonts w:hint="cs"/>
          <w:rtl/>
        </w:rPr>
        <w:t xml:space="preserve">. הוא כנראה לא הוטרד מן הקושי שנוצר באשר לדמותו של זאוס </w:t>
      </w:r>
      <w:r w:rsidR="00065C38" w:rsidRPr="00600D22">
        <w:rPr>
          <w:rtl/>
        </w:rPr>
        <w:t>–</w:t>
      </w:r>
      <w:r w:rsidR="00065C38" w:rsidRPr="00600D22">
        <w:rPr>
          <w:rFonts w:hint="cs"/>
          <w:rtl/>
        </w:rPr>
        <w:t xml:space="preserve"> שבתחילה הוא הגיבור הראשי של זיווגי האלים עם בנות אדם, </w:t>
      </w:r>
      <w:r w:rsidR="00331646" w:rsidRPr="00600D22">
        <w:rPr>
          <w:rFonts w:hint="cs"/>
          <w:rtl/>
        </w:rPr>
        <w:t xml:space="preserve">ואילו </w:t>
      </w:r>
      <w:r w:rsidR="00065C38" w:rsidRPr="00600D22">
        <w:rPr>
          <w:rFonts w:hint="cs"/>
          <w:rtl/>
        </w:rPr>
        <w:t xml:space="preserve">בהמשך הוא מבקש מסיבה בלתי ברורה לשים קץ לעידן זה. </w:t>
      </w:r>
      <w:r w:rsidR="006B7F0B" w:rsidRPr="00600D22">
        <w:rPr>
          <w:rFonts w:hint="cs"/>
          <w:rtl/>
        </w:rPr>
        <w:t xml:space="preserve">לעומת זאת, המחבר המקראי, כנראה </w:t>
      </w:r>
      <w:r w:rsidR="00065C38" w:rsidRPr="00600D22">
        <w:rPr>
          <w:rFonts w:hint="cs"/>
          <w:rtl/>
        </w:rPr>
        <w:t>היהוויסט</w:t>
      </w:r>
      <w:r w:rsidR="006B7F0B" w:rsidRPr="00600D22">
        <w:rPr>
          <w:rFonts w:hint="cs"/>
          <w:rtl/>
        </w:rPr>
        <w:t>,</w:t>
      </w:r>
      <w:r w:rsidR="00065C38" w:rsidRPr="00600D22">
        <w:rPr>
          <w:rFonts w:hint="cs"/>
          <w:rtl/>
        </w:rPr>
        <w:t xml:space="preserve"> התקשה </w:t>
      </w:r>
      <w:r w:rsidR="006E388B">
        <w:rPr>
          <w:rFonts w:hint="cs"/>
          <w:rtl/>
        </w:rPr>
        <w:t xml:space="preserve">לנוכח </w:t>
      </w:r>
      <w:r w:rsidR="008677FD" w:rsidRPr="00600D22">
        <w:rPr>
          <w:rFonts w:hint="cs"/>
          <w:rtl/>
        </w:rPr>
        <w:t xml:space="preserve">מסורת מבול אחרת ומגובשת שתלתה את הסיבה למבול </w:t>
      </w:r>
      <w:r w:rsidR="00065C38" w:rsidRPr="00600D22">
        <w:rPr>
          <w:rFonts w:hint="cs"/>
          <w:rtl/>
        </w:rPr>
        <w:t xml:space="preserve">בחטאי בני האדם ורשעותם ולא </w:t>
      </w:r>
      <w:r w:rsidR="00863370" w:rsidRPr="00600D22">
        <w:rPr>
          <w:rFonts w:hint="cs"/>
          <w:rtl/>
        </w:rPr>
        <w:t>ב</w:t>
      </w:r>
      <w:r w:rsidR="00065C38" w:rsidRPr="00600D22">
        <w:rPr>
          <w:rFonts w:hint="cs"/>
          <w:rtl/>
        </w:rPr>
        <w:t>השמדת דור הגיבורים</w:t>
      </w:r>
      <w:r w:rsidR="006E388B">
        <w:rPr>
          <w:rFonts w:hint="cs"/>
          <w:rtl/>
        </w:rPr>
        <w:t>, שכבר עמדה לפניו</w:t>
      </w:r>
      <w:r w:rsidR="005675AD" w:rsidRPr="00600D22">
        <w:rPr>
          <w:rFonts w:hint="cs"/>
          <w:rtl/>
        </w:rPr>
        <w:t>.</w:t>
      </w:r>
      <w:r w:rsidR="005B391B" w:rsidRPr="00600D22">
        <w:rPr>
          <w:rFonts w:hint="cs"/>
          <w:rtl/>
        </w:rPr>
        <w:t xml:space="preserve"> </w:t>
      </w:r>
      <w:r w:rsidR="005675AD" w:rsidRPr="00600D22">
        <w:rPr>
          <w:rFonts w:hint="cs"/>
          <w:rtl/>
        </w:rPr>
        <w:t xml:space="preserve">הפתרון שנקט </w:t>
      </w:r>
      <w:r w:rsidR="005675AD" w:rsidRPr="00600D22">
        <w:rPr>
          <w:rFonts w:hint="eastAsia"/>
          <w:rtl/>
        </w:rPr>
        <w:t>–</w:t>
      </w:r>
      <w:r w:rsidR="005675AD" w:rsidRPr="00600D22">
        <w:rPr>
          <w:rFonts w:hint="cs"/>
          <w:rtl/>
        </w:rPr>
        <w:t xml:space="preserve"> </w:t>
      </w:r>
      <w:r w:rsidR="00AF616F" w:rsidRPr="00600D22">
        <w:rPr>
          <w:rFonts w:hint="cs"/>
          <w:rtl/>
        </w:rPr>
        <w:t>הסרת</w:t>
      </w:r>
      <w:r w:rsidR="005B391B" w:rsidRPr="00600D22">
        <w:rPr>
          <w:rFonts w:hint="cs"/>
          <w:rtl/>
        </w:rPr>
        <w:t xml:space="preserve"> </w:t>
      </w:r>
      <w:r w:rsidR="00AF616F" w:rsidRPr="00600D22">
        <w:rPr>
          <w:rFonts w:hint="cs"/>
          <w:rtl/>
        </w:rPr>
        <w:t xml:space="preserve">תיאור </w:t>
      </w:r>
      <w:r w:rsidR="005B391B" w:rsidRPr="00600D22">
        <w:rPr>
          <w:rFonts w:hint="cs"/>
          <w:rtl/>
        </w:rPr>
        <w:t>המבול מהס</w:t>
      </w:r>
      <w:r w:rsidR="002C6615" w:rsidRPr="00600D22">
        <w:rPr>
          <w:rFonts w:hint="cs"/>
          <w:rtl/>
        </w:rPr>
        <w:t>י</w:t>
      </w:r>
      <w:r w:rsidR="005B391B" w:rsidRPr="00600D22">
        <w:rPr>
          <w:rFonts w:hint="cs"/>
          <w:rtl/>
        </w:rPr>
        <w:t xml:space="preserve">פור על דור הגיבורים </w:t>
      </w:r>
      <w:r w:rsidR="005675AD" w:rsidRPr="00600D22">
        <w:rPr>
          <w:rFonts w:hint="eastAsia"/>
          <w:rtl/>
        </w:rPr>
        <w:t>–</w:t>
      </w:r>
      <w:r w:rsidR="005675AD" w:rsidRPr="00600D22">
        <w:rPr>
          <w:rFonts w:hint="cs"/>
          <w:rtl/>
        </w:rPr>
        <w:t xml:space="preserve"> </w:t>
      </w:r>
      <w:r w:rsidR="00065C38" w:rsidRPr="00600D22">
        <w:rPr>
          <w:rFonts w:hint="cs"/>
          <w:rtl/>
        </w:rPr>
        <w:t>ה</w:t>
      </w:r>
      <w:r w:rsidR="005A6DEE" w:rsidRPr="00600D22">
        <w:rPr>
          <w:rFonts w:hint="cs"/>
          <w:rtl/>
        </w:rPr>
        <w:t>ביא לצורתו הפרגמנטרית של הסיפור כפי שהוא לפנינו</w:t>
      </w:r>
      <w:r w:rsidR="00DB4AA8" w:rsidRPr="00600D22">
        <w:rPr>
          <w:rFonts w:hint="cs"/>
          <w:rtl/>
        </w:rPr>
        <w:t xml:space="preserve">. אף על פי כן ניתן </w:t>
      </w:r>
      <w:r w:rsidR="00BC0CFC" w:rsidRPr="00600D22">
        <w:rPr>
          <w:rFonts w:hint="cs"/>
          <w:rtl/>
        </w:rPr>
        <w:t xml:space="preserve">כאמור </w:t>
      </w:r>
      <w:r w:rsidR="00ED7DE0" w:rsidRPr="00600D22">
        <w:rPr>
          <w:rFonts w:hint="cs"/>
          <w:rtl/>
        </w:rPr>
        <w:t xml:space="preserve">להבחין </w:t>
      </w:r>
      <w:r w:rsidR="00DB4AA8" w:rsidRPr="00600D22">
        <w:rPr>
          <w:rFonts w:hint="cs"/>
          <w:rtl/>
        </w:rPr>
        <w:t>ב</w:t>
      </w:r>
      <w:r w:rsidR="007B5ADA" w:rsidRPr="00600D22">
        <w:rPr>
          <w:rFonts w:hint="cs"/>
          <w:rtl/>
        </w:rPr>
        <w:t>סיפור קצר זה</w:t>
      </w:r>
      <w:r w:rsidR="00DB4AA8" w:rsidRPr="00600D22">
        <w:rPr>
          <w:rFonts w:hint="cs"/>
          <w:rtl/>
        </w:rPr>
        <w:t xml:space="preserve"> </w:t>
      </w:r>
      <w:r w:rsidR="00ED7DE0" w:rsidRPr="00600D22">
        <w:rPr>
          <w:rFonts w:hint="cs"/>
          <w:rtl/>
        </w:rPr>
        <w:t>ב</w:t>
      </w:r>
      <w:r w:rsidR="00DB4AA8" w:rsidRPr="00600D22">
        <w:rPr>
          <w:rFonts w:hint="cs"/>
          <w:rtl/>
        </w:rPr>
        <w:t>כמה סימנים של סיפור מבול עתיק</w:t>
      </w:r>
      <w:r w:rsidR="00C64E47" w:rsidRPr="00600D22">
        <w:rPr>
          <w:rFonts w:hint="cs"/>
          <w:rtl/>
        </w:rPr>
        <w:t>:</w:t>
      </w:r>
      <w:r w:rsidR="00DB4AA8" w:rsidRPr="00600D22">
        <w:rPr>
          <w:rFonts w:hint="cs"/>
          <w:rtl/>
        </w:rPr>
        <w:t xml:space="preserve"> תחילת הסיפור</w:t>
      </w:r>
      <w:r w:rsidR="00ED7DE0" w:rsidRPr="00600D22">
        <w:rPr>
          <w:rFonts w:hint="cs"/>
          <w:rtl/>
        </w:rPr>
        <w:t>,</w:t>
      </w:r>
      <w:r w:rsidR="00DB4AA8" w:rsidRPr="00600D22">
        <w:rPr>
          <w:rFonts w:hint="cs"/>
          <w:rtl/>
        </w:rPr>
        <w:t xml:space="preserve"> </w:t>
      </w:r>
      <w:r w:rsidR="00952E4B">
        <w:rPr>
          <w:rFonts w:hint="cs"/>
          <w:rtl/>
        </w:rPr>
        <w:t>"</w:t>
      </w:r>
      <w:r w:rsidR="00DB4AA8" w:rsidRPr="00600D22">
        <w:rPr>
          <w:rFonts w:hint="cs"/>
          <w:rtl/>
        </w:rPr>
        <w:t>ויהי כי החל האדם לרוב על פני האדמה</w:t>
      </w:r>
      <w:r w:rsidR="00952E4B">
        <w:rPr>
          <w:rFonts w:hint="cs"/>
          <w:rtl/>
        </w:rPr>
        <w:t>"</w:t>
      </w:r>
      <w:r w:rsidR="00DB4AA8" w:rsidRPr="00600D22">
        <w:rPr>
          <w:rFonts w:hint="cs"/>
          <w:rtl/>
        </w:rPr>
        <w:t xml:space="preserve">, מזכירה את הסיבה למבול לפי </w:t>
      </w:r>
      <w:r w:rsidR="005B75B2">
        <w:rPr>
          <w:rFonts w:hint="cs"/>
          <w:rtl/>
        </w:rPr>
        <w:t>'</w:t>
      </w:r>
      <w:r w:rsidR="00DB4AA8" w:rsidRPr="00600D22">
        <w:rPr>
          <w:rFonts w:hint="cs"/>
          <w:rtl/>
        </w:rPr>
        <w:t>אתרח'סיס</w:t>
      </w:r>
      <w:r w:rsidR="005B75B2">
        <w:rPr>
          <w:rFonts w:hint="cs"/>
          <w:rtl/>
        </w:rPr>
        <w:t>'</w:t>
      </w:r>
      <w:r w:rsidR="00DB4AA8" w:rsidRPr="00600D22">
        <w:rPr>
          <w:rFonts w:hint="cs"/>
          <w:rtl/>
        </w:rPr>
        <w:t>, שתלה את המבול בריבוי האוכלוסין בעולם.</w:t>
      </w:r>
      <w:r w:rsidR="00DB4AA8" w:rsidRPr="00600D22">
        <w:rPr>
          <w:rStyle w:val="FootnoteReference"/>
          <w:rtl/>
        </w:rPr>
        <w:footnoteReference w:id="53"/>
      </w:r>
      <w:r w:rsidR="00DB4AA8" w:rsidRPr="00600D22">
        <w:rPr>
          <w:rFonts w:hint="cs"/>
          <w:rtl/>
        </w:rPr>
        <w:t xml:space="preserve"> אפשר כי גם פס</w:t>
      </w:r>
      <w:r w:rsidR="005B75B2">
        <w:rPr>
          <w:rFonts w:hint="cs"/>
          <w:rtl/>
        </w:rPr>
        <w:t>וק</w:t>
      </w:r>
      <w:r w:rsidR="00DB4AA8" w:rsidRPr="00600D22">
        <w:rPr>
          <w:rFonts w:hint="cs"/>
          <w:rtl/>
        </w:rPr>
        <w:t xml:space="preserve"> 3</w:t>
      </w:r>
      <w:r w:rsidR="00C64E47" w:rsidRPr="00600D22">
        <w:rPr>
          <w:rFonts w:hint="cs"/>
          <w:rtl/>
        </w:rPr>
        <w:t>,</w:t>
      </w:r>
      <w:r w:rsidR="00DB4AA8" w:rsidRPr="00600D22">
        <w:rPr>
          <w:rFonts w:hint="cs"/>
          <w:rtl/>
        </w:rPr>
        <w:t xml:space="preserve"> </w:t>
      </w:r>
      <w:r w:rsidR="00C64E47" w:rsidRPr="00600D22">
        <w:rPr>
          <w:rFonts w:hint="cs"/>
          <w:rtl/>
        </w:rPr>
        <w:t>ה</w:t>
      </w:r>
      <w:r w:rsidR="00DB4AA8" w:rsidRPr="00600D22">
        <w:rPr>
          <w:rFonts w:hint="cs"/>
          <w:rtl/>
        </w:rPr>
        <w:t>מתאר את הגבלת חיי האדם למאה ועשרים שנה</w:t>
      </w:r>
      <w:r w:rsidR="00C64E47" w:rsidRPr="00600D22">
        <w:rPr>
          <w:rFonts w:hint="cs"/>
          <w:rtl/>
        </w:rPr>
        <w:t>,</w:t>
      </w:r>
      <w:r w:rsidR="00DB4AA8" w:rsidRPr="00600D22">
        <w:rPr>
          <w:rFonts w:hint="cs"/>
          <w:rtl/>
        </w:rPr>
        <w:t xml:space="preserve"> השתייך לאותו סיפור מבול מיוחד, אך עמד בסופו. קארל בּוּדֶה הציע בעבר כי פסוק</w:t>
      </w:r>
      <w:r w:rsidR="005B75B2">
        <w:rPr>
          <w:rFonts w:hint="cs"/>
          <w:rtl/>
        </w:rPr>
        <w:t xml:space="preserve"> זה</w:t>
      </w:r>
      <w:r w:rsidR="00DB4AA8" w:rsidRPr="00600D22">
        <w:rPr>
          <w:rFonts w:hint="cs"/>
          <w:rtl/>
        </w:rPr>
        <w:t xml:space="preserve"> עמד בתחילה כהמשך למסורת המצויה בבר</w:t>
      </w:r>
      <w:r w:rsidR="00952E4B">
        <w:rPr>
          <w:rFonts w:hint="cs"/>
          <w:rtl/>
        </w:rPr>
        <w:t>אשית</w:t>
      </w:r>
      <w:r w:rsidR="00DB4AA8" w:rsidRPr="00600D22">
        <w:rPr>
          <w:rFonts w:hint="cs"/>
          <w:rtl/>
        </w:rPr>
        <w:t xml:space="preserve"> ג 22, 24, </w:t>
      </w:r>
      <w:r w:rsidR="00C64E47" w:rsidRPr="00600D22">
        <w:rPr>
          <w:rFonts w:hint="cs"/>
          <w:rtl/>
        </w:rPr>
        <w:t>ו</w:t>
      </w:r>
      <w:r w:rsidR="00DB4AA8" w:rsidRPr="00600D22">
        <w:rPr>
          <w:rFonts w:hint="cs"/>
          <w:rtl/>
        </w:rPr>
        <w:t xml:space="preserve">לפיה </w:t>
      </w:r>
      <w:r w:rsidR="006E388B" w:rsidRPr="00600D22">
        <w:rPr>
          <w:rFonts w:hint="cs"/>
          <w:rtl/>
        </w:rPr>
        <w:t xml:space="preserve">סילק </w:t>
      </w:r>
      <w:r w:rsidR="00DB4AA8" w:rsidRPr="00600D22">
        <w:rPr>
          <w:rFonts w:hint="cs"/>
          <w:rtl/>
        </w:rPr>
        <w:t>ה' את האדם מגן עדן לבל יאכל מעץ החיים ויזכה בחיי אלמוות.</w:t>
      </w:r>
      <w:r w:rsidR="00DB4AA8" w:rsidRPr="00600D22">
        <w:rPr>
          <w:rStyle w:val="FootnoteReference"/>
          <w:rtl/>
        </w:rPr>
        <w:footnoteReference w:id="54"/>
      </w:r>
      <w:r w:rsidR="00DB4AA8" w:rsidRPr="00600D22">
        <w:rPr>
          <w:rFonts w:hint="cs"/>
          <w:rtl/>
        </w:rPr>
        <w:t xml:space="preserve"> אולם קשה למצוא להשערה זו ראיות נוספות. אפשרות </w:t>
      </w:r>
      <w:r w:rsidR="00DB4AA8" w:rsidRPr="00600D22">
        <w:rPr>
          <w:rFonts w:hint="cs"/>
          <w:rtl/>
        </w:rPr>
        <w:lastRenderedPageBreak/>
        <w:t xml:space="preserve">אחרת ומסתברת יותר היא שדברי ה' אלו עמדו </w:t>
      </w:r>
      <w:r w:rsidR="00061542" w:rsidRPr="00600D22">
        <w:rPr>
          <w:rFonts w:hint="cs"/>
          <w:rtl/>
        </w:rPr>
        <w:t xml:space="preserve">מלכתחילה </w:t>
      </w:r>
      <w:r w:rsidR="00DB4AA8" w:rsidRPr="00600D22">
        <w:rPr>
          <w:rFonts w:hint="cs"/>
          <w:rtl/>
        </w:rPr>
        <w:t xml:space="preserve">בסוף סיפור המבול כדי למנוע התרבות חוזרת של האדם בעולם ואת הישנות המבול. </w:t>
      </w:r>
      <w:r w:rsidR="00061542" w:rsidRPr="00600D22">
        <w:rPr>
          <w:rFonts w:hint="cs"/>
          <w:rtl/>
        </w:rPr>
        <w:t>רעיון דומה לבר</w:t>
      </w:r>
      <w:r w:rsidR="00952E4B">
        <w:rPr>
          <w:rFonts w:hint="cs"/>
          <w:rtl/>
        </w:rPr>
        <w:t>אשית</w:t>
      </w:r>
      <w:r w:rsidR="00061542" w:rsidRPr="00600D22">
        <w:rPr>
          <w:rFonts w:hint="cs"/>
          <w:rtl/>
        </w:rPr>
        <w:t xml:space="preserve"> ו 3</w:t>
      </w:r>
      <w:r w:rsidR="005B75B2">
        <w:rPr>
          <w:rFonts w:hint="cs"/>
          <w:rtl/>
        </w:rPr>
        <w:t>,</w:t>
      </w:r>
      <w:r w:rsidR="00061542" w:rsidRPr="00600D22">
        <w:rPr>
          <w:rFonts w:hint="cs"/>
          <w:rtl/>
        </w:rPr>
        <w:t xml:space="preserve"> שתכליתו הגבלת חיי האדם אחרי המבול</w:t>
      </w:r>
      <w:r w:rsidR="005B75B2">
        <w:rPr>
          <w:rFonts w:hint="cs"/>
          <w:rtl/>
        </w:rPr>
        <w:t>,</w:t>
      </w:r>
      <w:r w:rsidR="00061542" w:rsidRPr="00600D22">
        <w:rPr>
          <w:rFonts w:hint="cs"/>
          <w:rtl/>
        </w:rPr>
        <w:t xml:space="preserve"> משתקף גם מ</w:t>
      </w:r>
      <w:r w:rsidR="00C64E47" w:rsidRPr="00600D22">
        <w:rPr>
          <w:rFonts w:hint="cs"/>
          <w:rtl/>
        </w:rPr>
        <w:t>'</w:t>
      </w:r>
      <w:r w:rsidR="00061542" w:rsidRPr="00600D22">
        <w:rPr>
          <w:rFonts w:hint="cs"/>
          <w:rtl/>
        </w:rPr>
        <w:t>רשימת המלכים השומרית</w:t>
      </w:r>
      <w:r w:rsidR="00C64E47" w:rsidRPr="00600D22">
        <w:rPr>
          <w:rFonts w:hint="cs"/>
          <w:rtl/>
        </w:rPr>
        <w:t>'</w:t>
      </w:r>
      <w:r w:rsidR="00061542" w:rsidRPr="00600D22">
        <w:rPr>
          <w:rFonts w:hint="cs"/>
          <w:rtl/>
        </w:rPr>
        <w:t xml:space="preserve"> ומהרצף הכוהני,</w:t>
      </w:r>
      <w:r w:rsidR="00061542" w:rsidRPr="00600D22">
        <w:rPr>
          <w:rStyle w:val="FootnoteReference"/>
          <w:rtl/>
        </w:rPr>
        <w:footnoteReference w:id="55"/>
      </w:r>
      <w:r w:rsidR="00061542" w:rsidRPr="00600D22">
        <w:rPr>
          <w:rFonts w:hint="cs"/>
          <w:rtl/>
        </w:rPr>
        <w:t xml:space="preserve"> שכן אורך חייהם של האנשים אחרי המבול קצר </w:t>
      </w:r>
      <w:r w:rsidR="004C75E2" w:rsidRPr="00600D22">
        <w:rPr>
          <w:rFonts w:hint="cs"/>
          <w:rtl/>
        </w:rPr>
        <w:t xml:space="preserve">בהרבה </w:t>
      </w:r>
      <w:r w:rsidR="00061542" w:rsidRPr="00600D22">
        <w:rPr>
          <w:rFonts w:hint="cs"/>
          <w:rtl/>
        </w:rPr>
        <w:t>מאלו שחיו לפני המבול.</w:t>
      </w:r>
      <w:r w:rsidR="00061542" w:rsidRPr="00600D22">
        <w:rPr>
          <w:rStyle w:val="FootnoteReference"/>
          <w:rtl/>
        </w:rPr>
        <w:footnoteReference w:id="56"/>
      </w:r>
      <w:r w:rsidR="00061542" w:rsidRPr="00600D22">
        <w:rPr>
          <w:rFonts w:hint="cs"/>
          <w:rtl/>
        </w:rPr>
        <w:t xml:space="preserve"> אפשרות זו עולה בקנה אחד </w:t>
      </w:r>
      <w:r w:rsidR="00FE3612" w:rsidRPr="00600D22">
        <w:rPr>
          <w:rFonts w:hint="cs"/>
          <w:rtl/>
        </w:rPr>
        <w:t xml:space="preserve">גם </w:t>
      </w:r>
      <w:r w:rsidR="00061542" w:rsidRPr="00600D22">
        <w:rPr>
          <w:rFonts w:hint="cs"/>
          <w:rtl/>
        </w:rPr>
        <w:t>עם רעיון הגבלת האוכלוסין המצוי בסוף סיפור המבול הבבלי; כ</w:t>
      </w:r>
      <w:r w:rsidR="00DB4AA8" w:rsidRPr="00600D22">
        <w:rPr>
          <w:rFonts w:hint="cs"/>
          <w:rtl/>
        </w:rPr>
        <w:t>ידוע, מן השורות האחרונות ב</w:t>
      </w:r>
      <w:r w:rsidR="000F4356">
        <w:rPr>
          <w:rFonts w:hint="cs"/>
          <w:rtl/>
        </w:rPr>
        <w:t>'</w:t>
      </w:r>
      <w:r w:rsidR="00DB4AA8" w:rsidRPr="00600D22">
        <w:rPr>
          <w:rFonts w:hint="cs"/>
          <w:rtl/>
        </w:rPr>
        <w:t>אתרח'סיס</w:t>
      </w:r>
      <w:r w:rsidR="000F4356">
        <w:rPr>
          <w:rFonts w:hint="cs"/>
          <w:rtl/>
        </w:rPr>
        <w:t>'</w:t>
      </w:r>
      <w:r w:rsidR="00DB4AA8" w:rsidRPr="00600D22">
        <w:rPr>
          <w:rFonts w:hint="cs"/>
          <w:rtl/>
        </w:rPr>
        <w:t xml:space="preserve"> עולה כי האלים גזרו אחרי המבול סדרים חדשים בעולם כדי למנוע ריבוי נוסף של האוכלוסין, כמו באמצעות עקרוּת ונזירוּת, </w:t>
      </w:r>
      <w:r w:rsidR="001B396B" w:rsidRPr="00600D22">
        <w:rPr>
          <w:rFonts w:hint="cs"/>
          <w:rtl/>
        </w:rPr>
        <w:t xml:space="preserve">ובעקבות זאת את </w:t>
      </w:r>
      <w:r w:rsidR="00DB4AA8" w:rsidRPr="00600D22">
        <w:rPr>
          <w:rFonts w:hint="cs"/>
          <w:rtl/>
        </w:rPr>
        <w:t xml:space="preserve">הישנות המבול בעתיד. ניתן לראות גם בהגבלת חיי האדם שבבראשית ו 3 אמצעי מעין זה לדילול מתמיד של האוכלוסייה. ייתכן אפוא כי בפסוקים 1–4 משוקעים תחילתו וסופו של סיפור מבול </w:t>
      </w:r>
      <w:r w:rsidR="00061542" w:rsidRPr="00600D22">
        <w:rPr>
          <w:rFonts w:hint="cs"/>
          <w:rtl/>
        </w:rPr>
        <w:t>ייחודי</w:t>
      </w:r>
      <w:r w:rsidR="00DB4AA8" w:rsidRPr="00600D22">
        <w:rPr>
          <w:rFonts w:hint="cs"/>
          <w:rtl/>
        </w:rPr>
        <w:t xml:space="preserve"> וקדום, אך ללא תיאור </w:t>
      </w:r>
      <w:r w:rsidR="00FE3612" w:rsidRPr="00600D22">
        <w:rPr>
          <w:rFonts w:hint="cs"/>
          <w:rtl/>
        </w:rPr>
        <w:t xml:space="preserve">השמדת האנושות </w:t>
      </w:r>
      <w:r w:rsidR="00DB4AA8" w:rsidRPr="00600D22">
        <w:rPr>
          <w:rFonts w:hint="cs"/>
          <w:rtl/>
        </w:rPr>
        <w:t>עצמ</w:t>
      </w:r>
      <w:r w:rsidR="00FE3612" w:rsidRPr="00600D22">
        <w:rPr>
          <w:rFonts w:hint="cs"/>
          <w:rtl/>
        </w:rPr>
        <w:t>ו</w:t>
      </w:r>
      <w:r w:rsidR="00DB4AA8" w:rsidRPr="00600D22">
        <w:rPr>
          <w:rFonts w:hint="cs"/>
          <w:rtl/>
        </w:rPr>
        <w:t xml:space="preserve"> ש</w:t>
      </w:r>
      <w:r w:rsidR="00FE3612" w:rsidRPr="00600D22">
        <w:rPr>
          <w:rFonts w:hint="cs"/>
          <w:rtl/>
        </w:rPr>
        <w:t>י</w:t>
      </w:r>
      <w:r w:rsidR="00DB4AA8" w:rsidRPr="00600D22">
        <w:rPr>
          <w:rFonts w:hint="cs"/>
          <w:rtl/>
        </w:rPr>
        <w:t xml:space="preserve">סופר, כך החליט </w:t>
      </w:r>
      <w:r w:rsidR="00604EE8" w:rsidRPr="00600D22">
        <w:rPr>
          <w:rFonts w:hint="cs"/>
          <w:rtl/>
        </w:rPr>
        <w:t xml:space="preserve">בעל החיבור </w:t>
      </w:r>
      <w:r w:rsidR="00DB4AA8" w:rsidRPr="00600D22">
        <w:rPr>
          <w:rFonts w:hint="cs"/>
          <w:rtl/>
        </w:rPr>
        <w:t>המקראי, פעם אחת בלבד בהמשך</w:t>
      </w:r>
      <w:r w:rsidR="00061542" w:rsidRPr="00600D22">
        <w:rPr>
          <w:rFonts w:hint="cs"/>
          <w:rtl/>
        </w:rPr>
        <w:t>.</w:t>
      </w:r>
      <w:r w:rsidR="00DB4AA8" w:rsidRPr="00600D22">
        <w:rPr>
          <w:rFonts w:hint="cs"/>
          <w:rtl/>
        </w:rPr>
        <w:t xml:space="preserve"> </w:t>
      </w:r>
      <w:r w:rsidR="00061542" w:rsidRPr="00600D22">
        <w:rPr>
          <w:rFonts w:hint="cs"/>
          <w:rtl/>
        </w:rPr>
        <w:t xml:space="preserve">בשל כך </w:t>
      </w:r>
      <w:r w:rsidR="006B7F0B" w:rsidRPr="00600D22">
        <w:rPr>
          <w:rFonts w:hint="cs"/>
          <w:rtl/>
        </w:rPr>
        <w:t>ניצב</w:t>
      </w:r>
      <w:r w:rsidR="000F4356">
        <w:rPr>
          <w:rFonts w:hint="cs"/>
          <w:rtl/>
        </w:rPr>
        <w:t>ת היחידה</w:t>
      </w:r>
      <w:r w:rsidR="00836953" w:rsidRPr="00600D22">
        <w:rPr>
          <w:rFonts w:hint="cs"/>
          <w:rtl/>
        </w:rPr>
        <w:t xml:space="preserve"> בר</w:t>
      </w:r>
      <w:r w:rsidR="00901730">
        <w:rPr>
          <w:rFonts w:hint="cs"/>
          <w:rtl/>
        </w:rPr>
        <w:t>אשית</w:t>
      </w:r>
      <w:r w:rsidR="00836953" w:rsidRPr="00600D22">
        <w:rPr>
          <w:rFonts w:hint="cs"/>
          <w:rtl/>
        </w:rPr>
        <w:t xml:space="preserve"> ו 1</w:t>
      </w:r>
      <w:r w:rsidR="00836953" w:rsidRPr="00600D22">
        <w:rPr>
          <w:rFonts w:hint="eastAsia"/>
          <w:rtl/>
        </w:rPr>
        <w:t>–</w:t>
      </w:r>
      <w:r w:rsidR="00836953" w:rsidRPr="00600D22">
        <w:rPr>
          <w:rFonts w:hint="cs"/>
          <w:rtl/>
        </w:rPr>
        <w:t>4 ל</w:t>
      </w:r>
      <w:r w:rsidR="006B7F0B" w:rsidRPr="00600D22">
        <w:rPr>
          <w:rFonts w:hint="cs"/>
          <w:rtl/>
        </w:rPr>
        <w:t xml:space="preserve">פני </w:t>
      </w:r>
      <w:r w:rsidR="00836953" w:rsidRPr="00600D22">
        <w:rPr>
          <w:rFonts w:hint="cs"/>
          <w:rtl/>
        </w:rPr>
        <w:t>סיפור המבול הבא בהמשך הרצף</w:t>
      </w:r>
      <w:r w:rsidR="008572D2" w:rsidRPr="00600D22">
        <w:rPr>
          <w:rFonts w:hint="cs"/>
          <w:rtl/>
        </w:rPr>
        <w:t>,</w:t>
      </w:r>
      <w:r w:rsidR="00836953" w:rsidRPr="00600D22">
        <w:rPr>
          <w:rFonts w:hint="cs"/>
          <w:rtl/>
        </w:rPr>
        <w:t xml:space="preserve"> ו</w:t>
      </w:r>
      <w:r w:rsidR="006B7F0B" w:rsidRPr="00600D22">
        <w:rPr>
          <w:rFonts w:hint="cs"/>
          <w:rtl/>
        </w:rPr>
        <w:t xml:space="preserve">כך נוצר </w:t>
      </w:r>
      <w:r w:rsidR="00836953" w:rsidRPr="00600D22">
        <w:rPr>
          <w:rFonts w:hint="cs"/>
          <w:rtl/>
        </w:rPr>
        <w:t>סיום לתולדות הדור ולע</w:t>
      </w:r>
      <w:r w:rsidR="00794243" w:rsidRPr="00600D22">
        <w:rPr>
          <w:rFonts w:hint="cs"/>
          <w:rtl/>
        </w:rPr>
        <w:t>י</w:t>
      </w:r>
      <w:r w:rsidR="00836953" w:rsidRPr="00600D22">
        <w:rPr>
          <w:rFonts w:hint="cs"/>
          <w:rtl/>
        </w:rPr>
        <w:t>דן כולו</w:t>
      </w:r>
      <w:r w:rsidR="00B651DE" w:rsidRPr="00600D22">
        <w:rPr>
          <w:rFonts w:hint="cs"/>
          <w:rtl/>
        </w:rPr>
        <w:t xml:space="preserve">. </w:t>
      </w:r>
      <w:r w:rsidR="00836953" w:rsidRPr="00600D22">
        <w:rPr>
          <w:rFonts w:hint="cs"/>
          <w:rtl/>
        </w:rPr>
        <w:t xml:space="preserve">בכך </w:t>
      </w:r>
      <w:r w:rsidR="006B7F0B" w:rsidRPr="00600D22">
        <w:rPr>
          <w:rFonts w:hint="cs"/>
          <w:rtl/>
        </w:rPr>
        <w:t>נ</w:t>
      </w:r>
      <w:r w:rsidR="003E0D44" w:rsidRPr="00600D22">
        <w:rPr>
          <w:rFonts w:hint="cs"/>
          <w:rtl/>
        </w:rPr>
        <w:t>שמר</w:t>
      </w:r>
      <w:r w:rsidR="006B7F0B" w:rsidRPr="00600D22">
        <w:rPr>
          <w:rFonts w:hint="cs"/>
          <w:rtl/>
        </w:rPr>
        <w:t>ו</w:t>
      </w:r>
      <w:r w:rsidR="003E0D44" w:rsidRPr="00600D22">
        <w:rPr>
          <w:rFonts w:hint="cs"/>
          <w:rtl/>
        </w:rPr>
        <w:t xml:space="preserve"> </w:t>
      </w:r>
      <w:r w:rsidR="006B7F0B" w:rsidRPr="00600D22">
        <w:rPr>
          <w:rFonts w:hint="cs"/>
          <w:rtl/>
        </w:rPr>
        <w:t xml:space="preserve">ברצף הלא-כוהני שבבראשית </w:t>
      </w:r>
      <w:r w:rsidR="003E0D44" w:rsidRPr="00600D22">
        <w:rPr>
          <w:rFonts w:hint="cs"/>
          <w:rtl/>
        </w:rPr>
        <w:t>שתי מסורות מבול מב</w:t>
      </w:r>
      <w:r w:rsidR="00794243" w:rsidRPr="00600D22">
        <w:rPr>
          <w:rFonts w:hint="cs"/>
          <w:rtl/>
        </w:rPr>
        <w:t>ל</w:t>
      </w:r>
      <w:r w:rsidR="003E0D44" w:rsidRPr="00600D22">
        <w:rPr>
          <w:rFonts w:hint="cs"/>
          <w:rtl/>
        </w:rPr>
        <w:t>י לאבד פרטים רבים מא</w:t>
      </w:r>
      <w:r w:rsidR="00794243" w:rsidRPr="00600D22">
        <w:rPr>
          <w:rFonts w:hint="cs"/>
          <w:rtl/>
        </w:rPr>
        <w:t>ף</w:t>
      </w:r>
      <w:r w:rsidR="006E7A5A" w:rsidRPr="00600D22">
        <w:rPr>
          <w:rFonts w:hint="cs"/>
          <w:rtl/>
        </w:rPr>
        <w:t xml:space="preserve"> אחת מהן.</w:t>
      </w:r>
    </w:p>
    <w:p w:rsidR="00477851" w:rsidRDefault="00477851" w:rsidP="00064813">
      <w:pPr>
        <w:widowControl w:val="0"/>
        <w:spacing w:line="480" w:lineRule="auto"/>
        <w:ind w:firstLine="397"/>
        <w:rPr>
          <w:rtl/>
        </w:rPr>
      </w:pPr>
    </w:p>
    <w:p w:rsidR="008772C1" w:rsidRPr="00600D22" w:rsidRDefault="00E06783" w:rsidP="00491B7E">
      <w:pPr>
        <w:widowControl w:val="0"/>
        <w:spacing w:line="480" w:lineRule="auto"/>
        <w:rPr>
          <w:b/>
          <w:bCs/>
          <w:rtl/>
        </w:rPr>
      </w:pPr>
      <w:r w:rsidRPr="00600D22">
        <w:rPr>
          <w:rFonts w:hint="cs"/>
          <w:b/>
          <w:bCs/>
          <w:rtl/>
        </w:rPr>
        <w:t>ה</w:t>
      </w:r>
      <w:r w:rsidR="008772C1" w:rsidRPr="00600D22">
        <w:rPr>
          <w:rFonts w:hint="cs"/>
          <w:b/>
          <w:bCs/>
          <w:rtl/>
        </w:rPr>
        <w:t xml:space="preserve">. </w:t>
      </w:r>
      <w:r w:rsidR="00491B7E">
        <w:rPr>
          <w:rFonts w:hint="cs"/>
          <w:b/>
          <w:bCs/>
          <w:rtl/>
        </w:rPr>
        <w:t>למקומו של סיפור בני האלהים בספר בראשית</w:t>
      </w:r>
    </w:p>
    <w:p w:rsidR="003A275B" w:rsidRPr="00600D22" w:rsidRDefault="005949F6" w:rsidP="002C7E6F">
      <w:pPr>
        <w:widowControl w:val="0"/>
        <w:spacing w:line="480" w:lineRule="auto"/>
        <w:rPr>
          <w:rtl/>
        </w:rPr>
      </w:pPr>
      <w:r w:rsidRPr="00600D22">
        <w:rPr>
          <w:rFonts w:hint="cs"/>
          <w:rtl/>
        </w:rPr>
        <w:t>הסיפור בבראשית ו 1</w:t>
      </w:r>
      <w:r w:rsidRPr="00600D22">
        <w:rPr>
          <w:rFonts w:hint="eastAsia"/>
          <w:rtl/>
        </w:rPr>
        <w:t>–</w:t>
      </w:r>
      <w:r w:rsidRPr="00600D22">
        <w:rPr>
          <w:rFonts w:hint="cs"/>
          <w:rtl/>
        </w:rPr>
        <w:t xml:space="preserve">4 כפי שהוא מצוי לפנינו </w:t>
      </w:r>
      <w:r w:rsidR="00AE2D6D" w:rsidRPr="00600D22">
        <w:rPr>
          <w:rFonts w:hint="cs"/>
          <w:rtl/>
        </w:rPr>
        <w:t xml:space="preserve">צמוד ברצף לסיפור המבול, אך </w:t>
      </w:r>
      <w:r w:rsidRPr="00600D22">
        <w:rPr>
          <w:rFonts w:hint="cs"/>
          <w:rtl/>
        </w:rPr>
        <w:t xml:space="preserve">מנותק </w:t>
      </w:r>
      <w:r w:rsidR="00AE2D6D" w:rsidRPr="00600D22">
        <w:rPr>
          <w:rFonts w:hint="cs"/>
          <w:rtl/>
        </w:rPr>
        <w:t xml:space="preserve">ממנו </w:t>
      </w:r>
      <w:r w:rsidR="00AE2D6D" w:rsidRPr="00600D22">
        <w:rPr>
          <w:rFonts w:hint="cs"/>
          <w:rtl/>
        </w:rPr>
        <w:lastRenderedPageBreak/>
        <w:t>בתוכנו</w:t>
      </w:r>
      <w:r w:rsidRPr="00600D22">
        <w:rPr>
          <w:rFonts w:hint="cs"/>
          <w:rtl/>
        </w:rPr>
        <w:t xml:space="preserve">. אולם מן הפרטים שנידונו כאן </w:t>
      </w:r>
      <w:r w:rsidR="00884A85" w:rsidRPr="00600D22">
        <w:rPr>
          <w:rFonts w:hint="cs"/>
          <w:rtl/>
        </w:rPr>
        <w:t>מסתבר</w:t>
      </w:r>
      <w:r w:rsidRPr="00600D22">
        <w:rPr>
          <w:rFonts w:hint="cs"/>
          <w:rtl/>
        </w:rPr>
        <w:t xml:space="preserve"> כי </w:t>
      </w:r>
      <w:r w:rsidR="005675AD" w:rsidRPr="00600D22">
        <w:rPr>
          <w:rFonts w:hint="cs"/>
          <w:rtl/>
        </w:rPr>
        <w:t>ב</w:t>
      </w:r>
      <w:r w:rsidRPr="00600D22">
        <w:rPr>
          <w:rFonts w:hint="cs"/>
          <w:rtl/>
        </w:rPr>
        <w:t xml:space="preserve">בסיסו של סיפור זה </w:t>
      </w:r>
      <w:r w:rsidR="009E6F29" w:rsidRPr="00600D22">
        <w:rPr>
          <w:rFonts w:hint="cs"/>
          <w:rtl/>
        </w:rPr>
        <w:t>משתק</w:t>
      </w:r>
      <w:r w:rsidR="00E56212" w:rsidRPr="00600D22">
        <w:rPr>
          <w:rFonts w:hint="cs"/>
          <w:rtl/>
        </w:rPr>
        <w:t>פים</w:t>
      </w:r>
      <w:r w:rsidRPr="00600D22">
        <w:rPr>
          <w:rFonts w:hint="cs"/>
          <w:rtl/>
        </w:rPr>
        <w:t xml:space="preserve"> </w:t>
      </w:r>
      <w:r w:rsidR="00E56212" w:rsidRPr="00600D22">
        <w:rPr>
          <w:rFonts w:hint="cs"/>
          <w:rtl/>
        </w:rPr>
        <w:t xml:space="preserve">שרידיו של </w:t>
      </w:r>
      <w:r w:rsidRPr="00600D22">
        <w:rPr>
          <w:rFonts w:hint="cs"/>
          <w:rtl/>
        </w:rPr>
        <w:t xml:space="preserve">סיפור </w:t>
      </w:r>
      <w:r w:rsidR="005675AD" w:rsidRPr="00600D22">
        <w:rPr>
          <w:rFonts w:hint="cs"/>
          <w:rtl/>
        </w:rPr>
        <w:t>ייחודי</w:t>
      </w:r>
      <w:r w:rsidR="00DC517E" w:rsidRPr="00600D22">
        <w:rPr>
          <w:rFonts w:hint="cs"/>
          <w:rtl/>
        </w:rPr>
        <w:t xml:space="preserve"> שעיקרו השמדת דור הגיבורים, בני התערובת של אלים ובנות אדם</w:t>
      </w:r>
      <w:r w:rsidRPr="00600D22">
        <w:rPr>
          <w:rFonts w:hint="cs"/>
          <w:rtl/>
        </w:rPr>
        <w:t>. הגבלת חיי האדם (</w:t>
      </w:r>
      <w:r w:rsidR="002C7E6F">
        <w:rPr>
          <w:rFonts w:hint="cs"/>
          <w:rtl/>
        </w:rPr>
        <w:t>שם,</w:t>
      </w:r>
      <w:r w:rsidRPr="00600D22">
        <w:rPr>
          <w:rFonts w:hint="cs"/>
          <w:rtl/>
        </w:rPr>
        <w:t xml:space="preserve"> ו 3) </w:t>
      </w:r>
      <w:r w:rsidR="00205513" w:rsidRPr="00600D22">
        <w:rPr>
          <w:rFonts w:hint="cs"/>
          <w:rtl/>
        </w:rPr>
        <w:t xml:space="preserve">שהיא </w:t>
      </w:r>
      <w:r w:rsidR="009370BA" w:rsidRPr="00600D22">
        <w:rPr>
          <w:rFonts w:hint="cs"/>
          <w:rtl/>
        </w:rPr>
        <w:t xml:space="preserve">שיאו של </w:t>
      </w:r>
      <w:r w:rsidR="00DC517E" w:rsidRPr="00600D22">
        <w:rPr>
          <w:rFonts w:hint="cs"/>
          <w:rtl/>
        </w:rPr>
        <w:t>בראשית ו 1–4</w:t>
      </w:r>
      <w:r w:rsidR="009370BA" w:rsidRPr="00600D22">
        <w:rPr>
          <w:rFonts w:hint="cs"/>
          <w:rtl/>
        </w:rPr>
        <w:t xml:space="preserve"> כפי שהוא לפנינו, </w:t>
      </w:r>
      <w:r w:rsidRPr="00600D22">
        <w:rPr>
          <w:rFonts w:hint="cs"/>
          <w:rtl/>
        </w:rPr>
        <w:t>לא יכל</w:t>
      </w:r>
      <w:r w:rsidR="00B651DE" w:rsidRPr="00600D22">
        <w:rPr>
          <w:rFonts w:hint="cs"/>
          <w:rtl/>
        </w:rPr>
        <w:t>ה</w:t>
      </w:r>
      <w:r w:rsidRPr="00600D22">
        <w:rPr>
          <w:rFonts w:hint="cs"/>
          <w:rtl/>
        </w:rPr>
        <w:t xml:space="preserve"> להיות הפתרון המלא לערבוב התחומים החמור בין אנושי לאלוהי הנגרם מזיווגים בין בנות אדם לבני אלוהים. דרושה הי</w:t>
      </w:r>
      <w:r w:rsidR="00205513" w:rsidRPr="00600D22">
        <w:rPr>
          <w:rFonts w:hint="cs"/>
          <w:rtl/>
        </w:rPr>
        <w:t>י</w:t>
      </w:r>
      <w:r w:rsidRPr="00600D22">
        <w:rPr>
          <w:rFonts w:hint="cs"/>
          <w:rtl/>
        </w:rPr>
        <w:t xml:space="preserve">תה כאן </w:t>
      </w:r>
      <w:r w:rsidR="00DC517E" w:rsidRPr="00600D22">
        <w:rPr>
          <w:rFonts w:hint="cs"/>
          <w:rtl/>
        </w:rPr>
        <w:t xml:space="preserve">הפסקה מוחלטת של הזיווגים בין אלים לאדם </w:t>
      </w:r>
      <w:r w:rsidR="007715BB" w:rsidRPr="00600D22">
        <w:rPr>
          <w:rFonts w:hint="cs"/>
          <w:rtl/>
        </w:rPr>
        <w:t>ו</w:t>
      </w:r>
      <w:r w:rsidRPr="00600D22">
        <w:rPr>
          <w:rFonts w:hint="cs"/>
          <w:rtl/>
        </w:rPr>
        <w:t xml:space="preserve">השמדת </w:t>
      </w:r>
      <w:r w:rsidR="002F027D" w:rsidRPr="00600D22">
        <w:rPr>
          <w:rFonts w:hint="cs"/>
          <w:rtl/>
        </w:rPr>
        <w:t>הגיבורים</w:t>
      </w:r>
      <w:r w:rsidRPr="00600D22">
        <w:rPr>
          <w:rFonts w:hint="cs"/>
          <w:rtl/>
        </w:rPr>
        <w:t xml:space="preserve">, בני התערובת של אדם ואל. </w:t>
      </w:r>
      <w:r w:rsidR="009E6F29" w:rsidRPr="00600D22">
        <w:rPr>
          <w:rFonts w:hint="cs"/>
          <w:rtl/>
        </w:rPr>
        <w:t xml:space="preserve">ניתוח המסורות היווניות הראה כי </w:t>
      </w:r>
      <w:r w:rsidRPr="00600D22">
        <w:rPr>
          <w:rFonts w:hint="cs"/>
          <w:rtl/>
        </w:rPr>
        <w:t>גם</w:t>
      </w:r>
      <w:r w:rsidR="000C0EF7" w:rsidRPr="00600D22">
        <w:rPr>
          <w:rFonts w:hint="cs"/>
          <w:rtl/>
        </w:rPr>
        <w:t xml:space="preserve"> מאחורי</w:t>
      </w:r>
      <w:r w:rsidR="001553A1" w:rsidRPr="00600D22">
        <w:rPr>
          <w:rFonts w:hint="cs"/>
          <w:rtl/>
        </w:rPr>
        <w:t>הן,</w:t>
      </w:r>
      <w:r w:rsidR="000C0EF7" w:rsidRPr="00600D22">
        <w:rPr>
          <w:rFonts w:hint="cs"/>
          <w:rtl/>
        </w:rPr>
        <w:t xml:space="preserve"> </w:t>
      </w:r>
      <w:r w:rsidR="001553A1" w:rsidRPr="00600D22">
        <w:rPr>
          <w:rFonts w:hint="cs"/>
          <w:rtl/>
        </w:rPr>
        <w:t xml:space="preserve">ומאחורי </w:t>
      </w:r>
      <w:r w:rsidR="005813C7">
        <w:rPr>
          <w:rFonts w:hint="cs"/>
          <w:rtl/>
        </w:rPr>
        <w:t>'</w:t>
      </w:r>
      <w:r w:rsidR="000C0EF7" w:rsidRPr="00600D22">
        <w:rPr>
          <w:rFonts w:hint="cs"/>
          <w:rtl/>
        </w:rPr>
        <w:t>קטלוג הנשים</w:t>
      </w:r>
      <w:r w:rsidR="005813C7">
        <w:rPr>
          <w:rFonts w:hint="cs"/>
          <w:rtl/>
        </w:rPr>
        <w:t>'</w:t>
      </w:r>
      <w:r w:rsidR="000C0EF7" w:rsidRPr="00600D22">
        <w:rPr>
          <w:rFonts w:hint="cs"/>
          <w:rtl/>
        </w:rPr>
        <w:t xml:space="preserve"> </w:t>
      </w:r>
      <w:r w:rsidR="001553A1" w:rsidRPr="00600D22">
        <w:rPr>
          <w:rFonts w:hint="cs"/>
          <w:rtl/>
        </w:rPr>
        <w:t xml:space="preserve">בפרט, </w:t>
      </w:r>
      <w:r w:rsidR="009E6F29" w:rsidRPr="00600D22">
        <w:rPr>
          <w:rFonts w:hint="cs"/>
          <w:rtl/>
        </w:rPr>
        <w:t xml:space="preserve">משתקפים סימני ההשפעה של אותו סיפור </w:t>
      </w:r>
      <w:r w:rsidR="009370BA" w:rsidRPr="00600D22">
        <w:rPr>
          <w:rFonts w:hint="cs"/>
          <w:rtl/>
        </w:rPr>
        <w:t xml:space="preserve">הכורך בין דור </w:t>
      </w:r>
      <w:r w:rsidR="002F027D" w:rsidRPr="00600D22">
        <w:rPr>
          <w:rFonts w:hint="cs"/>
          <w:rtl/>
        </w:rPr>
        <w:t>האלים למחצה</w:t>
      </w:r>
      <w:r w:rsidR="009370BA" w:rsidRPr="00600D22">
        <w:rPr>
          <w:rFonts w:hint="cs"/>
          <w:rtl/>
        </w:rPr>
        <w:t xml:space="preserve"> לבין </w:t>
      </w:r>
      <w:r w:rsidR="005675AD" w:rsidRPr="00600D22">
        <w:rPr>
          <w:rFonts w:hint="cs"/>
          <w:rtl/>
        </w:rPr>
        <w:t>השמדת</w:t>
      </w:r>
      <w:r w:rsidR="002F027D" w:rsidRPr="00600D22">
        <w:rPr>
          <w:rFonts w:hint="cs"/>
          <w:rtl/>
        </w:rPr>
        <w:t xml:space="preserve"> האנושות</w:t>
      </w:r>
      <w:r w:rsidR="006707F8" w:rsidRPr="00600D22">
        <w:rPr>
          <w:rFonts w:hint="cs"/>
          <w:rtl/>
        </w:rPr>
        <w:t xml:space="preserve">. </w:t>
      </w:r>
      <w:r w:rsidR="00AF616F" w:rsidRPr="00600D22">
        <w:rPr>
          <w:rFonts w:hint="cs"/>
          <w:rtl/>
        </w:rPr>
        <w:t xml:space="preserve">עיקרו של </w:t>
      </w:r>
      <w:r w:rsidR="009E6F29" w:rsidRPr="00600D22">
        <w:rPr>
          <w:rFonts w:hint="cs"/>
          <w:rtl/>
        </w:rPr>
        <w:t>ה</w:t>
      </w:r>
      <w:r w:rsidR="00AF616F" w:rsidRPr="00600D22">
        <w:rPr>
          <w:rFonts w:hint="cs"/>
          <w:rtl/>
        </w:rPr>
        <w:t>סיפור</w:t>
      </w:r>
      <w:r w:rsidR="00F91B31" w:rsidRPr="00600D22">
        <w:rPr>
          <w:rFonts w:hint="cs"/>
          <w:rtl/>
        </w:rPr>
        <w:t xml:space="preserve"> הקדום</w:t>
      </w:r>
      <w:r w:rsidR="00AF616F" w:rsidRPr="00600D22">
        <w:rPr>
          <w:rFonts w:hint="cs"/>
          <w:rtl/>
        </w:rPr>
        <w:t xml:space="preserve"> </w:t>
      </w:r>
      <w:r w:rsidR="00B651DE" w:rsidRPr="00600D22">
        <w:rPr>
          <w:rFonts w:hint="cs"/>
          <w:rtl/>
        </w:rPr>
        <w:t xml:space="preserve">ששימש בסיס לשני המקורות שנידונו </w:t>
      </w:r>
      <w:r w:rsidR="00AF616F" w:rsidRPr="00600D22">
        <w:rPr>
          <w:rFonts w:hint="cs"/>
          <w:rtl/>
        </w:rPr>
        <w:t xml:space="preserve">היה </w:t>
      </w:r>
      <w:r w:rsidR="00205513" w:rsidRPr="00600D22">
        <w:rPr>
          <w:rFonts w:hint="cs"/>
          <w:rtl/>
        </w:rPr>
        <w:t>רצונו של האל הראשי בפנת</w:t>
      </w:r>
      <w:r w:rsidR="005813C7">
        <w:rPr>
          <w:rFonts w:hint="cs"/>
          <w:rtl/>
        </w:rPr>
        <w:t>י</w:t>
      </w:r>
      <w:r w:rsidR="003A275B" w:rsidRPr="00600D22">
        <w:rPr>
          <w:rFonts w:hint="cs"/>
          <w:rtl/>
        </w:rPr>
        <w:t>און להפסיק את הזיווגים בין אלים לבני אדם, ו</w:t>
      </w:r>
      <w:r w:rsidR="006078EB" w:rsidRPr="00600D22">
        <w:rPr>
          <w:rFonts w:hint="cs"/>
          <w:rtl/>
        </w:rPr>
        <w:t>על ידי כן</w:t>
      </w:r>
      <w:r w:rsidR="003A275B" w:rsidRPr="00600D22">
        <w:rPr>
          <w:rFonts w:hint="cs"/>
          <w:rtl/>
        </w:rPr>
        <w:t xml:space="preserve"> את לידתם של דור </w:t>
      </w:r>
      <w:r w:rsidR="00F91B31" w:rsidRPr="00600D22">
        <w:rPr>
          <w:rFonts w:hint="cs"/>
          <w:rtl/>
        </w:rPr>
        <w:t xml:space="preserve">גיבורים, </w:t>
      </w:r>
      <w:r w:rsidR="00667C1A" w:rsidRPr="00600D22">
        <w:rPr>
          <w:rFonts w:hint="cs"/>
          <w:rtl/>
        </w:rPr>
        <w:t>שה</w:t>
      </w:r>
      <w:r w:rsidR="00F91B31" w:rsidRPr="00600D22">
        <w:rPr>
          <w:rFonts w:hint="cs"/>
          <w:rtl/>
        </w:rPr>
        <w:t>וא</w:t>
      </w:r>
      <w:r w:rsidR="00667C1A" w:rsidRPr="00600D22">
        <w:rPr>
          <w:rFonts w:hint="cs"/>
          <w:rtl/>
        </w:rPr>
        <w:t xml:space="preserve"> שילוב של אלוהי וארצי</w:t>
      </w:r>
      <w:r w:rsidR="009370BA" w:rsidRPr="00600D22">
        <w:rPr>
          <w:rFonts w:hint="cs"/>
          <w:rtl/>
        </w:rPr>
        <w:t>, ו</w:t>
      </w:r>
      <w:r w:rsidR="003A275B" w:rsidRPr="00600D22">
        <w:rPr>
          <w:rFonts w:hint="cs"/>
          <w:rtl/>
        </w:rPr>
        <w:t>ה</w:t>
      </w:r>
      <w:r w:rsidR="00794BD4" w:rsidRPr="00600D22">
        <w:rPr>
          <w:rFonts w:hint="cs"/>
          <w:rtl/>
        </w:rPr>
        <w:t>אמצעי</w:t>
      </w:r>
      <w:r w:rsidR="003A275B" w:rsidRPr="00600D22">
        <w:rPr>
          <w:rFonts w:hint="cs"/>
          <w:rtl/>
        </w:rPr>
        <w:t xml:space="preserve"> להשמדת</w:t>
      </w:r>
      <w:r w:rsidR="00F91B31" w:rsidRPr="00600D22">
        <w:rPr>
          <w:rFonts w:hint="cs"/>
          <w:rtl/>
        </w:rPr>
        <w:t>ו</w:t>
      </w:r>
      <w:r w:rsidR="005A490C" w:rsidRPr="00600D22">
        <w:rPr>
          <w:rFonts w:hint="cs"/>
          <w:rtl/>
        </w:rPr>
        <w:t xml:space="preserve"> </w:t>
      </w:r>
      <w:r w:rsidR="006E7A5A" w:rsidRPr="00600D22">
        <w:rPr>
          <w:rFonts w:hint="cs"/>
          <w:rtl/>
        </w:rPr>
        <w:t>היה המבול.</w:t>
      </w:r>
    </w:p>
    <w:p w:rsidR="009B5C65" w:rsidRPr="00600D22" w:rsidRDefault="00D21B2A" w:rsidP="002C7E6F">
      <w:pPr>
        <w:widowControl w:val="0"/>
        <w:spacing w:line="480" w:lineRule="auto"/>
        <w:ind w:firstLine="397"/>
        <w:rPr>
          <w:rtl/>
        </w:rPr>
      </w:pPr>
      <w:r w:rsidRPr="00600D22">
        <w:rPr>
          <w:rFonts w:hint="cs"/>
          <w:rtl/>
        </w:rPr>
        <w:t>אם כך הדבר</w:t>
      </w:r>
      <w:r w:rsidR="00667C1A" w:rsidRPr="00600D22">
        <w:rPr>
          <w:rFonts w:hint="cs"/>
          <w:rtl/>
        </w:rPr>
        <w:t>,</w:t>
      </w:r>
      <w:r w:rsidRPr="00600D22">
        <w:rPr>
          <w:rFonts w:hint="cs"/>
          <w:rtl/>
        </w:rPr>
        <w:t xml:space="preserve"> </w:t>
      </w:r>
      <w:r w:rsidR="00667C1A" w:rsidRPr="00600D22">
        <w:rPr>
          <w:rFonts w:hint="cs"/>
          <w:rtl/>
        </w:rPr>
        <w:t xml:space="preserve">נראה </w:t>
      </w:r>
      <w:r w:rsidRPr="00600D22">
        <w:rPr>
          <w:rFonts w:hint="cs"/>
          <w:rtl/>
        </w:rPr>
        <w:t xml:space="preserve">כי </w:t>
      </w:r>
      <w:r w:rsidR="005930C6" w:rsidRPr="00600D22">
        <w:rPr>
          <w:rFonts w:hint="cs"/>
          <w:rtl/>
        </w:rPr>
        <w:t>במקורו</w:t>
      </w:r>
      <w:r w:rsidR="003A275B" w:rsidRPr="00600D22">
        <w:rPr>
          <w:rFonts w:hint="cs"/>
          <w:rtl/>
        </w:rPr>
        <w:t xml:space="preserve"> </w:t>
      </w:r>
      <w:r w:rsidR="002C7E6F" w:rsidRPr="00600D22">
        <w:rPr>
          <w:rFonts w:hint="eastAsia"/>
          <w:rtl/>
        </w:rPr>
        <w:t xml:space="preserve">היה </w:t>
      </w:r>
      <w:r w:rsidR="003A275B" w:rsidRPr="00600D22">
        <w:rPr>
          <w:rFonts w:hint="cs"/>
          <w:rtl/>
        </w:rPr>
        <w:t xml:space="preserve">לסיפור </w:t>
      </w:r>
      <w:r w:rsidR="005930C6" w:rsidRPr="00600D22">
        <w:rPr>
          <w:rFonts w:hint="cs"/>
          <w:rtl/>
        </w:rPr>
        <w:t>המשתקף מ</w:t>
      </w:r>
      <w:r w:rsidR="003A275B" w:rsidRPr="00600D22">
        <w:rPr>
          <w:rFonts w:hint="cs"/>
          <w:rtl/>
        </w:rPr>
        <w:t>בראשית ו 1</w:t>
      </w:r>
      <w:r w:rsidR="003A275B" w:rsidRPr="00600D22">
        <w:rPr>
          <w:rFonts w:hint="eastAsia"/>
          <w:rtl/>
        </w:rPr>
        <w:t>–4 תפקיד חשוב ברצ</w:t>
      </w:r>
      <w:r w:rsidR="00C9109E" w:rsidRPr="00600D22">
        <w:rPr>
          <w:rFonts w:hint="cs"/>
          <w:rtl/>
        </w:rPr>
        <w:t>פים</w:t>
      </w:r>
      <w:r w:rsidR="003A275B" w:rsidRPr="00600D22">
        <w:rPr>
          <w:rFonts w:hint="eastAsia"/>
          <w:rtl/>
        </w:rPr>
        <w:t xml:space="preserve"> הגנאלוגי</w:t>
      </w:r>
      <w:r w:rsidR="00C9109E" w:rsidRPr="00600D22">
        <w:rPr>
          <w:rFonts w:hint="cs"/>
          <w:rtl/>
        </w:rPr>
        <w:t>ים של ימי ראשית האנושות</w:t>
      </w:r>
      <w:r w:rsidR="00AF616F" w:rsidRPr="00600D22">
        <w:rPr>
          <w:rFonts w:hint="cs"/>
          <w:rtl/>
        </w:rPr>
        <w:t>,</w:t>
      </w:r>
      <w:r w:rsidR="003A275B" w:rsidRPr="00600D22">
        <w:rPr>
          <w:rFonts w:hint="eastAsia"/>
          <w:rtl/>
        </w:rPr>
        <w:t xml:space="preserve"> שכן </w:t>
      </w:r>
      <w:r w:rsidR="0058368E" w:rsidRPr="00600D22">
        <w:rPr>
          <w:rFonts w:hint="cs"/>
          <w:rtl/>
        </w:rPr>
        <w:t>סיפור זה</w:t>
      </w:r>
      <w:r w:rsidR="003A275B" w:rsidRPr="00600D22">
        <w:rPr>
          <w:rFonts w:hint="eastAsia"/>
          <w:rtl/>
        </w:rPr>
        <w:t xml:space="preserve"> יצר הבחנה</w:t>
      </w:r>
      <w:r w:rsidR="003A275B" w:rsidRPr="00600D22">
        <w:rPr>
          <w:rFonts w:hint="cs"/>
          <w:rtl/>
        </w:rPr>
        <w:t xml:space="preserve"> </w:t>
      </w:r>
      <w:r w:rsidR="00C34DF7" w:rsidRPr="00600D22">
        <w:rPr>
          <w:rFonts w:hint="cs"/>
          <w:rtl/>
        </w:rPr>
        <w:t xml:space="preserve">ברורה בין </w:t>
      </w:r>
      <w:r w:rsidR="004C604A" w:rsidRPr="00600D22">
        <w:rPr>
          <w:rFonts w:hint="cs"/>
          <w:rtl/>
        </w:rPr>
        <w:t>דור הגיבורים שלפני המבול לבין דור האנשים הרגילים שחיו אחרי</w:t>
      </w:r>
      <w:r w:rsidR="004633F5">
        <w:rPr>
          <w:rFonts w:hint="cs"/>
          <w:rtl/>
        </w:rPr>
        <w:t>ו</w:t>
      </w:r>
      <w:r w:rsidR="0058368E" w:rsidRPr="00600D22">
        <w:rPr>
          <w:rFonts w:hint="cs"/>
          <w:rtl/>
        </w:rPr>
        <w:t xml:space="preserve">. לפי סיפור </w:t>
      </w:r>
      <w:r w:rsidR="00041A4E" w:rsidRPr="00600D22">
        <w:rPr>
          <w:rFonts w:hint="cs"/>
          <w:rtl/>
        </w:rPr>
        <w:t>מיוחד זה,</w:t>
      </w:r>
      <w:r w:rsidR="0058368E" w:rsidRPr="00600D22">
        <w:rPr>
          <w:rFonts w:hint="cs"/>
          <w:rtl/>
        </w:rPr>
        <w:t xml:space="preserve"> </w:t>
      </w:r>
      <w:r w:rsidR="002C7E6F" w:rsidRPr="00600D22">
        <w:rPr>
          <w:rFonts w:hint="cs"/>
          <w:rtl/>
        </w:rPr>
        <w:t xml:space="preserve">נועד </w:t>
      </w:r>
      <w:r w:rsidR="0058368E" w:rsidRPr="00600D22">
        <w:rPr>
          <w:rFonts w:hint="cs"/>
          <w:rtl/>
        </w:rPr>
        <w:t xml:space="preserve">המבול לכלות את דור אנשי </w:t>
      </w:r>
      <w:r w:rsidR="002C7E6F">
        <w:rPr>
          <w:rFonts w:hint="cs"/>
          <w:rtl/>
        </w:rPr>
        <w:t>ה</w:t>
      </w:r>
      <w:r w:rsidR="0058368E" w:rsidRPr="00600D22">
        <w:rPr>
          <w:rFonts w:hint="cs"/>
          <w:rtl/>
        </w:rPr>
        <w:t xml:space="preserve">קדם שחיו </w:t>
      </w:r>
      <w:r w:rsidR="00205513" w:rsidRPr="00600D22">
        <w:rPr>
          <w:rFonts w:hint="cs"/>
          <w:rtl/>
        </w:rPr>
        <w:t>ב</w:t>
      </w:r>
      <w:r w:rsidR="0058368E" w:rsidRPr="00600D22">
        <w:rPr>
          <w:rFonts w:hint="cs"/>
          <w:rtl/>
        </w:rPr>
        <w:t xml:space="preserve">צד האלים, </w:t>
      </w:r>
      <w:r w:rsidR="004633F5">
        <w:rPr>
          <w:rFonts w:hint="cs"/>
          <w:rtl/>
        </w:rPr>
        <w:t xml:space="preserve">ובתומו </w:t>
      </w:r>
      <w:r w:rsidR="0058368E" w:rsidRPr="00600D22">
        <w:rPr>
          <w:rFonts w:hint="cs"/>
          <w:rtl/>
        </w:rPr>
        <w:t>נעלמו האלים מן המרחב האנושי, והחלו תולדות האנשים הרגילים. במקרא</w:t>
      </w:r>
      <w:r w:rsidR="00374681" w:rsidRPr="00600D22">
        <w:rPr>
          <w:rFonts w:hint="cs"/>
          <w:rtl/>
        </w:rPr>
        <w:t xml:space="preserve"> </w:t>
      </w:r>
      <w:r w:rsidR="006860A7" w:rsidRPr="00600D22">
        <w:rPr>
          <w:rFonts w:hint="cs"/>
          <w:rtl/>
        </w:rPr>
        <w:t xml:space="preserve">אמנם </w:t>
      </w:r>
      <w:r w:rsidR="005675AD" w:rsidRPr="00600D22">
        <w:rPr>
          <w:rFonts w:hint="cs"/>
          <w:rtl/>
        </w:rPr>
        <w:t xml:space="preserve">קוצץ </w:t>
      </w:r>
      <w:r w:rsidR="004C604A" w:rsidRPr="00600D22">
        <w:rPr>
          <w:rFonts w:hint="cs"/>
          <w:rtl/>
        </w:rPr>
        <w:t xml:space="preserve">סיפור </w:t>
      </w:r>
      <w:r w:rsidR="0058368E" w:rsidRPr="00600D22">
        <w:rPr>
          <w:rFonts w:hint="cs"/>
          <w:rtl/>
        </w:rPr>
        <w:t xml:space="preserve">מבול מיוחד זה </w:t>
      </w:r>
      <w:r w:rsidR="005675AD" w:rsidRPr="00600D22">
        <w:rPr>
          <w:rFonts w:hint="cs"/>
          <w:rtl/>
        </w:rPr>
        <w:t>והוצמד ל</w:t>
      </w:r>
      <w:r w:rsidR="004C604A" w:rsidRPr="00600D22">
        <w:rPr>
          <w:rFonts w:hint="cs"/>
          <w:rtl/>
        </w:rPr>
        <w:t>סיפור</w:t>
      </w:r>
      <w:r w:rsidR="006078EB" w:rsidRPr="00600D22">
        <w:rPr>
          <w:rFonts w:hint="cs"/>
          <w:rtl/>
        </w:rPr>
        <w:t>י</w:t>
      </w:r>
      <w:r w:rsidR="004C604A" w:rsidRPr="00600D22">
        <w:rPr>
          <w:rFonts w:hint="cs"/>
          <w:rtl/>
        </w:rPr>
        <w:t xml:space="preserve"> מבול אחר</w:t>
      </w:r>
      <w:r w:rsidR="006078EB" w:rsidRPr="00600D22">
        <w:rPr>
          <w:rFonts w:hint="cs"/>
          <w:rtl/>
        </w:rPr>
        <w:t>ים</w:t>
      </w:r>
      <w:r w:rsidR="004C604A" w:rsidRPr="00600D22">
        <w:rPr>
          <w:rFonts w:hint="cs"/>
          <w:rtl/>
        </w:rPr>
        <w:t xml:space="preserve"> שתל</w:t>
      </w:r>
      <w:r w:rsidR="006078EB" w:rsidRPr="00600D22">
        <w:rPr>
          <w:rFonts w:hint="cs"/>
          <w:rtl/>
        </w:rPr>
        <w:t>ו</w:t>
      </w:r>
      <w:r w:rsidR="004C604A" w:rsidRPr="00600D22">
        <w:rPr>
          <w:rFonts w:hint="cs"/>
          <w:rtl/>
        </w:rPr>
        <w:t xml:space="preserve"> את הסיבה למבול בחטאי האדם</w:t>
      </w:r>
      <w:r w:rsidR="0058368E" w:rsidRPr="00600D22">
        <w:rPr>
          <w:rFonts w:hint="cs"/>
          <w:rtl/>
        </w:rPr>
        <w:t xml:space="preserve"> ולימדו על שכר ועונש</w:t>
      </w:r>
      <w:r w:rsidR="005675AD" w:rsidRPr="00600D22">
        <w:rPr>
          <w:rFonts w:hint="cs"/>
          <w:rtl/>
        </w:rPr>
        <w:t>. אך ז</w:t>
      </w:r>
      <w:r w:rsidR="005813C7">
        <w:rPr>
          <w:rFonts w:hint="cs"/>
          <w:rtl/>
        </w:rPr>
        <w:t>ִ</w:t>
      </w:r>
      <w:r w:rsidR="005675AD" w:rsidRPr="00600D22">
        <w:rPr>
          <w:rFonts w:hint="cs"/>
          <w:rtl/>
        </w:rPr>
        <w:t>כרו לא נעלם מן התורה, כנראה משום</w:t>
      </w:r>
      <w:r w:rsidR="0058368E" w:rsidRPr="00600D22">
        <w:rPr>
          <w:rFonts w:hint="cs"/>
          <w:rtl/>
        </w:rPr>
        <w:t xml:space="preserve"> שעלה</w:t>
      </w:r>
      <w:r w:rsidR="00050C12" w:rsidRPr="00600D22">
        <w:rPr>
          <w:rFonts w:hint="cs"/>
          <w:rtl/>
        </w:rPr>
        <w:t xml:space="preserve"> בקנה אחד עם </w:t>
      </w:r>
      <w:r w:rsidR="005675AD" w:rsidRPr="00600D22">
        <w:rPr>
          <w:rFonts w:hint="cs"/>
          <w:rtl/>
        </w:rPr>
        <w:t>סדרת ה</w:t>
      </w:r>
      <w:r w:rsidR="00050C12" w:rsidRPr="00600D22">
        <w:rPr>
          <w:rFonts w:hint="cs"/>
          <w:rtl/>
        </w:rPr>
        <w:t xml:space="preserve">סיפורים </w:t>
      </w:r>
      <w:r w:rsidR="005675AD" w:rsidRPr="00600D22">
        <w:rPr>
          <w:rFonts w:hint="cs"/>
          <w:rtl/>
        </w:rPr>
        <w:t>המתארים</w:t>
      </w:r>
      <w:r w:rsidR="00050C12" w:rsidRPr="00600D22">
        <w:rPr>
          <w:rFonts w:hint="cs"/>
          <w:rtl/>
        </w:rPr>
        <w:t xml:space="preserve"> ס</w:t>
      </w:r>
      <w:r w:rsidR="000C0EF7" w:rsidRPr="00600D22">
        <w:rPr>
          <w:rFonts w:hint="cs"/>
          <w:rtl/>
        </w:rPr>
        <w:t>כ</w:t>
      </w:r>
      <w:r w:rsidR="00050C12" w:rsidRPr="00600D22">
        <w:rPr>
          <w:rFonts w:hint="cs"/>
          <w:rtl/>
        </w:rPr>
        <w:t>נה לעירוב התחומים בין בני האדם לאל</w:t>
      </w:r>
      <w:r w:rsidR="00205513" w:rsidRPr="00600D22">
        <w:rPr>
          <w:rFonts w:hint="cs"/>
          <w:rtl/>
        </w:rPr>
        <w:t>ו</w:t>
      </w:r>
      <w:r w:rsidR="00050C12" w:rsidRPr="00600D22">
        <w:rPr>
          <w:rFonts w:hint="cs"/>
          <w:rtl/>
        </w:rPr>
        <w:t xml:space="preserve">הים </w:t>
      </w:r>
      <w:r w:rsidR="00F97751" w:rsidRPr="00600D22">
        <w:rPr>
          <w:rFonts w:hint="cs"/>
          <w:rtl/>
        </w:rPr>
        <w:t xml:space="preserve">(השוו בר' </w:t>
      </w:r>
      <w:r w:rsidR="00050C12" w:rsidRPr="00600D22">
        <w:rPr>
          <w:rFonts w:hint="cs"/>
          <w:rtl/>
        </w:rPr>
        <w:t>ג 22</w:t>
      </w:r>
      <w:r w:rsidR="00205513" w:rsidRPr="00600D22">
        <w:rPr>
          <w:rFonts w:hint="cs"/>
          <w:rtl/>
        </w:rPr>
        <w:t>,</w:t>
      </w:r>
      <w:r w:rsidR="00F97751" w:rsidRPr="00600D22">
        <w:rPr>
          <w:rFonts w:hint="cs"/>
          <w:rtl/>
        </w:rPr>
        <w:t xml:space="preserve"> </w:t>
      </w:r>
      <w:r w:rsidR="00050C12" w:rsidRPr="00600D22">
        <w:rPr>
          <w:rFonts w:hint="cs"/>
          <w:rtl/>
        </w:rPr>
        <w:t>יא 1–8).</w:t>
      </w:r>
    </w:p>
    <w:sectPr w:rsidR="009B5C65" w:rsidRPr="00600D22" w:rsidSect="0033736F">
      <w:footerReference w:type="default" r:id="rId7"/>
      <w:pgSz w:w="11906" w:h="16838"/>
      <w:pgMar w:top="1440" w:right="1800" w:bottom="1440" w:left="1800" w:header="708" w:footer="708" w:gutter="0"/>
      <w:pgNumType w:start="11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40D" w:rsidRDefault="0022140D" w:rsidP="00904234">
      <w:pPr>
        <w:spacing w:line="240" w:lineRule="auto"/>
      </w:pPr>
      <w:r>
        <w:separator/>
      </w:r>
    </w:p>
  </w:endnote>
  <w:endnote w:type="continuationSeparator" w:id="0">
    <w:p w:rsidR="0022140D" w:rsidRDefault="0022140D" w:rsidP="009042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74" w:rsidRPr="00E831B6" w:rsidRDefault="003F575F" w:rsidP="00E831B6">
    <w:pPr>
      <w:pStyle w:val="Footer"/>
      <w:jc w:val="center"/>
    </w:pPr>
    <w:r w:rsidRPr="00050871">
      <w:rPr>
        <w:rFonts w:cs="FrankRuehl"/>
        <w:sz w:val="20"/>
        <w:szCs w:val="20"/>
      </w:rPr>
      <w:fldChar w:fldCharType="begin"/>
    </w:r>
    <w:r w:rsidR="00295974" w:rsidRPr="00050871">
      <w:rPr>
        <w:rFonts w:cs="FrankRuehl"/>
        <w:sz w:val="20"/>
        <w:szCs w:val="20"/>
      </w:rPr>
      <w:instrText xml:space="preserve"> PAGE   \* MERGEFORMAT </w:instrText>
    </w:r>
    <w:r w:rsidRPr="00050871">
      <w:rPr>
        <w:rFonts w:cs="FrankRuehl"/>
        <w:sz w:val="20"/>
        <w:szCs w:val="20"/>
      </w:rPr>
      <w:fldChar w:fldCharType="separate"/>
    </w:r>
    <w:r w:rsidR="001C4371" w:rsidRPr="001C4371">
      <w:rPr>
        <w:rFonts w:cs="FrankRuehl"/>
        <w:noProof/>
        <w:sz w:val="20"/>
        <w:szCs w:val="20"/>
        <w:rtl/>
        <w:lang w:val="he-IL"/>
      </w:rPr>
      <w:t>129</w:t>
    </w:r>
    <w:r w:rsidRPr="00050871">
      <w:rPr>
        <w:rFonts w:cs="FrankRueh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40D" w:rsidRDefault="0022140D" w:rsidP="00904234">
      <w:pPr>
        <w:spacing w:line="240" w:lineRule="auto"/>
      </w:pPr>
      <w:r>
        <w:separator/>
      </w:r>
    </w:p>
  </w:footnote>
  <w:footnote w:type="continuationSeparator" w:id="0">
    <w:p w:rsidR="0022140D" w:rsidRDefault="0022140D" w:rsidP="00904234">
      <w:pPr>
        <w:spacing w:line="240" w:lineRule="auto"/>
      </w:pPr>
      <w:r>
        <w:continuationSeparator/>
      </w:r>
    </w:p>
  </w:footnote>
  <w:footnote w:id="1">
    <w:p w:rsidR="00295974" w:rsidRPr="00022A72" w:rsidRDefault="00295974" w:rsidP="00BC6A5E">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קאסוטו תש"ג,</w:t>
      </w:r>
      <w:r>
        <w:rPr>
          <w:rFonts w:cs="David" w:hint="cs"/>
          <w:sz w:val="18"/>
          <w:rtl/>
        </w:rPr>
        <w:t xml:space="preserve"> עמ'</w:t>
      </w:r>
      <w:r w:rsidRPr="00022A72">
        <w:rPr>
          <w:rFonts w:cs="David" w:hint="cs"/>
          <w:sz w:val="18"/>
          <w:rtl/>
        </w:rPr>
        <w:t xml:space="preserve"> 98. מבין המחקרים האחרונים על יחידה זו, שזכתה לעיסוק נרחב, </w:t>
      </w:r>
      <w:r>
        <w:rPr>
          <w:rFonts w:cs="David" w:hint="cs"/>
          <w:sz w:val="18"/>
          <w:rtl/>
        </w:rPr>
        <w:t xml:space="preserve">ראוי להזכיר </w:t>
      </w:r>
      <w:r w:rsidRPr="00022A72">
        <w:rPr>
          <w:rFonts w:cs="David" w:hint="cs"/>
          <w:sz w:val="18"/>
          <w:rtl/>
        </w:rPr>
        <w:t>את ורוון 1995,</w:t>
      </w:r>
      <w:r>
        <w:rPr>
          <w:rFonts w:cs="David" w:hint="cs"/>
          <w:sz w:val="18"/>
          <w:rtl/>
        </w:rPr>
        <w:t xml:space="preserve"> עמ'</w:t>
      </w:r>
      <w:r w:rsidRPr="00022A72">
        <w:rPr>
          <w:rFonts w:cs="David" w:hint="cs"/>
          <w:sz w:val="18"/>
          <w:rtl/>
        </w:rPr>
        <w:t xml:space="preserve"> 19</w:t>
      </w:r>
      <w:r w:rsidRPr="00022A72">
        <w:rPr>
          <w:rFonts w:cs="David" w:hint="eastAsia"/>
          <w:sz w:val="18"/>
          <w:rtl/>
        </w:rPr>
        <w:t>–</w:t>
      </w:r>
      <w:r w:rsidRPr="00022A72">
        <w:rPr>
          <w:rFonts w:cs="David" w:hint="cs"/>
          <w:sz w:val="18"/>
          <w:rtl/>
        </w:rPr>
        <w:t>40 (במיוחד הספרות שהוא מזכיר בעמ' 21 הע</w:t>
      </w:r>
      <w:r>
        <w:rPr>
          <w:rFonts w:cs="David" w:hint="cs"/>
          <w:sz w:val="18"/>
          <w:rtl/>
        </w:rPr>
        <w:t>רה</w:t>
      </w:r>
      <w:r w:rsidRPr="00022A72">
        <w:rPr>
          <w:rFonts w:cs="David" w:hint="cs"/>
          <w:sz w:val="18"/>
          <w:rtl/>
        </w:rPr>
        <w:t xml:space="preserve"> 7); זיבאס 1996,</w:t>
      </w:r>
      <w:r>
        <w:rPr>
          <w:rFonts w:cs="David" w:hint="cs"/>
          <w:sz w:val="18"/>
          <w:rtl/>
        </w:rPr>
        <w:t xml:space="preserve"> עמ'</w:t>
      </w:r>
      <w:r w:rsidRPr="00022A72">
        <w:rPr>
          <w:rFonts w:cs="David" w:hint="cs"/>
          <w:sz w:val="18"/>
          <w:rtl/>
        </w:rPr>
        <w:t xml:space="preserve"> 187</w:t>
      </w:r>
      <w:r w:rsidRPr="00022A72">
        <w:rPr>
          <w:rFonts w:cs="David" w:hint="eastAsia"/>
          <w:sz w:val="18"/>
          <w:rtl/>
        </w:rPr>
        <w:t>–</w:t>
      </w:r>
      <w:r w:rsidRPr="00022A72">
        <w:rPr>
          <w:rFonts w:cs="David" w:hint="cs"/>
          <w:sz w:val="18"/>
          <w:rtl/>
        </w:rPr>
        <w:t>199; הנדל 2004,</w:t>
      </w:r>
      <w:r>
        <w:rPr>
          <w:rFonts w:cs="David" w:hint="cs"/>
          <w:sz w:val="18"/>
          <w:rtl/>
        </w:rPr>
        <w:t xml:space="preserve"> עמ'</w:t>
      </w:r>
      <w:r w:rsidRPr="00022A72">
        <w:rPr>
          <w:rFonts w:cs="David" w:hint="cs"/>
          <w:sz w:val="18"/>
          <w:rtl/>
        </w:rPr>
        <w:t xml:space="preserve"> 11–34; ורייט 2005,</w:t>
      </w:r>
      <w:r>
        <w:rPr>
          <w:rFonts w:cs="David" w:hint="cs"/>
          <w:sz w:val="18"/>
          <w:rtl/>
        </w:rPr>
        <w:t xml:space="preserve"> עמ'</w:t>
      </w:r>
      <w:r w:rsidRPr="00022A72">
        <w:rPr>
          <w:rFonts w:cs="David" w:hint="cs"/>
          <w:sz w:val="18"/>
          <w:rtl/>
        </w:rPr>
        <w:t xml:space="preserve"> 51</w:t>
      </w:r>
      <w:r w:rsidRPr="00022A72">
        <w:rPr>
          <w:rFonts w:cs="David"/>
          <w:sz w:val="18"/>
          <w:rtl/>
        </w:rPr>
        <w:softHyphen/>
      </w:r>
      <w:r w:rsidRPr="00022A72">
        <w:rPr>
          <w:rFonts w:cs="David" w:hint="eastAsia"/>
          <w:sz w:val="18"/>
          <w:rtl/>
        </w:rPr>
        <w:t>–</w:t>
      </w:r>
      <w:r w:rsidRPr="00022A72">
        <w:rPr>
          <w:rFonts w:cs="David" w:hint="cs"/>
          <w:sz w:val="18"/>
          <w:rtl/>
        </w:rPr>
        <w:t>95; פוקנר 2008,</w:t>
      </w:r>
      <w:r>
        <w:rPr>
          <w:rFonts w:cs="David" w:hint="cs"/>
          <w:sz w:val="18"/>
          <w:rtl/>
        </w:rPr>
        <w:t xml:space="preserve"> עמ'</w:t>
      </w:r>
      <w:r w:rsidRPr="00022A72">
        <w:rPr>
          <w:rFonts w:cs="David" w:hint="cs"/>
          <w:sz w:val="18"/>
          <w:rtl/>
        </w:rPr>
        <w:t xml:space="preserve"> 435</w:t>
      </w:r>
      <w:r w:rsidRPr="00022A72">
        <w:rPr>
          <w:rFonts w:cs="David" w:hint="eastAsia"/>
          <w:sz w:val="18"/>
          <w:rtl/>
        </w:rPr>
        <w:t>–</w:t>
      </w:r>
      <w:r w:rsidRPr="00022A72">
        <w:rPr>
          <w:rFonts w:cs="David" w:hint="cs"/>
          <w:sz w:val="18"/>
          <w:rtl/>
        </w:rPr>
        <w:t>456; קמינסקי 2008,</w:t>
      </w:r>
      <w:r>
        <w:rPr>
          <w:rFonts w:cs="David" w:hint="cs"/>
          <w:sz w:val="18"/>
          <w:rtl/>
        </w:rPr>
        <w:t xml:space="preserve"> עמ'</w:t>
      </w:r>
      <w:r w:rsidRPr="00022A72">
        <w:rPr>
          <w:rFonts w:cs="David" w:hint="cs"/>
          <w:sz w:val="18"/>
          <w:rtl/>
        </w:rPr>
        <w:t xml:space="preserve"> 457</w:t>
      </w:r>
      <w:r w:rsidRPr="00022A72">
        <w:rPr>
          <w:rFonts w:cs="David" w:hint="eastAsia"/>
          <w:sz w:val="18"/>
          <w:rtl/>
        </w:rPr>
        <w:t>–</w:t>
      </w:r>
      <w:r w:rsidRPr="00022A72">
        <w:rPr>
          <w:rFonts w:cs="David" w:hint="cs"/>
          <w:sz w:val="18"/>
          <w:rtl/>
        </w:rPr>
        <w:t>473; דה-לונאי 2009,</w:t>
      </w:r>
      <w:r>
        <w:rPr>
          <w:rFonts w:cs="David" w:hint="cs"/>
          <w:sz w:val="18"/>
          <w:rtl/>
        </w:rPr>
        <w:t xml:space="preserve"> עמ'</w:t>
      </w:r>
      <w:r w:rsidRPr="00022A72">
        <w:rPr>
          <w:rFonts w:cs="David" w:hint="cs"/>
          <w:sz w:val="18"/>
          <w:rtl/>
        </w:rPr>
        <w:t xml:space="preserve"> 41</w:t>
      </w:r>
      <w:r w:rsidRPr="00022A72">
        <w:rPr>
          <w:rFonts w:cs="David" w:hint="eastAsia"/>
          <w:sz w:val="18"/>
          <w:rtl/>
        </w:rPr>
        <w:t>–</w:t>
      </w:r>
      <w:r w:rsidRPr="00022A72">
        <w:rPr>
          <w:rFonts w:cs="David" w:hint="cs"/>
          <w:sz w:val="18"/>
          <w:rtl/>
        </w:rPr>
        <w:t>59; בלנקינסופ 2011,</w:t>
      </w:r>
      <w:r>
        <w:rPr>
          <w:rFonts w:cs="David" w:hint="cs"/>
          <w:sz w:val="18"/>
          <w:rtl/>
        </w:rPr>
        <w:t xml:space="preserve"> עמ'</w:t>
      </w:r>
      <w:r w:rsidRPr="00022A72">
        <w:rPr>
          <w:rFonts w:cs="David" w:hint="cs"/>
          <w:sz w:val="18"/>
          <w:rtl/>
        </w:rPr>
        <w:t xml:space="preserve"> 121–130; בירר 2011,</w:t>
      </w:r>
      <w:r>
        <w:rPr>
          <w:rFonts w:cs="David" w:hint="cs"/>
          <w:sz w:val="18"/>
          <w:rtl/>
        </w:rPr>
        <w:t xml:space="preserve"> עמ'</w:t>
      </w:r>
      <w:r w:rsidRPr="00022A72">
        <w:rPr>
          <w:rFonts w:cs="David" w:hint="cs"/>
          <w:sz w:val="18"/>
          <w:rtl/>
        </w:rPr>
        <w:t xml:space="preserve"> 495</w:t>
      </w:r>
      <w:r w:rsidRPr="00022A72">
        <w:rPr>
          <w:rFonts w:cs="David" w:hint="eastAsia"/>
          <w:sz w:val="18"/>
          <w:rtl/>
        </w:rPr>
        <w:t>–</w:t>
      </w:r>
      <w:r w:rsidRPr="00022A72">
        <w:rPr>
          <w:rFonts w:cs="David" w:hint="cs"/>
          <w:sz w:val="18"/>
          <w:rtl/>
        </w:rPr>
        <w:t>515</w:t>
      </w:r>
      <w:r>
        <w:rPr>
          <w:rFonts w:cs="David" w:hint="cs"/>
          <w:sz w:val="18"/>
          <w:rtl/>
        </w:rPr>
        <w:t>,</w:t>
      </w:r>
      <w:r w:rsidRPr="00022A72">
        <w:rPr>
          <w:rFonts w:cs="David" w:hint="cs"/>
          <w:sz w:val="18"/>
          <w:rtl/>
        </w:rPr>
        <w:t xml:space="preserve"> והספרות הנזכרת אצלם.</w:t>
      </w:r>
    </w:p>
  </w:footnote>
  <w:footnote w:id="2">
    <w:p w:rsidR="00295974" w:rsidRPr="00022A72" w:rsidRDefault="00295974" w:rsidP="00BC6A5E">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ראו למשל גונקל 1910,</w:t>
      </w:r>
      <w:r>
        <w:rPr>
          <w:rFonts w:cs="David" w:hint="cs"/>
          <w:sz w:val="18"/>
          <w:rtl/>
        </w:rPr>
        <w:t xml:space="preserve"> עמ'</w:t>
      </w:r>
      <w:r w:rsidRPr="00022A72">
        <w:rPr>
          <w:rFonts w:cs="David" w:hint="cs"/>
          <w:sz w:val="18"/>
          <w:rtl/>
        </w:rPr>
        <w:t xml:space="preserve"> 59; סקינר 1930,</w:t>
      </w:r>
      <w:r>
        <w:rPr>
          <w:rFonts w:cs="David" w:hint="cs"/>
          <w:sz w:val="18"/>
          <w:rtl/>
        </w:rPr>
        <w:t xml:space="preserve"> עמ'</w:t>
      </w:r>
      <w:r w:rsidRPr="00022A72">
        <w:rPr>
          <w:rFonts w:cs="David" w:hint="cs"/>
          <w:sz w:val="18"/>
          <w:rtl/>
        </w:rPr>
        <w:t xml:space="preserve"> 139; הנדל 2004,</w:t>
      </w:r>
      <w:r>
        <w:rPr>
          <w:rFonts w:cs="David" w:hint="cs"/>
          <w:sz w:val="18"/>
          <w:rtl/>
        </w:rPr>
        <w:t xml:space="preserve"> עמ'</w:t>
      </w:r>
      <w:r w:rsidRPr="00022A72">
        <w:rPr>
          <w:rFonts w:cs="David" w:hint="cs"/>
          <w:sz w:val="18"/>
          <w:rtl/>
        </w:rPr>
        <w:t xml:space="preserve"> 11; בלנקינסופ 2011,</w:t>
      </w:r>
      <w:r>
        <w:rPr>
          <w:rFonts w:cs="David" w:hint="cs"/>
          <w:sz w:val="18"/>
          <w:rtl/>
        </w:rPr>
        <w:t xml:space="preserve"> עמ'</w:t>
      </w:r>
      <w:r w:rsidRPr="00022A72">
        <w:rPr>
          <w:rFonts w:cs="David" w:hint="cs"/>
          <w:sz w:val="18"/>
          <w:rtl/>
        </w:rPr>
        <w:t xml:space="preserve"> 121.</w:t>
      </w:r>
    </w:p>
  </w:footnote>
  <w:footnote w:id="3">
    <w:p w:rsidR="00295974" w:rsidRPr="00022A72" w:rsidRDefault="00295974" w:rsidP="00BC6A5E">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 xml:space="preserve">במחקר העולם הקלסי עמדה על </w:t>
      </w:r>
      <w:r w:rsidRPr="00022A72">
        <w:rPr>
          <w:rFonts w:cs="David" w:hint="cs"/>
          <w:sz w:val="18"/>
          <w:rtl/>
        </w:rPr>
        <w:t>הקבלה זו בעיקר סקודל 1982,</w:t>
      </w:r>
      <w:r>
        <w:rPr>
          <w:rFonts w:cs="David" w:hint="cs"/>
          <w:sz w:val="18"/>
          <w:rtl/>
        </w:rPr>
        <w:t xml:space="preserve"> עמ'</w:t>
      </w:r>
      <w:r w:rsidRPr="00022A72">
        <w:rPr>
          <w:rFonts w:cs="David" w:hint="cs"/>
          <w:sz w:val="18"/>
          <w:rtl/>
        </w:rPr>
        <w:t xml:space="preserve"> 33</w:t>
      </w:r>
      <w:r w:rsidRPr="00022A72">
        <w:rPr>
          <w:rFonts w:cs="David" w:hint="eastAsia"/>
          <w:sz w:val="18"/>
          <w:rtl/>
        </w:rPr>
        <w:t>–</w:t>
      </w:r>
      <w:r w:rsidRPr="00022A72">
        <w:rPr>
          <w:rFonts w:cs="David" w:hint="cs"/>
          <w:sz w:val="18"/>
          <w:rtl/>
        </w:rPr>
        <w:t>50, במיוחד</w:t>
      </w:r>
      <w:r>
        <w:rPr>
          <w:rFonts w:cs="David" w:hint="cs"/>
          <w:sz w:val="18"/>
          <w:rtl/>
        </w:rPr>
        <w:t xml:space="preserve"> עמ'</w:t>
      </w:r>
      <w:r w:rsidRPr="00022A72">
        <w:rPr>
          <w:rFonts w:cs="David" w:hint="cs"/>
          <w:sz w:val="18"/>
          <w:rtl/>
        </w:rPr>
        <w:t xml:space="preserve"> 42, בעקבות וסט 1971,</w:t>
      </w:r>
      <w:r>
        <w:rPr>
          <w:rFonts w:cs="David" w:hint="cs"/>
          <w:sz w:val="18"/>
          <w:rtl/>
        </w:rPr>
        <w:t xml:space="preserve"> עמ'</w:t>
      </w:r>
      <w:r w:rsidRPr="00022A72">
        <w:rPr>
          <w:rFonts w:cs="David" w:hint="cs"/>
          <w:sz w:val="18"/>
          <w:rtl/>
        </w:rPr>
        <w:t xml:space="preserve"> 43 הע</w:t>
      </w:r>
      <w:r>
        <w:rPr>
          <w:rFonts w:cs="David" w:hint="cs"/>
          <w:sz w:val="18"/>
          <w:rtl/>
        </w:rPr>
        <w:t>רה</w:t>
      </w:r>
      <w:r w:rsidRPr="00022A72">
        <w:rPr>
          <w:rFonts w:cs="David" w:hint="cs"/>
          <w:sz w:val="18"/>
          <w:rtl/>
        </w:rPr>
        <w:t xml:space="preserve"> 3. ראו גם בורקרט 1992,</w:t>
      </w:r>
      <w:r>
        <w:rPr>
          <w:rFonts w:cs="David" w:hint="cs"/>
          <w:sz w:val="18"/>
          <w:rtl/>
        </w:rPr>
        <w:t xml:space="preserve"> עמ'</w:t>
      </w:r>
      <w:r w:rsidRPr="00022A72">
        <w:rPr>
          <w:rFonts w:cs="David" w:hint="cs"/>
          <w:sz w:val="18"/>
          <w:rtl/>
        </w:rPr>
        <w:t xml:space="preserve"> 102; קונן 1994,</w:t>
      </w:r>
      <w:r>
        <w:rPr>
          <w:rFonts w:cs="David" w:hint="cs"/>
          <w:sz w:val="18"/>
          <w:rtl/>
        </w:rPr>
        <w:t xml:space="preserve"> עמ'</w:t>
      </w:r>
      <w:r w:rsidRPr="00022A72">
        <w:rPr>
          <w:rFonts w:cs="David" w:hint="cs"/>
          <w:sz w:val="18"/>
          <w:rtl/>
        </w:rPr>
        <w:t xml:space="preserve"> 28</w:t>
      </w:r>
      <w:r w:rsidRPr="00022A72">
        <w:rPr>
          <w:rFonts w:cs="David" w:hint="eastAsia"/>
          <w:sz w:val="18"/>
          <w:rtl/>
        </w:rPr>
        <w:t>–</w:t>
      </w:r>
      <w:r w:rsidRPr="00022A72">
        <w:rPr>
          <w:rFonts w:cs="David" w:hint="cs"/>
          <w:sz w:val="18"/>
          <w:rtl/>
        </w:rPr>
        <w:t>31; וסט 1997,</w:t>
      </w:r>
      <w:r>
        <w:rPr>
          <w:rFonts w:cs="David" w:hint="cs"/>
          <w:sz w:val="18"/>
          <w:rtl/>
        </w:rPr>
        <w:t xml:space="preserve"> עמ'</w:t>
      </w:r>
      <w:r w:rsidRPr="00022A72">
        <w:rPr>
          <w:rFonts w:cs="David" w:hint="cs"/>
          <w:sz w:val="18"/>
          <w:rtl/>
        </w:rPr>
        <w:t xml:space="preserve"> 117</w:t>
      </w:r>
      <w:r w:rsidRPr="00022A72">
        <w:rPr>
          <w:rFonts w:cs="David" w:hint="eastAsia"/>
          <w:sz w:val="18"/>
          <w:rtl/>
        </w:rPr>
        <w:t>–</w:t>
      </w:r>
      <w:r w:rsidRPr="00022A72">
        <w:rPr>
          <w:rFonts w:cs="David" w:hint="cs"/>
          <w:sz w:val="18"/>
          <w:rtl/>
        </w:rPr>
        <w:t>118, 480</w:t>
      </w:r>
      <w:r w:rsidRPr="00022A72">
        <w:rPr>
          <w:rFonts w:cs="David" w:hint="eastAsia"/>
          <w:sz w:val="18"/>
          <w:rtl/>
        </w:rPr>
        <w:t>–</w:t>
      </w:r>
      <w:r w:rsidRPr="00022A72">
        <w:rPr>
          <w:rFonts w:cs="David" w:hint="cs"/>
          <w:sz w:val="18"/>
          <w:rtl/>
        </w:rPr>
        <w:t xml:space="preserve">481; פינקלברג 2005, </w:t>
      </w:r>
      <w:r>
        <w:rPr>
          <w:rFonts w:cs="David" w:hint="cs"/>
          <w:sz w:val="18"/>
          <w:rtl/>
        </w:rPr>
        <w:t xml:space="preserve">עמ' </w:t>
      </w:r>
      <w:r w:rsidRPr="00022A72">
        <w:rPr>
          <w:rFonts w:cs="David" w:hint="cs"/>
          <w:sz w:val="18"/>
          <w:rtl/>
        </w:rPr>
        <w:t>162. בחקר המקרא הלכו בעקבות סקודל בעיקר הנדל 1987</w:t>
      </w:r>
      <w:r w:rsidR="00F366CE" w:rsidRPr="00F366CE">
        <w:rPr>
          <w:rFonts w:cs="David" w:hint="cs"/>
          <w:sz w:val="18"/>
          <w:vertAlign w:val="subscript"/>
          <w:rtl/>
        </w:rPr>
        <w:t>א</w:t>
      </w:r>
      <w:r w:rsidRPr="00022A72">
        <w:rPr>
          <w:rFonts w:cs="David" w:hint="cs"/>
          <w:sz w:val="18"/>
          <w:rtl/>
        </w:rPr>
        <w:t>,</w:t>
      </w:r>
      <w:r>
        <w:rPr>
          <w:rFonts w:cs="David" w:hint="cs"/>
          <w:sz w:val="18"/>
          <w:rtl/>
        </w:rPr>
        <w:t xml:space="preserve"> עמ'</w:t>
      </w:r>
      <w:r w:rsidRPr="00022A72">
        <w:rPr>
          <w:rFonts w:cs="David" w:hint="cs"/>
          <w:sz w:val="18"/>
          <w:rtl/>
        </w:rPr>
        <w:t xml:space="preserve"> 13</w:t>
      </w:r>
      <w:r w:rsidRPr="00022A72">
        <w:rPr>
          <w:rFonts w:cs="David" w:hint="eastAsia"/>
          <w:sz w:val="18"/>
          <w:rtl/>
        </w:rPr>
        <w:t>–</w:t>
      </w:r>
      <w:r w:rsidRPr="00022A72">
        <w:rPr>
          <w:rFonts w:cs="David" w:hint="cs"/>
          <w:sz w:val="18"/>
          <w:rtl/>
        </w:rPr>
        <w:t>26; הנדל 2004,</w:t>
      </w:r>
      <w:r>
        <w:rPr>
          <w:rFonts w:cs="David" w:hint="cs"/>
          <w:sz w:val="18"/>
          <w:rtl/>
        </w:rPr>
        <w:t xml:space="preserve"> עמ'</w:t>
      </w:r>
      <w:r w:rsidRPr="00022A72">
        <w:rPr>
          <w:rFonts w:cs="David" w:hint="cs"/>
          <w:sz w:val="18"/>
          <w:rtl/>
        </w:rPr>
        <w:t xml:space="preserve"> עמ' 30</w:t>
      </w:r>
      <w:r w:rsidRPr="00022A72">
        <w:rPr>
          <w:rFonts w:cs="David" w:hint="eastAsia"/>
          <w:sz w:val="18"/>
          <w:rtl/>
        </w:rPr>
        <w:t>–</w:t>
      </w:r>
      <w:r w:rsidRPr="00022A72">
        <w:rPr>
          <w:rFonts w:cs="David" w:hint="cs"/>
          <w:sz w:val="18"/>
          <w:rtl/>
        </w:rPr>
        <w:t>32; ון-סיטרס 1988,</w:t>
      </w:r>
      <w:r>
        <w:rPr>
          <w:rFonts w:cs="David" w:hint="cs"/>
          <w:sz w:val="18"/>
          <w:rtl/>
        </w:rPr>
        <w:t xml:space="preserve"> עמ'</w:t>
      </w:r>
      <w:r w:rsidRPr="00022A72">
        <w:rPr>
          <w:rFonts w:cs="David" w:hint="cs"/>
          <w:sz w:val="18"/>
          <w:rtl/>
        </w:rPr>
        <w:t xml:space="preserve"> 1</w:t>
      </w:r>
      <w:r w:rsidRPr="00022A72">
        <w:rPr>
          <w:rFonts w:cs="David" w:hint="eastAsia"/>
          <w:sz w:val="18"/>
          <w:rtl/>
        </w:rPr>
        <w:t>–</w:t>
      </w:r>
      <w:r w:rsidRPr="00022A72">
        <w:rPr>
          <w:rFonts w:cs="David" w:hint="cs"/>
          <w:sz w:val="18"/>
          <w:rtl/>
        </w:rPr>
        <w:t>22, במיוחד עמ' 4</w:t>
      </w:r>
      <w:r w:rsidRPr="00022A72">
        <w:rPr>
          <w:rFonts w:cs="David" w:hint="eastAsia"/>
          <w:sz w:val="18"/>
          <w:rtl/>
        </w:rPr>
        <w:t>–</w:t>
      </w:r>
      <w:r w:rsidRPr="00022A72">
        <w:rPr>
          <w:rFonts w:cs="David" w:hint="cs"/>
          <w:sz w:val="18"/>
          <w:rtl/>
        </w:rPr>
        <w:t>9; ון-סיטרס 1992,</w:t>
      </w:r>
      <w:r>
        <w:rPr>
          <w:rFonts w:cs="David" w:hint="cs"/>
          <w:sz w:val="18"/>
          <w:rtl/>
        </w:rPr>
        <w:t xml:space="preserve"> עמ'</w:t>
      </w:r>
      <w:r w:rsidRPr="00022A72">
        <w:rPr>
          <w:rFonts w:cs="David" w:hint="cs"/>
          <w:sz w:val="18"/>
          <w:rtl/>
        </w:rPr>
        <w:t xml:space="preserve"> 155</w:t>
      </w:r>
      <w:r w:rsidRPr="00022A72">
        <w:rPr>
          <w:rFonts w:cs="David" w:hint="eastAsia"/>
          <w:sz w:val="18"/>
          <w:rtl/>
        </w:rPr>
        <w:t>–</w:t>
      </w:r>
      <w:r w:rsidRPr="00022A72">
        <w:rPr>
          <w:rFonts w:cs="David" w:hint="cs"/>
          <w:sz w:val="18"/>
          <w:rtl/>
        </w:rPr>
        <w:t>158</w:t>
      </w:r>
      <w:r>
        <w:rPr>
          <w:rFonts w:cs="David" w:hint="cs"/>
          <w:sz w:val="18"/>
          <w:rtl/>
        </w:rPr>
        <w:t>,</w:t>
      </w:r>
      <w:r w:rsidRPr="00022A72">
        <w:rPr>
          <w:rFonts w:cs="David" w:hint="cs"/>
          <w:sz w:val="18"/>
          <w:rtl/>
        </w:rPr>
        <w:t xml:space="preserve"> וטיפלו ביחידה בדרכים שונות. חוקרים אחרים הצביעו על הקבלות פחות רלוונטיות מן העולם היווני. ראו למשל גרופה 1889,</w:t>
      </w:r>
      <w:r>
        <w:rPr>
          <w:rFonts w:cs="David" w:hint="cs"/>
          <w:sz w:val="18"/>
          <w:rtl/>
        </w:rPr>
        <w:t xml:space="preserve"> עמ'</w:t>
      </w:r>
      <w:r w:rsidRPr="00022A72">
        <w:rPr>
          <w:rFonts w:cs="David" w:hint="cs"/>
          <w:sz w:val="18"/>
          <w:rtl/>
        </w:rPr>
        <w:t xml:space="preserve"> 328</w:t>
      </w:r>
      <w:r w:rsidRPr="00022A72">
        <w:rPr>
          <w:rFonts w:cs="David"/>
          <w:sz w:val="18"/>
          <w:rtl/>
        </w:rPr>
        <w:softHyphen/>
      </w:r>
      <w:r w:rsidRPr="00022A72">
        <w:rPr>
          <w:rFonts w:cs="David" w:hint="eastAsia"/>
          <w:sz w:val="18"/>
          <w:rtl/>
        </w:rPr>
        <w:t>–</w:t>
      </w:r>
      <w:r w:rsidRPr="00022A72">
        <w:rPr>
          <w:rFonts w:cs="David" w:hint="cs"/>
          <w:sz w:val="18"/>
          <w:rtl/>
        </w:rPr>
        <w:t>343</w:t>
      </w:r>
      <w:r>
        <w:rPr>
          <w:rFonts w:cs="David" w:hint="cs"/>
          <w:sz w:val="18"/>
          <w:rtl/>
        </w:rPr>
        <w:t>;</w:t>
      </w:r>
      <w:r w:rsidRPr="00022A72">
        <w:rPr>
          <w:rFonts w:cs="David" w:hint="cs"/>
          <w:sz w:val="18"/>
          <w:rtl/>
        </w:rPr>
        <w:t xml:space="preserve"> והשוו גרופה 1889,</w:t>
      </w:r>
      <w:r>
        <w:rPr>
          <w:rFonts w:cs="David" w:hint="cs"/>
          <w:sz w:val="18"/>
          <w:rtl/>
        </w:rPr>
        <w:t xml:space="preserve"> עמ'</w:t>
      </w:r>
      <w:r w:rsidRPr="00022A72">
        <w:rPr>
          <w:rFonts w:cs="David" w:hint="cs"/>
          <w:sz w:val="18"/>
          <w:rtl/>
        </w:rPr>
        <w:t xml:space="preserve"> 135</w:t>
      </w:r>
      <w:r w:rsidRPr="00022A72">
        <w:rPr>
          <w:rFonts w:cs="David" w:hint="eastAsia"/>
          <w:sz w:val="18"/>
          <w:rtl/>
        </w:rPr>
        <w:t>–</w:t>
      </w:r>
      <w:r w:rsidRPr="00022A72">
        <w:rPr>
          <w:rFonts w:cs="David" w:hint="cs"/>
          <w:sz w:val="18"/>
          <w:rtl/>
        </w:rPr>
        <w:t>155; ברטלמוס 1979,</w:t>
      </w:r>
      <w:r>
        <w:rPr>
          <w:rFonts w:cs="David" w:hint="cs"/>
          <w:sz w:val="18"/>
          <w:rtl/>
        </w:rPr>
        <w:t xml:space="preserve"> עמ'</w:t>
      </w:r>
      <w:r w:rsidRPr="00022A72">
        <w:rPr>
          <w:rFonts w:cs="David" w:hint="cs"/>
          <w:sz w:val="18"/>
          <w:rtl/>
        </w:rPr>
        <w:t xml:space="preserve"> 60</w:t>
      </w:r>
      <w:r w:rsidRPr="00022A72">
        <w:rPr>
          <w:rFonts w:cs="David" w:hint="eastAsia"/>
          <w:sz w:val="18"/>
          <w:rtl/>
        </w:rPr>
        <w:t>–</w:t>
      </w:r>
      <w:r w:rsidRPr="00022A72">
        <w:rPr>
          <w:rFonts w:cs="David" w:hint="cs"/>
          <w:sz w:val="18"/>
          <w:rtl/>
        </w:rPr>
        <w:t xml:space="preserve">78; </w:t>
      </w:r>
      <w:r w:rsidR="008354E5">
        <w:rPr>
          <w:rFonts w:cs="David" w:hint="cs"/>
          <w:sz w:val="18"/>
          <w:rtl/>
        </w:rPr>
        <w:t>ברמר 2008</w:t>
      </w:r>
      <w:r w:rsidR="008354E5" w:rsidRPr="002B18A1">
        <w:rPr>
          <w:rFonts w:cs="David" w:hint="cs"/>
          <w:sz w:val="18"/>
          <w:vertAlign w:val="subscript"/>
          <w:rtl/>
        </w:rPr>
        <w:t>א</w:t>
      </w:r>
      <w:r w:rsidR="008354E5">
        <w:rPr>
          <w:rFonts w:cs="David" w:hint="cs"/>
          <w:sz w:val="18"/>
          <w:rtl/>
        </w:rPr>
        <w:t xml:space="preserve">, עמ' 73–99; </w:t>
      </w:r>
      <w:r w:rsidRPr="00022A72">
        <w:rPr>
          <w:rFonts w:cs="David" w:hint="cs"/>
          <w:sz w:val="18"/>
          <w:rtl/>
        </w:rPr>
        <w:t>שולה 2009,</w:t>
      </w:r>
      <w:r>
        <w:rPr>
          <w:rFonts w:cs="David" w:hint="cs"/>
          <w:sz w:val="18"/>
          <w:rtl/>
        </w:rPr>
        <w:t xml:space="preserve"> עמ'</w:t>
      </w:r>
      <w:r w:rsidRPr="00022A72">
        <w:rPr>
          <w:rFonts w:cs="David" w:hint="cs"/>
          <w:sz w:val="18"/>
          <w:rtl/>
        </w:rPr>
        <w:t xml:space="preserve"> 116</w:t>
      </w:r>
      <w:r w:rsidRPr="00022A72">
        <w:rPr>
          <w:rFonts w:cs="David" w:hint="eastAsia"/>
          <w:sz w:val="18"/>
          <w:rtl/>
        </w:rPr>
        <w:t>–</w:t>
      </w:r>
      <w:r w:rsidRPr="00022A72">
        <w:rPr>
          <w:rFonts w:cs="David" w:hint="cs"/>
          <w:sz w:val="18"/>
          <w:rtl/>
        </w:rPr>
        <w:t>128.</w:t>
      </w:r>
    </w:p>
  </w:footnote>
  <w:footnote w:id="4">
    <w:p w:rsidR="00295974" w:rsidRPr="00022A72" w:rsidRDefault="00295974" w:rsidP="00C94C46">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הביטוי בא שוב בדב' לב 8 (בגרסת תרגום השבעים וקומראן [</w:t>
      </w:r>
      <w:r w:rsidRPr="00022A72">
        <w:rPr>
          <w:rFonts w:cs="David"/>
          <w:sz w:val="18"/>
        </w:rPr>
        <w:t>4QDeut</w:t>
      </w:r>
      <w:r w:rsidRPr="00022A72">
        <w:rPr>
          <w:rFonts w:cs="David"/>
          <w:sz w:val="18"/>
          <w:vertAlign w:val="superscript"/>
        </w:rPr>
        <w:t>j</w:t>
      </w:r>
      <w:r w:rsidRPr="00022A72">
        <w:rPr>
          <w:rFonts w:cs="David" w:hint="cs"/>
          <w:sz w:val="18"/>
          <w:rtl/>
        </w:rPr>
        <w:t xml:space="preserve">]); איוב א 6, ב 1, </w:t>
      </w:r>
      <w:r w:rsidRPr="00022A72">
        <w:rPr>
          <w:rFonts w:cs="David" w:hint="cs"/>
          <w:sz w:val="18"/>
          <w:rtl/>
        </w:rPr>
        <w:t>לח 7;</w:t>
      </w:r>
      <w:r>
        <w:rPr>
          <w:rFonts w:cs="David" w:hint="cs"/>
          <w:sz w:val="18"/>
          <w:rtl/>
        </w:rPr>
        <w:t xml:space="preserve"> ו"</w:t>
      </w:r>
      <w:r w:rsidRPr="00022A72">
        <w:rPr>
          <w:rFonts w:cs="David" w:hint="cs"/>
          <w:sz w:val="18"/>
          <w:rtl/>
        </w:rPr>
        <w:t>בר אלהין</w:t>
      </w:r>
      <w:r>
        <w:rPr>
          <w:rFonts w:cs="David" w:hint="cs"/>
          <w:sz w:val="18"/>
          <w:rtl/>
        </w:rPr>
        <w:t>"</w:t>
      </w:r>
      <w:r w:rsidRPr="00022A72">
        <w:rPr>
          <w:rFonts w:cs="David" w:hint="cs"/>
          <w:sz w:val="18"/>
          <w:rtl/>
        </w:rPr>
        <w:t xml:space="preserve"> בדנ' ג 25. ביטוי קרוב לו במקרא הוא </w:t>
      </w:r>
      <w:r>
        <w:rPr>
          <w:rFonts w:cs="David" w:hint="cs"/>
          <w:sz w:val="18"/>
          <w:rtl/>
        </w:rPr>
        <w:t>"</w:t>
      </w:r>
      <w:r w:rsidRPr="00022A72">
        <w:rPr>
          <w:rFonts w:cs="David" w:hint="cs"/>
          <w:sz w:val="18"/>
          <w:rtl/>
        </w:rPr>
        <w:t>בני אלים</w:t>
      </w:r>
      <w:r>
        <w:rPr>
          <w:rFonts w:cs="David" w:hint="cs"/>
          <w:sz w:val="18"/>
          <w:rtl/>
        </w:rPr>
        <w:t>"</w:t>
      </w:r>
      <w:r w:rsidRPr="00022A72">
        <w:rPr>
          <w:rFonts w:cs="David" w:hint="cs"/>
          <w:sz w:val="18"/>
          <w:rtl/>
        </w:rPr>
        <w:t xml:space="preserve"> (תה' כט 1, פט 7), המוכר גם מאין-ספור היקרויות מספרות אוגרית (</w:t>
      </w:r>
      <w:proofErr w:type="spellStart"/>
      <w:r w:rsidRPr="00022A72">
        <w:rPr>
          <w:rFonts w:cs="David"/>
          <w:i/>
          <w:iCs/>
          <w:sz w:val="18"/>
        </w:rPr>
        <w:t>bn</w:t>
      </w:r>
      <w:proofErr w:type="spellEnd"/>
      <w:r w:rsidRPr="00022A72">
        <w:rPr>
          <w:rFonts w:cs="David"/>
          <w:i/>
          <w:iCs/>
          <w:sz w:val="18"/>
        </w:rPr>
        <w:t xml:space="preserve"> </w:t>
      </w:r>
      <w:proofErr w:type="spellStart"/>
      <w:r w:rsidRPr="00022A72">
        <w:rPr>
          <w:rFonts w:cs="David"/>
          <w:i/>
          <w:iCs/>
          <w:sz w:val="18"/>
        </w:rPr>
        <w:t>ʾilm</w:t>
      </w:r>
      <w:proofErr w:type="spellEnd"/>
      <w:r w:rsidRPr="00022A72">
        <w:rPr>
          <w:rFonts w:cs="David" w:hint="cs"/>
          <w:sz w:val="18"/>
          <w:rtl/>
        </w:rPr>
        <w:t>) ומציין את פנת</w:t>
      </w:r>
      <w:r>
        <w:rPr>
          <w:rFonts w:cs="David" w:hint="cs"/>
          <w:sz w:val="18"/>
          <w:rtl/>
        </w:rPr>
        <w:t>י</w:t>
      </w:r>
      <w:r w:rsidRPr="00022A72">
        <w:rPr>
          <w:rFonts w:cs="David" w:hint="cs"/>
          <w:sz w:val="18"/>
          <w:rtl/>
        </w:rPr>
        <w:t>און האלים. מונח זה נמצא גם בכתובת הפ</w:t>
      </w:r>
      <w:r>
        <w:rPr>
          <w:rFonts w:cs="David" w:hint="cs"/>
          <w:sz w:val="18"/>
          <w:rtl/>
        </w:rPr>
        <w:t>י</w:t>
      </w:r>
      <w:r w:rsidRPr="00022A72">
        <w:rPr>
          <w:rFonts w:cs="David" w:hint="cs"/>
          <w:sz w:val="18"/>
          <w:rtl/>
        </w:rPr>
        <w:t>ניקיות ממאות ח' וז' לפסה"נ: כתובת אזתוד (</w:t>
      </w:r>
      <w:r w:rsidRPr="00022A72">
        <w:rPr>
          <w:rFonts w:cs="David"/>
          <w:i/>
          <w:iCs/>
          <w:sz w:val="18"/>
        </w:rPr>
        <w:t>KAI</w:t>
      </w:r>
      <w:r w:rsidRPr="00022A72">
        <w:rPr>
          <w:rFonts w:cs="David"/>
          <w:sz w:val="18"/>
        </w:rPr>
        <w:t xml:space="preserve"> 26 A III 19</w:t>
      </w:r>
      <w:r w:rsidRPr="00022A72">
        <w:rPr>
          <w:rFonts w:cs="David" w:hint="cs"/>
          <w:sz w:val="18"/>
          <w:rtl/>
        </w:rPr>
        <w:t>) וכתובת ארסלאן-טאש 1 (</w:t>
      </w:r>
      <w:r w:rsidRPr="00022A72">
        <w:rPr>
          <w:rFonts w:cs="David"/>
          <w:i/>
          <w:iCs/>
          <w:sz w:val="18"/>
        </w:rPr>
        <w:t>KAI</w:t>
      </w:r>
      <w:r w:rsidRPr="00022A72">
        <w:rPr>
          <w:rFonts w:cs="David"/>
          <w:sz w:val="18"/>
        </w:rPr>
        <w:t xml:space="preserve"> 27.11</w:t>
      </w:r>
      <w:r w:rsidRPr="00022A72">
        <w:rPr>
          <w:rFonts w:cs="David" w:hint="cs"/>
          <w:sz w:val="18"/>
          <w:rtl/>
        </w:rPr>
        <w:t>), וכן בכתובת עמונית ממאה ח' לפסה"נ (</w:t>
      </w:r>
      <w:r>
        <w:rPr>
          <w:rFonts w:cs="David" w:hint="cs"/>
          <w:sz w:val="18"/>
          <w:rtl/>
        </w:rPr>
        <w:t>"</w:t>
      </w:r>
      <w:r w:rsidRPr="00022A72">
        <w:rPr>
          <w:rFonts w:cs="David" w:hint="cs"/>
          <w:sz w:val="18"/>
          <w:rtl/>
        </w:rPr>
        <w:t>תשתע בבנ אלמ</w:t>
      </w:r>
      <w:r>
        <w:rPr>
          <w:rFonts w:cs="David" w:hint="cs"/>
          <w:sz w:val="18"/>
          <w:rtl/>
        </w:rPr>
        <w:t>"</w:t>
      </w:r>
      <w:r w:rsidRPr="00022A72">
        <w:rPr>
          <w:rFonts w:cs="David" w:hint="cs"/>
          <w:sz w:val="18"/>
          <w:rtl/>
        </w:rPr>
        <w:t xml:space="preserve">, </w:t>
      </w:r>
      <w:r w:rsidRPr="00022A72">
        <w:rPr>
          <w:rFonts w:cs="David"/>
          <w:i/>
          <w:iCs/>
          <w:sz w:val="18"/>
        </w:rPr>
        <w:t>KAI</w:t>
      </w:r>
      <w:r w:rsidRPr="00022A72">
        <w:rPr>
          <w:rFonts w:cs="David"/>
          <w:sz w:val="18"/>
        </w:rPr>
        <w:t xml:space="preserve"> 307.6</w:t>
      </w:r>
      <w:r w:rsidRPr="00022A72">
        <w:rPr>
          <w:rFonts w:cs="David" w:hint="cs"/>
          <w:sz w:val="18"/>
          <w:rtl/>
        </w:rPr>
        <w:t>). בחלק מן הכתובות השמיות-מערביות, כמו במקרא, הצירוף מתייחס לעתים לעדת האלים הכפופים לראש האלים. סקירה של פירושים אחרים ומוטעים שהוצעו במהלך הדורות ראו למשל אצל קאסוטו תש"ג,</w:t>
      </w:r>
      <w:r>
        <w:rPr>
          <w:rFonts w:cs="David" w:hint="cs"/>
          <w:sz w:val="18"/>
          <w:rtl/>
        </w:rPr>
        <w:t xml:space="preserve"> עמ'</w:t>
      </w:r>
      <w:r w:rsidRPr="00022A72">
        <w:rPr>
          <w:rFonts w:cs="David" w:hint="cs"/>
          <w:sz w:val="18"/>
          <w:rtl/>
        </w:rPr>
        <w:t xml:space="preserve"> 99</w:t>
      </w:r>
      <w:r w:rsidRPr="00022A72">
        <w:rPr>
          <w:rFonts w:cs="David" w:hint="eastAsia"/>
          <w:sz w:val="18"/>
          <w:rtl/>
        </w:rPr>
        <w:t>–10</w:t>
      </w:r>
      <w:r w:rsidRPr="00022A72">
        <w:rPr>
          <w:rFonts w:cs="David" w:hint="cs"/>
          <w:sz w:val="18"/>
          <w:rtl/>
        </w:rPr>
        <w:t>1. גם כתובים אחרים ברצף היהוויסטי מזכירים פָּמַל</w:t>
      </w:r>
      <w:r w:rsidR="00C52B9E">
        <w:rPr>
          <w:rFonts w:cs="David" w:hint="cs"/>
          <w:sz w:val="18"/>
          <w:rtl/>
        </w:rPr>
        <w:t>ְ</w:t>
      </w:r>
      <w:r w:rsidRPr="00022A72">
        <w:rPr>
          <w:rFonts w:cs="David" w:hint="cs"/>
          <w:sz w:val="18"/>
          <w:rtl/>
        </w:rPr>
        <w:t>יָה אלוהית בצד ה' (בר' ג 22, יא 7; והשוו בר' א 26 מן הרצף הכוהני), ראו למשל גם מולן 1980; פרקר 1999,</w:t>
      </w:r>
      <w:r>
        <w:rPr>
          <w:rFonts w:cs="David" w:hint="cs"/>
          <w:sz w:val="18"/>
          <w:rtl/>
        </w:rPr>
        <w:t xml:space="preserve"> עמ'</w:t>
      </w:r>
      <w:r w:rsidRPr="00022A72">
        <w:rPr>
          <w:rFonts w:cs="David" w:hint="cs"/>
          <w:sz w:val="18"/>
          <w:rtl/>
        </w:rPr>
        <w:t xml:space="preserve"> 794</w:t>
      </w:r>
      <w:r w:rsidRPr="00022A72">
        <w:rPr>
          <w:rFonts w:cs="David" w:hint="eastAsia"/>
          <w:sz w:val="18"/>
          <w:rtl/>
        </w:rPr>
        <w:t>–</w:t>
      </w:r>
      <w:r w:rsidRPr="00022A72">
        <w:rPr>
          <w:rFonts w:cs="David" w:hint="cs"/>
          <w:sz w:val="18"/>
          <w:rtl/>
        </w:rPr>
        <w:t>800; צ'ו 2007,</w:t>
      </w:r>
      <w:r>
        <w:rPr>
          <w:rFonts w:cs="David" w:hint="cs"/>
          <w:sz w:val="18"/>
          <w:rtl/>
        </w:rPr>
        <w:t xml:space="preserve"> עמ'</w:t>
      </w:r>
      <w:r w:rsidRPr="00022A72">
        <w:rPr>
          <w:rFonts w:cs="David" w:hint="cs"/>
          <w:sz w:val="18"/>
          <w:rtl/>
        </w:rPr>
        <w:t xml:space="preserve"> 112</w:t>
      </w:r>
      <w:r w:rsidRPr="00022A72">
        <w:rPr>
          <w:rFonts w:cs="David" w:hint="eastAsia"/>
          <w:sz w:val="18"/>
          <w:rtl/>
        </w:rPr>
        <w:t>–</w:t>
      </w:r>
      <w:r w:rsidRPr="00022A72">
        <w:rPr>
          <w:rFonts w:cs="David" w:hint="cs"/>
          <w:sz w:val="18"/>
          <w:rtl/>
        </w:rPr>
        <w:t>117 ובמקומות נוספים.</w:t>
      </w:r>
    </w:p>
  </w:footnote>
  <w:footnote w:id="5">
    <w:p w:rsidR="00295974" w:rsidRPr="00022A72" w:rsidRDefault="00295974" w:rsidP="004D5276">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בניגוד לאלו שפירשו כי מספר השנים מתייחס להקצבת תקופת ח</w:t>
      </w:r>
      <w:r>
        <w:rPr>
          <w:rFonts w:cs="David" w:hint="cs"/>
          <w:sz w:val="18"/>
          <w:rtl/>
        </w:rPr>
        <w:t>סד לדור שלפני המבול, כמו רש"י: "</w:t>
      </w:r>
      <w:r w:rsidRPr="00022A72">
        <w:rPr>
          <w:rFonts w:cs="David" w:hint="cs"/>
          <w:sz w:val="18"/>
          <w:rtl/>
        </w:rPr>
        <w:t xml:space="preserve">עד מאה ועשרים שנה אאריך להם אפי, ואם לא ישובו אביא עליהם מבול. ואם תאמר משנולד יפת עד המבול אינו אלא מאה שנה [השוו בר' ה 32, ז 5], אין מוקדם </w:t>
      </w:r>
      <w:r w:rsidRPr="00022A72">
        <w:rPr>
          <w:rFonts w:cs="David" w:hint="cs"/>
          <w:sz w:val="18"/>
          <w:rtl/>
        </w:rPr>
        <w:t>ומאוחר בתורה, כבר היתה הגזירה גזורה עשרים שנה קודם שהוליד נח תולדות</w:t>
      </w:r>
      <w:r>
        <w:rPr>
          <w:rFonts w:cs="David" w:hint="cs"/>
          <w:sz w:val="18"/>
          <w:rtl/>
        </w:rPr>
        <w:t>"</w:t>
      </w:r>
      <w:r w:rsidRPr="00022A72">
        <w:rPr>
          <w:rFonts w:cs="David" w:hint="cs"/>
          <w:sz w:val="18"/>
          <w:rtl/>
        </w:rPr>
        <w:t xml:space="preserve">, ואלה שהלכו בעקבותיו. פירוש זה כבר הופיע אצל חלק מן הפרשנים הקדומים ביותר כמו </w:t>
      </w:r>
      <w:r w:rsidRPr="00022A72">
        <w:rPr>
          <w:rFonts w:cs="David"/>
          <w:sz w:val="18"/>
        </w:rPr>
        <w:t xml:space="preserve">4Q252, col. </w:t>
      </w:r>
      <w:proofErr w:type="gramStart"/>
      <w:r w:rsidRPr="00022A72">
        <w:rPr>
          <w:rFonts w:cs="David"/>
          <w:sz w:val="18"/>
        </w:rPr>
        <w:t>1, ll. 2–3</w:t>
      </w:r>
      <w:r>
        <w:rPr>
          <w:rFonts w:cs="David" w:hint="cs"/>
          <w:sz w:val="18"/>
          <w:rtl/>
        </w:rPr>
        <w:t xml:space="preserve"> ("</w:t>
      </w:r>
      <w:r w:rsidRPr="00022A72">
        <w:rPr>
          <w:rFonts w:cs="David" w:hint="cs"/>
          <w:sz w:val="18"/>
          <w:rtl/>
        </w:rPr>
        <w:t>ויחתכו ימיהם מאה ועשרים שנה עד קץ מי מבול</w:t>
      </w:r>
      <w:r>
        <w:rPr>
          <w:rFonts w:cs="David" w:hint="cs"/>
          <w:sz w:val="18"/>
          <w:rtl/>
        </w:rPr>
        <w:t>").</w:t>
      </w:r>
      <w:proofErr w:type="gramEnd"/>
      <w:r w:rsidRPr="00022A72">
        <w:rPr>
          <w:rFonts w:cs="David" w:hint="cs"/>
          <w:sz w:val="18"/>
          <w:rtl/>
        </w:rPr>
        <w:t xml:space="preserve"> ראו ברוק 1996,</w:t>
      </w:r>
      <w:r>
        <w:rPr>
          <w:rFonts w:cs="David" w:hint="cs"/>
          <w:sz w:val="18"/>
          <w:rtl/>
        </w:rPr>
        <w:t xml:space="preserve"> עמ'</w:t>
      </w:r>
      <w:r w:rsidRPr="00022A72">
        <w:rPr>
          <w:rFonts w:cs="David" w:hint="cs"/>
          <w:sz w:val="18"/>
          <w:rtl/>
        </w:rPr>
        <w:t xml:space="preserve"> 193; תרגום אונקלוס ונ</w:t>
      </w:r>
      <w:r>
        <w:rPr>
          <w:rFonts w:cs="David" w:hint="cs"/>
          <w:sz w:val="18"/>
          <w:rtl/>
        </w:rPr>
        <w:t>י</w:t>
      </w:r>
      <w:r w:rsidRPr="00022A72">
        <w:rPr>
          <w:rFonts w:cs="David" w:hint="cs"/>
          <w:sz w:val="18"/>
          <w:rtl/>
        </w:rPr>
        <w:t>אופיטי. מבין החדשים ראו למשל ספייזר 1964,</w:t>
      </w:r>
      <w:r>
        <w:rPr>
          <w:rFonts w:cs="David" w:hint="cs"/>
          <w:sz w:val="18"/>
          <w:rtl/>
        </w:rPr>
        <w:t xml:space="preserve"> עמ'</w:t>
      </w:r>
      <w:r w:rsidRPr="00022A72">
        <w:rPr>
          <w:rFonts w:cs="David" w:hint="cs"/>
          <w:sz w:val="18"/>
          <w:rtl/>
        </w:rPr>
        <w:t xml:space="preserve"> 46</w:t>
      </w:r>
      <w:r w:rsidR="004D5276">
        <w:rPr>
          <w:rFonts w:cs="David" w:hint="cs"/>
          <w:sz w:val="18"/>
          <w:rtl/>
        </w:rPr>
        <w:t xml:space="preserve">. </w:t>
      </w:r>
      <w:r w:rsidRPr="00022A72">
        <w:rPr>
          <w:rFonts w:cs="David" w:hint="cs"/>
          <w:sz w:val="18"/>
          <w:rtl/>
        </w:rPr>
        <w:t>לביקורת על הסבר זה ראו למשל וסטרמן 1976,</w:t>
      </w:r>
      <w:r>
        <w:rPr>
          <w:rFonts w:cs="David" w:hint="cs"/>
          <w:sz w:val="18"/>
          <w:rtl/>
        </w:rPr>
        <w:t xml:space="preserve"> עמ'</w:t>
      </w:r>
      <w:r w:rsidRPr="00022A72">
        <w:rPr>
          <w:rFonts w:cs="David" w:hint="cs"/>
          <w:sz w:val="18"/>
          <w:rtl/>
        </w:rPr>
        <w:t xml:space="preserve"> 376.</w:t>
      </w:r>
    </w:p>
  </w:footnote>
  <w:footnote w:id="6">
    <w:p w:rsidR="00295974" w:rsidRPr="00022A72" w:rsidRDefault="00295974" w:rsidP="00C94C46">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 xml:space="preserve">למושג 'רוח </w:t>
      </w:r>
      <w:r w:rsidRPr="00022A72">
        <w:rPr>
          <w:rFonts w:cs="David" w:hint="cs"/>
          <w:sz w:val="18"/>
          <w:rtl/>
        </w:rPr>
        <w:t>ה'' בהקשר זה זה ראו קה</w:t>
      </w:r>
      <w:r>
        <w:rPr>
          <w:rFonts w:cs="David" w:hint="cs"/>
          <w:sz w:val="18"/>
          <w:rtl/>
        </w:rPr>
        <w:t>'</w:t>
      </w:r>
      <w:r w:rsidRPr="00022A72">
        <w:rPr>
          <w:rFonts w:cs="David" w:hint="cs"/>
          <w:sz w:val="18"/>
          <w:rtl/>
        </w:rPr>
        <w:t xml:space="preserve"> יב 7</w:t>
      </w:r>
      <w:r>
        <w:rPr>
          <w:rFonts w:cs="David" w:hint="cs"/>
          <w:sz w:val="18"/>
          <w:rtl/>
        </w:rPr>
        <w:t>;</w:t>
      </w:r>
      <w:r w:rsidRPr="00022A72">
        <w:rPr>
          <w:rFonts w:cs="David" w:hint="cs"/>
          <w:sz w:val="18"/>
          <w:rtl/>
        </w:rPr>
        <w:t xml:space="preserve"> והשוו בר' ב 7. ראו גם את הסקירה אצל וסטרמן 1976,</w:t>
      </w:r>
      <w:r>
        <w:rPr>
          <w:rFonts w:cs="David" w:hint="cs"/>
          <w:sz w:val="18"/>
          <w:rtl/>
        </w:rPr>
        <w:t xml:space="preserve"> עמ'</w:t>
      </w:r>
      <w:r w:rsidRPr="00022A72">
        <w:rPr>
          <w:rFonts w:cs="David" w:hint="cs"/>
          <w:sz w:val="18"/>
          <w:rtl/>
        </w:rPr>
        <w:t xml:space="preserve"> 374; טנגסטרם 1990</w:t>
      </w:r>
      <w:r w:rsidRPr="00022A72">
        <w:rPr>
          <w:rFonts w:cs="David" w:hint="eastAsia"/>
          <w:sz w:val="18"/>
          <w:rtl/>
        </w:rPr>
        <w:t>–</w:t>
      </w:r>
      <w:r w:rsidRPr="00022A72">
        <w:rPr>
          <w:rFonts w:cs="David" w:hint="cs"/>
          <w:sz w:val="18"/>
          <w:rtl/>
        </w:rPr>
        <w:t>1992,</w:t>
      </w:r>
      <w:r>
        <w:rPr>
          <w:rFonts w:cs="David" w:hint="cs"/>
          <w:sz w:val="18"/>
          <w:rtl/>
        </w:rPr>
        <w:t xml:space="preserve"> עמ'</w:t>
      </w:r>
      <w:r w:rsidRPr="00022A72">
        <w:rPr>
          <w:rFonts w:cs="David" w:hint="cs"/>
          <w:sz w:val="18"/>
          <w:rtl/>
        </w:rPr>
        <w:t xml:space="preserve"> 386 ואת הספרות העשירה הנזכרת </w:t>
      </w:r>
      <w:r>
        <w:rPr>
          <w:rFonts w:cs="David" w:hint="cs"/>
          <w:sz w:val="18"/>
          <w:rtl/>
        </w:rPr>
        <w:t xml:space="preserve">שם, </w:t>
      </w:r>
      <w:r w:rsidRPr="00022A72">
        <w:rPr>
          <w:rFonts w:cs="David" w:hint="cs"/>
          <w:sz w:val="18"/>
          <w:rtl/>
        </w:rPr>
        <w:t>עמ</w:t>
      </w:r>
      <w:r>
        <w:rPr>
          <w:rFonts w:cs="David" w:hint="cs"/>
          <w:sz w:val="18"/>
          <w:rtl/>
        </w:rPr>
        <w:t>'</w:t>
      </w:r>
      <w:r w:rsidRPr="00022A72">
        <w:rPr>
          <w:rFonts w:cs="David" w:hint="cs"/>
          <w:sz w:val="18"/>
          <w:rtl/>
        </w:rPr>
        <w:t xml:space="preserve"> 365</w:t>
      </w:r>
      <w:r w:rsidRPr="00022A72">
        <w:rPr>
          <w:rFonts w:cs="David" w:hint="eastAsia"/>
          <w:sz w:val="18"/>
          <w:rtl/>
        </w:rPr>
        <w:t>–</w:t>
      </w:r>
      <w:r w:rsidRPr="00022A72">
        <w:rPr>
          <w:rFonts w:cs="David" w:hint="cs"/>
          <w:sz w:val="18"/>
          <w:rtl/>
        </w:rPr>
        <w:t>367. לפירוש ה</w:t>
      </w:r>
      <w:r w:rsidR="00DB7A08">
        <w:rPr>
          <w:rFonts w:cs="David" w:hint="cs"/>
          <w:sz w:val="18"/>
          <w:rtl/>
        </w:rPr>
        <w:t>מלה</w:t>
      </w:r>
      <w:r w:rsidRPr="00022A72">
        <w:rPr>
          <w:rFonts w:cs="David" w:hint="cs"/>
          <w:sz w:val="18"/>
          <w:rtl/>
        </w:rPr>
        <w:t xml:space="preserve"> 'ידון' ראו למשל סקינר 1930, </w:t>
      </w:r>
      <w:r>
        <w:rPr>
          <w:rFonts w:cs="David" w:hint="cs"/>
          <w:sz w:val="18"/>
          <w:rtl/>
        </w:rPr>
        <w:t xml:space="preserve">עמ' </w:t>
      </w:r>
      <w:r w:rsidRPr="00022A72">
        <w:rPr>
          <w:rFonts w:cs="David" w:hint="cs"/>
          <w:sz w:val="18"/>
          <w:rtl/>
        </w:rPr>
        <w:t>143–144. השוו קאסוטו תש"ג,</w:t>
      </w:r>
      <w:r>
        <w:rPr>
          <w:rFonts w:cs="David" w:hint="cs"/>
          <w:sz w:val="18"/>
          <w:rtl/>
        </w:rPr>
        <w:t xml:space="preserve"> עמ'</w:t>
      </w:r>
      <w:r w:rsidRPr="00022A72">
        <w:rPr>
          <w:rFonts w:cs="David" w:hint="cs"/>
          <w:sz w:val="18"/>
          <w:rtl/>
        </w:rPr>
        <w:t xml:space="preserve"> 105–106; וסטרמן 1976,</w:t>
      </w:r>
      <w:r>
        <w:rPr>
          <w:rFonts w:cs="David" w:hint="cs"/>
          <w:sz w:val="18"/>
          <w:rtl/>
        </w:rPr>
        <w:t xml:space="preserve"> עמ'</w:t>
      </w:r>
      <w:r w:rsidRPr="00022A72">
        <w:rPr>
          <w:rFonts w:cs="David" w:hint="cs"/>
          <w:sz w:val="18"/>
          <w:rtl/>
        </w:rPr>
        <w:t xml:space="preserve"> 373</w:t>
      </w:r>
      <w:r w:rsidRPr="00022A72">
        <w:rPr>
          <w:rFonts w:cs="David" w:hint="cs"/>
          <w:sz w:val="18"/>
          <w:rtl/>
        </w:rPr>
        <w:softHyphen/>
      </w:r>
      <w:r w:rsidRPr="00022A72">
        <w:rPr>
          <w:rFonts w:cs="David" w:hint="eastAsia"/>
          <w:sz w:val="18"/>
          <w:rtl/>
        </w:rPr>
        <w:t>–</w:t>
      </w:r>
      <w:r w:rsidRPr="00022A72">
        <w:rPr>
          <w:rFonts w:cs="David" w:hint="cs"/>
          <w:sz w:val="18"/>
          <w:rtl/>
        </w:rPr>
        <w:t>376 והספרות הנזכרת אצלו.</w:t>
      </w:r>
    </w:p>
  </w:footnote>
  <w:footnote w:id="7">
    <w:p w:rsidR="00295974" w:rsidRPr="00022A72" w:rsidRDefault="00295974" w:rsidP="004D5276">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hint="cs"/>
          <w:sz w:val="18"/>
          <w:rtl/>
        </w:rPr>
        <w:t xml:space="preserve"> </w:t>
      </w:r>
      <w:r>
        <w:rPr>
          <w:rFonts w:cs="David"/>
          <w:sz w:val="18"/>
          <w:rtl/>
        </w:rPr>
        <w:tab/>
      </w:r>
      <w:r w:rsidRPr="00022A72">
        <w:rPr>
          <w:rFonts w:cs="David" w:hint="cs"/>
          <w:sz w:val="18"/>
          <w:rtl/>
        </w:rPr>
        <w:t>צ'יילדס 1960,</w:t>
      </w:r>
      <w:r>
        <w:rPr>
          <w:rFonts w:cs="David" w:hint="cs"/>
          <w:sz w:val="18"/>
          <w:rtl/>
        </w:rPr>
        <w:t xml:space="preserve"> עמ'</w:t>
      </w:r>
      <w:r w:rsidRPr="00022A72">
        <w:rPr>
          <w:rFonts w:cs="David" w:hint="cs"/>
          <w:sz w:val="18"/>
          <w:rtl/>
        </w:rPr>
        <w:t xml:space="preserve"> 57</w:t>
      </w:r>
      <w:r w:rsidR="00C52B9E">
        <w:rPr>
          <w:rFonts w:cs="David" w:hint="cs"/>
          <w:sz w:val="18"/>
          <w:rtl/>
        </w:rPr>
        <w:t>,</w:t>
      </w:r>
      <w:r w:rsidRPr="00022A72">
        <w:rPr>
          <w:rFonts w:cs="David" w:hint="cs"/>
          <w:sz w:val="18"/>
          <w:rtl/>
        </w:rPr>
        <w:t xml:space="preserve"> סבור כי סיפור זה בא להעצים את חטאי האדם ולספק סיבה נוספת למבול</w:t>
      </w:r>
      <w:r w:rsidR="004D5276">
        <w:rPr>
          <w:rFonts w:cs="David" w:hint="cs"/>
          <w:sz w:val="18"/>
          <w:rtl/>
        </w:rPr>
        <w:t xml:space="preserve">. </w:t>
      </w:r>
      <w:r w:rsidRPr="00022A72">
        <w:rPr>
          <w:rFonts w:cs="David" w:hint="cs"/>
          <w:sz w:val="18"/>
          <w:rtl/>
        </w:rPr>
        <w:t>אולם יש לשים לב כי בני האדם אינם מוצגים כלל כחוטאים בסיפור זה. השוו למשל דילמן 1892,</w:t>
      </w:r>
      <w:r>
        <w:rPr>
          <w:rFonts w:cs="David" w:hint="cs"/>
          <w:sz w:val="18"/>
          <w:rtl/>
        </w:rPr>
        <w:t xml:space="preserve"> עמ'</w:t>
      </w:r>
      <w:r w:rsidRPr="00022A72">
        <w:rPr>
          <w:rFonts w:cs="David" w:hint="cs"/>
          <w:sz w:val="18"/>
          <w:rtl/>
        </w:rPr>
        <w:t xml:space="preserve"> 121</w:t>
      </w:r>
      <w:r w:rsidRPr="00022A72">
        <w:rPr>
          <w:rFonts w:cs="David" w:hint="eastAsia"/>
          <w:sz w:val="18"/>
          <w:rtl/>
        </w:rPr>
        <w:t>–</w:t>
      </w:r>
      <w:r w:rsidRPr="00022A72">
        <w:rPr>
          <w:rFonts w:cs="David" w:hint="cs"/>
          <w:sz w:val="18"/>
          <w:rtl/>
        </w:rPr>
        <w:t>122. בדעה שונה לגמרי מחזיק ויטה 1998,</w:t>
      </w:r>
      <w:r>
        <w:rPr>
          <w:rFonts w:cs="David" w:hint="cs"/>
          <w:sz w:val="18"/>
          <w:rtl/>
        </w:rPr>
        <w:t xml:space="preserve"> עמ'</w:t>
      </w:r>
      <w:r w:rsidRPr="00022A72">
        <w:rPr>
          <w:rFonts w:cs="David" w:hint="cs"/>
          <w:sz w:val="18"/>
          <w:rtl/>
        </w:rPr>
        <w:t xml:space="preserve"> 65</w:t>
      </w:r>
      <w:r w:rsidRPr="00022A72">
        <w:rPr>
          <w:rFonts w:cs="David" w:hint="eastAsia"/>
          <w:sz w:val="18"/>
          <w:rtl/>
        </w:rPr>
        <w:t>–</w:t>
      </w:r>
      <w:r w:rsidRPr="00022A72">
        <w:rPr>
          <w:rFonts w:cs="David" w:hint="cs"/>
          <w:sz w:val="18"/>
          <w:rtl/>
        </w:rPr>
        <w:t>74, 255</w:t>
      </w:r>
      <w:r w:rsidRPr="00022A72">
        <w:rPr>
          <w:rFonts w:cs="David" w:hint="eastAsia"/>
          <w:sz w:val="18"/>
          <w:rtl/>
        </w:rPr>
        <w:t>–</w:t>
      </w:r>
      <w:r w:rsidRPr="00022A72">
        <w:rPr>
          <w:rFonts w:cs="David" w:hint="cs"/>
          <w:sz w:val="18"/>
          <w:rtl/>
        </w:rPr>
        <w:t>256</w:t>
      </w:r>
      <w:r>
        <w:rPr>
          <w:rFonts w:cs="David" w:hint="cs"/>
          <w:sz w:val="18"/>
          <w:rtl/>
        </w:rPr>
        <w:t>,</w:t>
      </w:r>
      <w:r w:rsidRPr="00022A72">
        <w:rPr>
          <w:rFonts w:cs="David" w:hint="cs"/>
          <w:sz w:val="18"/>
          <w:rtl/>
        </w:rPr>
        <w:t xml:space="preserve"> הסבור כי הסיפור הוא רובד שיצא מידי העורך האחרון של החטיבה.</w:t>
      </w:r>
    </w:p>
  </w:footnote>
  <w:footnote w:id="8">
    <w:p w:rsidR="00295974" w:rsidRPr="00022A72" w:rsidRDefault="00295974" w:rsidP="00893BC9">
      <w:pPr>
        <w:pStyle w:val="FootnoteText"/>
        <w:widowControl w:val="0"/>
        <w:spacing w:line="480" w:lineRule="auto"/>
        <w:ind w:left="-283" w:hanging="680"/>
        <w:rPr>
          <w:rFonts w:cs="David"/>
          <w:sz w:val="18"/>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ראו למשל רופא תשכ"ט,</w:t>
      </w:r>
      <w:r>
        <w:rPr>
          <w:rFonts w:cs="David" w:hint="cs"/>
          <w:sz w:val="18"/>
          <w:rtl/>
        </w:rPr>
        <w:t xml:space="preserve"> עמ'</w:t>
      </w:r>
      <w:r w:rsidRPr="00022A72">
        <w:rPr>
          <w:rFonts w:cs="David" w:hint="cs"/>
          <w:sz w:val="18"/>
          <w:rtl/>
        </w:rPr>
        <w:t xml:space="preserve"> </w:t>
      </w:r>
      <w:r w:rsidRPr="00022A72">
        <w:rPr>
          <w:rFonts w:cs="David" w:hint="cs"/>
          <w:sz w:val="18"/>
          <w:rtl/>
        </w:rPr>
        <w:t>52 (וההפניות אצלו); וסטרמן</w:t>
      </w:r>
      <w:r>
        <w:rPr>
          <w:rFonts w:cs="David" w:hint="cs"/>
          <w:sz w:val="18"/>
          <w:rtl/>
        </w:rPr>
        <w:t xml:space="preserve"> 1976</w:t>
      </w:r>
      <w:r w:rsidRPr="00022A72">
        <w:rPr>
          <w:rFonts w:cs="David" w:hint="cs"/>
          <w:sz w:val="18"/>
          <w:rtl/>
        </w:rPr>
        <w:t>, עמ' 366, 373–376. ברטֶלמוס 1979,</w:t>
      </w:r>
      <w:r>
        <w:rPr>
          <w:rFonts w:cs="David" w:hint="cs"/>
          <w:sz w:val="18"/>
          <w:rtl/>
        </w:rPr>
        <w:t xml:space="preserve"> עמ'</w:t>
      </w:r>
      <w:r w:rsidRPr="00022A72">
        <w:rPr>
          <w:rFonts w:cs="David" w:hint="cs"/>
          <w:sz w:val="18"/>
          <w:rtl/>
        </w:rPr>
        <w:t xml:space="preserve"> 28, 151–193, הציע אף כי פס' 3 הוא תוספת מאוחרת ביותר כיוון שאינו משתקף מהכתוב המקביל בחנוך.</w:t>
      </w:r>
    </w:p>
  </w:footnote>
  <w:footnote w:id="9">
    <w:p w:rsidR="004D5276" w:rsidRPr="00022A72" w:rsidRDefault="004D5276" w:rsidP="004D5276">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היו שהציעו להפוך את סדר הפסוקים, אך ברצף החדש י</w:t>
      </w:r>
      <w:r>
        <w:rPr>
          <w:rFonts w:cs="David" w:hint="cs"/>
          <w:sz w:val="18"/>
          <w:rtl/>
        </w:rPr>
        <w:t>י</w:t>
      </w:r>
      <w:r w:rsidRPr="00022A72">
        <w:rPr>
          <w:rFonts w:cs="David" w:hint="cs"/>
          <w:sz w:val="18"/>
          <w:rtl/>
        </w:rPr>
        <w:t>צו</w:t>
      </w:r>
      <w:r>
        <w:rPr>
          <w:rFonts w:cs="David" w:hint="cs"/>
          <w:sz w:val="18"/>
          <w:rtl/>
        </w:rPr>
        <w:t>ֹ</w:t>
      </w:r>
      <w:r w:rsidRPr="00022A72">
        <w:rPr>
          <w:rFonts w:cs="David" w:hint="cs"/>
          <w:sz w:val="18"/>
          <w:rtl/>
        </w:rPr>
        <w:t>ר פס' 3 כפילות עם החלטתו החדשה של ה' כנגד האדם בפס' 5</w:t>
      </w:r>
      <w:r w:rsidRPr="00022A72">
        <w:rPr>
          <w:rFonts w:cs="David" w:hint="eastAsia"/>
          <w:sz w:val="18"/>
          <w:rtl/>
        </w:rPr>
        <w:t>–7</w:t>
      </w:r>
      <w:r w:rsidRPr="00022A72">
        <w:rPr>
          <w:rFonts w:cs="David" w:hint="cs"/>
          <w:sz w:val="18"/>
          <w:rtl/>
        </w:rPr>
        <w:t xml:space="preserve">. להצעה מעין </w:t>
      </w:r>
      <w:r w:rsidRPr="00022A72">
        <w:rPr>
          <w:rFonts w:cs="David" w:hint="cs"/>
          <w:sz w:val="18"/>
          <w:rtl/>
        </w:rPr>
        <w:t>זו ראו למשל קריילינג 1947,</w:t>
      </w:r>
      <w:r>
        <w:rPr>
          <w:rFonts w:cs="David" w:hint="cs"/>
          <w:sz w:val="18"/>
          <w:rtl/>
        </w:rPr>
        <w:t xml:space="preserve"> עמ'</w:t>
      </w:r>
      <w:r w:rsidRPr="00022A72">
        <w:rPr>
          <w:rFonts w:cs="David" w:hint="cs"/>
          <w:sz w:val="18"/>
          <w:rtl/>
        </w:rPr>
        <w:t xml:space="preserve"> 197.</w:t>
      </w:r>
    </w:p>
  </w:footnote>
  <w:footnote w:id="10">
    <w:p w:rsidR="00295974" w:rsidRPr="00022A72" w:rsidRDefault="00295974" w:rsidP="00893BC9">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 xml:space="preserve">והשוו בין </w:t>
      </w:r>
      <w:r>
        <w:rPr>
          <w:rFonts w:cs="David" w:hint="cs"/>
          <w:sz w:val="18"/>
          <w:rtl/>
        </w:rPr>
        <w:t>"</w:t>
      </w:r>
      <w:r w:rsidRPr="00022A72">
        <w:rPr>
          <w:rFonts w:cs="David"/>
          <w:sz w:val="18"/>
          <w:rtl/>
        </w:rPr>
        <w:t>וְנַעֲשֶׂה-לָּנוּ שֵׁם</w:t>
      </w:r>
      <w:r>
        <w:rPr>
          <w:rFonts w:cs="David" w:hint="cs"/>
          <w:sz w:val="18"/>
          <w:rtl/>
        </w:rPr>
        <w:t>"</w:t>
      </w:r>
      <w:r w:rsidRPr="00022A72">
        <w:rPr>
          <w:rFonts w:cs="David" w:hint="cs"/>
          <w:sz w:val="18"/>
          <w:rtl/>
        </w:rPr>
        <w:t xml:space="preserve"> בסיפור מגדל בבל (בר' יא 4) לבין </w:t>
      </w:r>
      <w:r>
        <w:rPr>
          <w:rFonts w:cs="David" w:hint="cs"/>
          <w:sz w:val="18"/>
          <w:rtl/>
        </w:rPr>
        <w:t>"</w:t>
      </w:r>
      <w:r w:rsidRPr="00022A72">
        <w:rPr>
          <w:rFonts w:cs="David"/>
          <w:sz w:val="18"/>
          <w:rtl/>
        </w:rPr>
        <w:t>אַנְשֵׁי הַשֵּׁם</w:t>
      </w:r>
      <w:r>
        <w:rPr>
          <w:rFonts w:cs="David" w:hint="cs"/>
          <w:sz w:val="18"/>
          <w:rtl/>
        </w:rPr>
        <w:t>"</w:t>
      </w:r>
      <w:r w:rsidRPr="00022A72">
        <w:rPr>
          <w:rFonts w:cs="David" w:hint="cs"/>
          <w:sz w:val="18"/>
          <w:rtl/>
        </w:rPr>
        <w:t xml:space="preserve"> בסיפורנו (</w:t>
      </w:r>
      <w:r>
        <w:rPr>
          <w:rFonts w:cs="David" w:hint="cs"/>
          <w:sz w:val="18"/>
          <w:rtl/>
        </w:rPr>
        <w:t>שם,</w:t>
      </w:r>
      <w:r w:rsidRPr="00022A72">
        <w:rPr>
          <w:rFonts w:cs="David" w:hint="cs"/>
          <w:sz w:val="18"/>
          <w:rtl/>
        </w:rPr>
        <w:t xml:space="preserve"> ו 4).</w:t>
      </w:r>
    </w:p>
  </w:footnote>
  <w:footnote w:id="11">
    <w:p w:rsidR="00295974" w:rsidRPr="00022A72" w:rsidRDefault="00295974" w:rsidP="00A41196">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השוו סקינר 1930,</w:t>
      </w:r>
      <w:r>
        <w:rPr>
          <w:rFonts w:cs="David" w:hint="cs"/>
          <w:sz w:val="18"/>
          <w:rtl/>
        </w:rPr>
        <w:t xml:space="preserve"> עמ'</w:t>
      </w:r>
      <w:r w:rsidRPr="00022A72">
        <w:rPr>
          <w:rFonts w:cs="David" w:hint="cs"/>
          <w:sz w:val="18"/>
          <w:rtl/>
        </w:rPr>
        <w:t xml:space="preserve"> 145</w:t>
      </w:r>
      <w:r w:rsidRPr="00022A72">
        <w:rPr>
          <w:rFonts w:cs="David" w:hint="eastAsia"/>
          <w:sz w:val="18"/>
          <w:rtl/>
        </w:rPr>
        <w:t>–</w:t>
      </w:r>
      <w:r w:rsidRPr="00022A72">
        <w:rPr>
          <w:rFonts w:cs="David" w:hint="cs"/>
          <w:sz w:val="18"/>
          <w:rtl/>
        </w:rPr>
        <w:t>146; וסטרמן 1976,</w:t>
      </w:r>
      <w:r>
        <w:rPr>
          <w:rFonts w:cs="David" w:hint="cs"/>
          <w:sz w:val="18"/>
          <w:rtl/>
        </w:rPr>
        <w:t xml:space="preserve"> עמ'</w:t>
      </w:r>
      <w:r w:rsidRPr="00022A72">
        <w:rPr>
          <w:rFonts w:cs="David" w:hint="cs"/>
          <w:sz w:val="18"/>
          <w:rtl/>
        </w:rPr>
        <w:t xml:space="preserve"> 377</w:t>
      </w:r>
      <w:r w:rsidRPr="00022A72">
        <w:rPr>
          <w:rFonts w:cs="David" w:hint="eastAsia"/>
          <w:sz w:val="18"/>
          <w:rtl/>
        </w:rPr>
        <w:t>–</w:t>
      </w:r>
      <w:r w:rsidRPr="00022A72">
        <w:rPr>
          <w:rFonts w:cs="David" w:hint="cs"/>
          <w:sz w:val="18"/>
          <w:rtl/>
        </w:rPr>
        <w:t>378; זקוביץ 1992,</w:t>
      </w:r>
      <w:r>
        <w:rPr>
          <w:rFonts w:cs="David" w:hint="cs"/>
          <w:sz w:val="18"/>
          <w:rtl/>
        </w:rPr>
        <w:t xml:space="preserve"> עמ'</w:t>
      </w:r>
      <w:r w:rsidRPr="00022A72">
        <w:rPr>
          <w:rFonts w:cs="David" w:hint="cs"/>
          <w:sz w:val="18"/>
          <w:rtl/>
        </w:rPr>
        <w:t xml:space="preserve"> 23. יש לתת את הדעת גם לנקודת המבט הג</w:t>
      </w:r>
      <w:r>
        <w:rPr>
          <w:rFonts w:cs="David" w:hint="cs"/>
          <w:sz w:val="18"/>
          <w:rtl/>
        </w:rPr>
        <w:t>י</w:t>
      </w:r>
      <w:r w:rsidRPr="00022A72">
        <w:rPr>
          <w:rFonts w:cs="David" w:hint="cs"/>
          <w:sz w:val="18"/>
          <w:rtl/>
        </w:rPr>
        <w:t xml:space="preserve">אוגרפית של המעיר בהשוואה לנקודת המבט של הסיפור המקורי. בניגוד לרצף של כל הסיפורים הראשונים בבראשית המתאר את כלל האנושות, אפשר כי המלה 'ארץ' בלשון ההערה </w:t>
      </w:r>
      <w:r>
        <w:rPr>
          <w:rFonts w:cs="David" w:hint="cs"/>
          <w:sz w:val="18"/>
          <w:rtl/>
        </w:rPr>
        <w:t>"</w:t>
      </w:r>
      <w:r w:rsidRPr="00022A72">
        <w:rPr>
          <w:rFonts w:cs="David" w:hint="cs"/>
          <w:sz w:val="18"/>
          <w:rtl/>
        </w:rPr>
        <w:t>והנפילים היו בארץ</w:t>
      </w:r>
      <w:r>
        <w:rPr>
          <w:rFonts w:cs="David" w:hint="cs"/>
          <w:sz w:val="18"/>
          <w:rtl/>
        </w:rPr>
        <w:t>"</w:t>
      </w:r>
      <w:r w:rsidRPr="00022A72">
        <w:rPr>
          <w:rFonts w:cs="David" w:hint="cs"/>
          <w:sz w:val="18"/>
          <w:rtl/>
        </w:rPr>
        <w:t xml:space="preserve"> מתייחסת לארץ כנען לבדה, שבה נראו הנפילים בימי המרגלים. הלשון המתאימה ליחידה המקורית מצויה בפס' 1, </w:t>
      </w:r>
      <w:r>
        <w:rPr>
          <w:rFonts w:cs="David" w:hint="cs"/>
          <w:sz w:val="18"/>
          <w:rtl/>
        </w:rPr>
        <w:t>"</w:t>
      </w:r>
      <w:r w:rsidRPr="00022A72">
        <w:rPr>
          <w:rFonts w:cs="David" w:hint="cs"/>
          <w:sz w:val="18"/>
          <w:rtl/>
        </w:rPr>
        <w:t>על פני האדמה</w:t>
      </w:r>
      <w:r>
        <w:rPr>
          <w:rFonts w:cs="David" w:hint="cs"/>
          <w:sz w:val="18"/>
          <w:rtl/>
        </w:rPr>
        <w:t>"</w:t>
      </w:r>
      <w:r w:rsidRPr="00022A72">
        <w:rPr>
          <w:rFonts w:cs="David" w:hint="cs"/>
          <w:sz w:val="18"/>
          <w:rtl/>
        </w:rPr>
        <w:t>.</w:t>
      </w:r>
    </w:p>
  </w:footnote>
  <w:footnote w:id="12">
    <w:p w:rsidR="00295974" w:rsidRPr="00022A72" w:rsidRDefault="00295974" w:rsidP="00A41196">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ראו למשל וסטרמן 1976,</w:t>
      </w:r>
      <w:r>
        <w:rPr>
          <w:rFonts w:cs="David" w:hint="cs"/>
          <w:sz w:val="18"/>
          <w:rtl/>
        </w:rPr>
        <w:t xml:space="preserve"> עמ'</w:t>
      </w:r>
      <w:r w:rsidRPr="00022A72">
        <w:rPr>
          <w:rFonts w:cs="David" w:hint="cs"/>
          <w:sz w:val="18"/>
          <w:rtl/>
        </w:rPr>
        <w:t xml:space="preserve"> 366. בשל כך היו פרשנים רבים שסברו כי זו מטרת הסיפור מלכתחילה. ראו למשל סקינר 1930,</w:t>
      </w:r>
      <w:r>
        <w:rPr>
          <w:rFonts w:cs="David" w:hint="cs"/>
          <w:sz w:val="18"/>
          <w:rtl/>
        </w:rPr>
        <w:t xml:space="preserve"> עמ'</w:t>
      </w:r>
      <w:r w:rsidRPr="00022A72">
        <w:rPr>
          <w:rFonts w:cs="David" w:hint="cs"/>
          <w:sz w:val="18"/>
          <w:rtl/>
        </w:rPr>
        <w:t xml:space="preserve"> 139</w:t>
      </w:r>
      <w:r w:rsidRPr="00022A72">
        <w:rPr>
          <w:rFonts w:cs="David" w:hint="eastAsia"/>
          <w:sz w:val="18"/>
          <w:rtl/>
        </w:rPr>
        <w:t>–140</w:t>
      </w:r>
      <w:r w:rsidRPr="00022A72">
        <w:rPr>
          <w:rFonts w:cs="David" w:hint="cs"/>
          <w:sz w:val="18"/>
          <w:rtl/>
        </w:rPr>
        <w:t>; קאסוטו תשכ"ה</w:t>
      </w:r>
      <w:r w:rsidRPr="00022A72">
        <w:rPr>
          <w:rFonts w:cs="David" w:hint="cs"/>
          <w:sz w:val="18"/>
          <w:vertAlign w:val="subscript"/>
          <w:rtl/>
        </w:rPr>
        <w:t>ג</w:t>
      </w:r>
      <w:r w:rsidRPr="00022A72">
        <w:rPr>
          <w:rFonts w:cs="David" w:hint="cs"/>
          <w:sz w:val="18"/>
          <w:rtl/>
        </w:rPr>
        <w:t>,</w:t>
      </w:r>
      <w:r>
        <w:rPr>
          <w:rFonts w:cs="David" w:hint="cs"/>
          <w:sz w:val="18"/>
          <w:rtl/>
        </w:rPr>
        <w:t xml:space="preserve"> עמ'</w:t>
      </w:r>
      <w:r w:rsidRPr="00022A72">
        <w:rPr>
          <w:rFonts w:cs="David" w:hint="cs"/>
          <w:sz w:val="18"/>
          <w:rtl/>
        </w:rPr>
        <w:t xml:space="preserve"> 206: </w:t>
      </w:r>
      <w:r>
        <w:rPr>
          <w:rFonts w:cs="David" w:hint="cs"/>
          <w:sz w:val="18"/>
          <w:rtl/>
        </w:rPr>
        <w:t>"</w:t>
      </w:r>
      <w:r w:rsidRPr="00022A72">
        <w:rPr>
          <w:rFonts w:cs="David" w:hint="cs"/>
          <w:sz w:val="18"/>
          <w:rtl/>
        </w:rPr>
        <w:t>ומסורת בידינו מאבותינו שבשעת כניסתם לארץ מצאו עוד אחדים מיתר הענקים; מאין מוצאם של אלה [...] לשאלה זו, שהיתה יכולה להתעורר בלבו של הקורא, באה התורה לתת תשובה בפיסקתנו</w:t>
      </w:r>
      <w:r>
        <w:rPr>
          <w:rFonts w:cs="David" w:hint="cs"/>
          <w:sz w:val="18"/>
          <w:rtl/>
        </w:rPr>
        <w:t>"</w:t>
      </w:r>
      <w:r w:rsidRPr="00022A72">
        <w:rPr>
          <w:rFonts w:cs="David" w:hint="cs"/>
          <w:sz w:val="18"/>
          <w:rtl/>
        </w:rPr>
        <w:t>. השוו קואטס 1983,</w:t>
      </w:r>
      <w:r>
        <w:rPr>
          <w:rFonts w:cs="David" w:hint="cs"/>
          <w:sz w:val="18"/>
          <w:rtl/>
        </w:rPr>
        <w:t xml:space="preserve"> עמ'</w:t>
      </w:r>
      <w:r w:rsidRPr="00022A72">
        <w:rPr>
          <w:rFonts w:cs="David" w:hint="cs"/>
          <w:sz w:val="18"/>
          <w:rtl/>
        </w:rPr>
        <w:t xml:space="preserve"> 86.</w:t>
      </w:r>
    </w:p>
  </w:footnote>
  <w:footnote w:id="13">
    <w:p w:rsidR="00295974" w:rsidRPr="00022A72" w:rsidRDefault="00295974" w:rsidP="00BC6A5E">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 xml:space="preserve">ראו לעיל במבוא, סעיף </w:t>
      </w:r>
      <w:r>
        <w:rPr>
          <w:rFonts w:cs="David" w:hint="cs"/>
          <w:sz w:val="18"/>
          <w:rtl/>
        </w:rPr>
        <w:t>ג.1</w:t>
      </w:r>
      <w:r w:rsidRPr="00022A72">
        <w:rPr>
          <w:rFonts w:cs="David" w:hint="cs"/>
          <w:sz w:val="18"/>
          <w:rtl/>
        </w:rPr>
        <w:t>.</w:t>
      </w:r>
    </w:p>
  </w:footnote>
  <w:footnote w:id="14">
    <w:p w:rsidR="00295974" w:rsidRPr="00022A72" w:rsidRDefault="00295974" w:rsidP="00AC7E62">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 xml:space="preserve">ראו </w:t>
      </w:r>
      <w:r w:rsidR="00AC7E62">
        <w:rPr>
          <w:rFonts w:cs="David" w:hint="cs"/>
          <w:sz w:val="18"/>
          <w:rtl/>
        </w:rPr>
        <w:t>שם.</w:t>
      </w:r>
    </w:p>
  </w:footnote>
  <w:footnote w:id="15">
    <w:p w:rsidR="00434A6C" w:rsidRPr="00022A72" w:rsidRDefault="00434A6C" w:rsidP="00434A6C">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להשלמה ראו מוסט 2006,</w:t>
      </w:r>
      <w:r>
        <w:rPr>
          <w:rFonts w:cs="David" w:hint="cs"/>
          <w:sz w:val="18"/>
          <w:rtl/>
        </w:rPr>
        <w:t xml:space="preserve"> עמ'</w:t>
      </w:r>
      <w:r w:rsidRPr="00022A72">
        <w:rPr>
          <w:rFonts w:cs="David" w:hint="cs"/>
          <w:sz w:val="18"/>
          <w:rtl/>
        </w:rPr>
        <w:t xml:space="preserve"> 42.</w:t>
      </w:r>
    </w:p>
  </w:footnote>
  <w:footnote w:id="16">
    <w:p w:rsidR="00434A6C" w:rsidRPr="00022A72" w:rsidRDefault="00434A6C" w:rsidP="00434A6C">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ההשלמה בעקבות הירשברגר 2004,</w:t>
      </w:r>
      <w:r>
        <w:rPr>
          <w:rFonts w:cs="David" w:hint="cs"/>
          <w:sz w:val="18"/>
          <w:rtl/>
        </w:rPr>
        <w:t xml:space="preserve"> עמ'</w:t>
      </w:r>
      <w:r w:rsidRPr="00022A72">
        <w:rPr>
          <w:rFonts w:cs="David" w:hint="cs"/>
          <w:sz w:val="18"/>
          <w:rtl/>
        </w:rPr>
        <w:t xml:space="preserve"> 89; מוסט 2006,</w:t>
      </w:r>
      <w:r>
        <w:rPr>
          <w:rFonts w:cs="David" w:hint="cs"/>
          <w:sz w:val="18"/>
          <w:rtl/>
        </w:rPr>
        <w:t xml:space="preserve"> עמ'</w:t>
      </w:r>
      <w:r w:rsidRPr="00022A72">
        <w:rPr>
          <w:rFonts w:cs="David" w:hint="cs"/>
          <w:sz w:val="18"/>
          <w:rtl/>
        </w:rPr>
        <w:t xml:space="preserve"> 42.</w:t>
      </w:r>
    </w:p>
  </w:footnote>
  <w:footnote w:id="17">
    <w:p w:rsidR="00434A6C" w:rsidRPr="00F529AD" w:rsidRDefault="00434A6C" w:rsidP="00AE694A">
      <w:pPr>
        <w:widowControl w:val="0"/>
        <w:spacing w:line="480" w:lineRule="auto"/>
        <w:ind w:left="-284" w:hanging="680"/>
        <w:rPr>
          <w:rFonts w:asciiTheme="majorBidi" w:hAnsiTheme="majorBidi" w:cstheme="majorBidi"/>
          <w:sz w:val="18"/>
          <w:szCs w:val="18"/>
          <w:rtl/>
        </w:rPr>
      </w:pPr>
      <w:r w:rsidRPr="00F529AD">
        <w:rPr>
          <w:rStyle w:val="FootnoteReference"/>
          <w:rFonts w:asciiTheme="majorBidi" w:hAnsiTheme="majorBidi" w:cstheme="majorBidi"/>
          <w:sz w:val="18"/>
          <w:szCs w:val="18"/>
        </w:rPr>
        <w:footnoteRef/>
      </w:r>
      <w:r w:rsidRPr="00F529AD">
        <w:rPr>
          <w:rFonts w:asciiTheme="majorBidi" w:hAnsiTheme="majorBidi" w:cstheme="majorBidi"/>
          <w:sz w:val="18"/>
          <w:szCs w:val="18"/>
          <w:rtl/>
        </w:rPr>
        <w:t xml:space="preserve"> </w:t>
      </w:r>
      <w:r w:rsidRPr="00F529AD">
        <w:rPr>
          <w:rFonts w:asciiTheme="majorBidi" w:hAnsiTheme="majorBidi" w:cstheme="majorBidi"/>
          <w:sz w:val="18"/>
          <w:szCs w:val="18"/>
          <w:rtl/>
        </w:rPr>
        <w:tab/>
      </w:r>
      <w:r w:rsidR="00CA651B" w:rsidRPr="00F529AD">
        <w:rPr>
          <w:rFonts w:asciiTheme="majorBidi" w:eastAsia="Times New Roman" w:hAnsiTheme="majorBidi" w:cstheme="majorBidi"/>
          <w:sz w:val="18"/>
          <w:szCs w:val="18"/>
          <w:vertAlign w:val="subscript"/>
        </w:rPr>
        <w:t>(1)</w:t>
      </w:r>
      <w:r w:rsidR="00CA651B" w:rsidRPr="00F529AD">
        <w:rPr>
          <w:rFonts w:asciiTheme="majorBidi" w:eastAsia="Times New Roman" w:hAnsiTheme="majorBidi" w:cstheme="majorBidi"/>
          <w:sz w:val="18"/>
          <w:szCs w:val="18"/>
        </w:rPr>
        <w:t xml:space="preserve"> </w:t>
      </w:r>
      <w:proofErr w:type="spellStart"/>
      <w:r w:rsidR="00CA651B" w:rsidRPr="00F529AD">
        <w:rPr>
          <w:rFonts w:asciiTheme="majorBidi" w:eastAsia="Times New Roman" w:hAnsiTheme="majorBidi" w:cstheme="majorBidi"/>
          <w:sz w:val="18"/>
          <w:szCs w:val="18"/>
        </w:rPr>
        <w:t>Νῦν</w:t>
      </w:r>
      <w:proofErr w:type="spellEnd"/>
      <w:r w:rsidR="00CA651B" w:rsidRPr="00F529AD">
        <w:rPr>
          <w:rFonts w:asciiTheme="majorBidi" w:eastAsia="Times New Roman" w:hAnsiTheme="majorBidi" w:cstheme="majorBidi"/>
          <w:sz w:val="18"/>
          <w:szCs w:val="18"/>
        </w:rPr>
        <w:t xml:space="preserve"> </w:t>
      </w:r>
      <w:proofErr w:type="spellStart"/>
      <w:r w:rsidR="00CA651B" w:rsidRPr="00F529AD">
        <w:rPr>
          <w:rFonts w:asciiTheme="majorBidi" w:eastAsia="Times New Roman" w:hAnsiTheme="majorBidi" w:cstheme="majorBidi"/>
          <w:sz w:val="18"/>
          <w:szCs w:val="18"/>
        </w:rPr>
        <w:t>δὲ</w:t>
      </w:r>
      <w:proofErr w:type="spellEnd"/>
      <w:r w:rsidR="00CA651B" w:rsidRPr="00F529AD">
        <w:rPr>
          <w:rFonts w:asciiTheme="majorBidi" w:eastAsia="Times New Roman" w:hAnsiTheme="majorBidi" w:cstheme="majorBidi"/>
          <w:sz w:val="18"/>
          <w:szCs w:val="18"/>
        </w:rPr>
        <w:t xml:space="preserve"> </w:t>
      </w:r>
      <w:proofErr w:type="spellStart"/>
      <w:r w:rsidR="00CA651B" w:rsidRPr="00F529AD">
        <w:rPr>
          <w:rFonts w:asciiTheme="majorBidi" w:eastAsia="Times New Roman" w:hAnsiTheme="majorBidi" w:cstheme="majorBidi"/>
          <w:sz w:val="18"/>
          <w:szCs w:val="18"/>
        </w:rPr>
        <w:t>γυναικῶν</w:t>
      </w:r>
      <w:proofErr w:type="spellEnd"/>
      <w:r w:rsidR="00CA651B" w:rsidRPr="00F529AD">
        <w:rPr>
          <w:rFonts w:asciiTheme="majorBidi" w:eastAsia="Times New Roman" w:hAnsiTheme="majorBidi" w:cstheme="majorBidi"/>
          <w:sz w:val="18"/>
          <w:szCs w:val="18"/>
        </w:rPr>
        <w:t xml:space="preserve"> </w:t>
      </w:r>
      <w:r w:rsidR="00CA651B" w:rsidRPr="00F529AD">
        <w:rPr>
          <w:rFonts w:ascii="Cambria Math" w:eastAsia="Times New Roman" w:hAnsi="Cambria Math" w:cs="Cambria Math"/>
          <w:sz w:val="18"/>
          <w:szCs w:val="18"/>
        </w:rPr>
        <w:t>⌊</w:t>
      </w:r>
      <w:proofErr w:type="spellStart"/>
      <w:r w:rsidR="00CA651B" w:rsidRPr="00F529AD">
        <w:rPr>
          <w:rFonts w:asciiTheme="majorBidi" w:eastAsia="Times New Roman" w:hAnsiTheme="majorBidi" w:cstheme="majorBidi"/>
          <w:sz w:val="18"/>
          <w:szCs w:val="18"/>
        </w:rPr>
        <w:t>φῦλον</w:t>
      </w:r>
      <w:proofErr w:type="spellEnd"/>
      <w:r w:rsidR="00CA651B" w:rsidRPr="00F529AD">
        <w:rPr>
          <w:rFonts w:asciiTheme="majorBidi" w:eastAsia="Times New Roman" w:hAnsiTheme="majorBidi" w:cstheme="majorBidi"/>
          <w:sz w:val="18"/>
          <w:szCs w:val="18"/>
        </w:rPr>
        <w:t xml:space="preserve"> </w:t>
      </w:r>
      <w:proofErr w:type="spellStart"/>
      <w:r w:rsidR="00CA651B" w:rsidRPr="00F529AD">
        <w:rPr>
          <w:rFonts w:asciiTheme="majorBidi" w:eastAsia="Times New Roman" w:hAnsiTheme="majorBidi" w:cstheme="majorBidi"/>
          <w:sz w:val="18"/>
          <w:szCs w:val="18"/>
        </w:rPr>
        <w:t>ἀείσατε</w:t>
      </w:r>
      <w:proofErr w:type="spellEnd"/>
      <w:r w:rsidR="00CA651B" w:rsidRPr="00F529AD">
        <w:rPr>
          <w:rFonts w:asciiTheme="majorBidi" w:eastAsia="Times New Roman" w:hAnsiTheme="majorBidi" w:cstheme="majorBidi"/>
          <w:sz w:val="18"/>
          <w:szCs w:val="18"/>
        </w:rPr>
        <w:t xml:space="preserve">, </w:t>
      </w:r>
      <w:proofErr w:type="spellStart"/>
      <w:r w:rsidR="00CA651B" w:rsidRPr="00F529AD">
        <w:rPr>
          <w:rFonts w:asciiTheme="majorBidi" w:eastAsia="Times New Roman" w:hAnsiTheme="majorBidi" w:cstheme="majorBidi"/>
          <w:sz w:val="18"/>
          <w:szCs w:val="18"/>
        </w:rPr>
        <w:t>ἡδυέπειαι</w:t>
      </w:r>
      <w:proofErr w:type="spellEnd"/>
      <w:r w:rsidR="00AE694A">
        <w:rPr>
          <w:rFonts w:asciiTheme="majorBidi" w:eastAsia="Times New Roman" w:hAnsiTheme="majorBidi" w:cstheme="majorBidi"/>
          <w:sz w:val="18"/>
          <w:szCs w:val="18"/>
        </w:rPr>
        <w:t xml:space="preserve"> / </w:t>
      </w:r>
      <w:proofErr w:type="spellStart"/>
      <w:r w:rsidR="00CA651B" w:rsidRPr="00F529AD">
        <w:rPr>
          <w:rFonts w:asciiTheme="majorBidi" w:eastAsia="Times New Roman" w:hAnsiTheme="majorBidi" w:cstheme="majorBidi"/>
          <w:sz w:val="18"/>
          <w:szCs w:val="18"/>
        </w:rPr>
        <w:t>Μοῦσαι</w:t>
      </w:r>
      <w:proofErr w:type="spellEnd"/>
      <w:r w:rsidR="00CA651B" w:rsidRPr="00F529AD">
        <w:rPr>
          <w:rFonts w:asciiTheme="majorBidi" w:eastAsia="Times New Roman" w:hAnsiTheme="majorBidi" w:cstheme="majorBidi"/>
          <w:sz w:val="18"/>
          <w:szCs w:val="18"/>
        </w:rPr>
        <w:t xml:space="preserve"> </w:t>
      </w:r>
      <w:proofErr w:type="spellStart"/>
      <w:r w:rsidR="00CA651B" w:rsidRPr="00F529AD">
        <w:rPr>
          <w:rFonts w:asciiTheme="majorBidi" w:eastAsia="Times New Roman" w:hAnsiTheme="majorBidi" w:cstheme="majorBidi"/>
          <w:sz w:val="18"/>
          <w:szCs w:val="18"/>
        </w:rPr>
        <w:t>Ὀλυμπιάδε</w:t>
      </w:r>
      <w:r w:rsidR="00CA651B" w:rsidRPr="00F529AD">
        <w:rPr>
          <w:rFonts w:ascii="Cambria Math" w:eastAsia="Times New Roman" w:hAnsi="Cambria Math" w:cs="Cambria Math"/>
          <w:sz w:val="18"/>
          <w:szCs w:val="18"/>
        </w:rPr>
        <w:t>⌊</w:t>
      </w:r>
      <w:r w:rsidR="00CA651B" w:rsidRPr="00F529AD">
        <w:rPr>
          <w:rFonts w:asciiTheme="majorBidi" w:eastAsia="Times New Roman" w:hAnsiTheme="majorBidi" w:cstheme="majorBidi"/>
          <w:sz w:val="18"/>
          <w:szCs w:val="18"/>
        </w:rPr>
        <w:t>ς</w:t>
      </w:r>
      <w:proofErr w:type="spellEnd"/>
      <w:r w:rsidR="00CA651B" w:rsidRPr="00F529AD">
        <w:rPr>
          <w:rFonts w:asciiTheme="majorBidi" w:eastAsia="Times New Roman" w:hAnsiTheme="majorBidi" w:cstheme="majorBidi"/>
          <w:sz w:val="18"/>
          <w:szCs w:val="18"/>
        </w:rPr>
        <w:t xml:space="preserve">, </w:t>
      </w:r>
      <w:proofErr w:type="spellStart"/>
      <w:r w:rsidR="00CA651B" w:rsidRPr="00F529AD">
        <w:rPr>
          <w:rFonts w:asciiTheme="majorBidi" w:eastAsia="Times New Roman" w:hAnsiTheme="majorBidi" w:cstheme="majorBidi"/>
          <w:sz w:val="18"/>
          <w:szCs w:val="18"/>
        </w:rPr>
        <w:t>κοῦραι</w:t>
      </w:r>
      <w:proofErr w:type="spellEnd"/>
      <w:r w:rsidR="00CA651B" w:rsidRPr="00F529AD">
        <w:rPr>
          <w:rFonts w:asciiTheme="majorBidi" w:eastAsia="Times New Roman" w:hAnsiTheme="majorBidi" w:cstheme="majorBidi"/>
          <w:sz w:val="18"/>
          <w:szCs w:val="18"/>
        </w:rPr>
        <w:t xml:space="preserve"> </w:t>
      </w:r>
      <w:proofErr w:type="spellStart"/>
      <w:r w:rsidR="00CA651B" w:rsidRPr="00F529AD">
        <w:rPr>
          <w:rFonts w:asciiTheme="majorBidi" w:eastAsia="Times New Roman" w:hAnsiTheme="majorBidi" w:cstheme="majorBidi"/>
          <w:sz w:val="18"/>
          <w:szCs w:val="18"/>
        </w:rPr>
        <w:t>Διὸς</w:t>
      </w:r>
      <w:proofErr w:type="spellEnd"/>
      <w:r w:rsidR="00CA651B" w:rsidRPr="00F529AD">
        <w:rPr>
          <w:rFonts w:asciiTheme="majorBidi" w:eastAsia="Times New Roman" w:hAnsiTheme="majorBidi" w:cstheme="majorBidi"/>
          <w:sz w:val="18"/>
          <w:szCs w:val="18"/>
        </w:rPr>
        <w:t xml:space="preserve"> </w:t>
      </w:r>
      <w:proofErr w:type="spellStart"/>
      <w:r w:rsidR="00CA651B" w:rsidRPr="00F529AD">
        <w:rPr>
          <w:rFonts w:asciiTheme="majorBidi" w:eastAsia="Times New Roman" w:hAnsiTheme="majorBidi" w:cstheme="majorBidi"/>
          <w:sz w:val="18"/>
          <w:szCs w:val="18"/>
        </w:rPr>
        <w:t>αἰγιόχοιο</w:t>
      </w:r>
      <w:proofErr w:type="spellEnd"/>
      <w:r w:rsidR="00CA651B" w:rsidRPr="00F529AD">
        <w:rPr>
          <w:rFonts w:asciiTheme="majorBidi" w:eastAsia="Times New Roman" w:hAnsiTheme="majorBidi" w:cstheme="majorBidi"/>
          <w:sz w:val="18"/>
          <w:szCs w:val="18"/>
        </w:rPr>
        <w:t>,</w:t>
      </w:r>
      <w:r w:rsidR="00AE694A">
        <w:rPr>
          <w:rFonts w:asciiTheme="majorBidi" w:eastAsia="Times New Roman" w:hAnsiTheme="majorBidi" w:cstheme="majorBidi"/>
          <w:sz w:val="18"/>
          <w:szCs w:val="18"/>
        </w:rPr>
        <w:t xml:space="preserve"> / </w:t>
      </w:r>
      <w:proofErr w:type="spellStart"/>
      <w:r w:rsidR="00CA651B" w:rsidRPr="00F529AD">
        <w:rPr>
          <w:rFonts w:asciiTheme="majorBidi" w:eastAsia="Times New Roman" w:hAnsiTheme="majorBidi" w:cstheme="majorBidi"/>
          <w:sz w:val="18"/>
          <w:szCs w:val="18"/>
        </w:rPr>
        <w:t>α̣ἳ</w:t>
      </w:r>
      <w:proofErr w:type="spellEnd"/>
      <w:r w:rsidR="00CA651B" w:rsidRPr="00F529AD">
        <w:rPr>
          <w:rFonts w:asciiTheme="majorBidi" w:eastAsia="Times New Roman" w:hAnsiTheme="majorBidi" w:cstheme="majorBidi"/>
          <w:sz w:val="18"/>
          <w:szCs w:val="18"/>
        </w:rPr>
        <w:t xml:space="preserve"> </w:t>
      </w:r>
      <w:proofErr w:type="spellStart"/>
      <w:r w:rsidR="00CA651B" w:rsidRPr="00F529AD">
        <w:rPr>
          <w:rFonts w:asciiTheme="majorBidi" w:eastAsia="Times New Roman" w:hAnsiTheme="majorBidi" w:cstheme="majorBidi"/>
          <w:sz w:val="18"/>
          <w:szCs w:val="18"/>
        </w:rPr>
        <w:t>τότ</w:t>
      </w:r>
      <w:proofErr w:type="spellEnd"/>
      <w:r w:rsidR="00CA651B" w:rsidRPr="00F529AD">
        <w:rPr>
          <w:rFonts w:asciiTheme="majorBidi" w:eastAsia="Times New Roman" w:hAnsiTheme="majorBidi" w:cstheme="majorBidi"/>
          <w:sz w:val="18"/>
          <w:szCs w:val="18"/>
        </w:rPr>
        <w:t xml:space="preserve">’ </w:t>
      </w:r>
      <w:proofErr w:type="spellStart"/>
      <w:r w:rsidR="00CA651B" w:rsidRPr="00F529AD">
        <w:rPr>
          <w:rFonts w:asciiTheme="majorBidi" w:eastAsia="Times New Roman" w:hAnsiTheme="majorBidi" w:cstheme="majorBidi"/>
          <w:sz w:val="18"/>
          <w:szCs w:val="18"/>
        </w:rPr>
        <w:t>ἄρισται</w:t>
      </w:r>
      <w:proofErr w:type="spellEnd"/>
      <w:r w:rsidR="00CA651B" w:rsidRPr="00F529AD">
        <w:rPr>
          <w:rFonts w:asciiTheme="majorBidi" w:eastAsia="Times New Roman" w:hAnsiTheme="majorBidi" w:cstheme="majorBidi"/>
          <w:sz w:val="18"/>
          <w:szCs w:val="18"/>
        </w:rPr>
        <w:t xml:space="preserve"> </w:t>
      </w:r>
      <w:proofErr w:type="spellStart"/>
      <w:r w:rsidR="00CA651B" w:rsidRPr="00F529AD">
        <w:rPr>
          <w:rFonts w:asciiTheme="majorBidi" w:eastAsia="Times New Roman" w:hAnsiTheme="majorBidi" w:cstheme="majorBidi"/>
          <w:sz w:val="18"/>
          <w:szCs w:val="18"/>
        </w:rPr>
        <w:t>ἔσαν</w:t>
      </w:r>
      <w:proofErr w:type="spellEnd"/>
      <w:proofErr w:type="gramStart"/>
      <w:r w:rsidR="00CA651B" w:rsidRPr="00F529AD">
        <w:rPr>
          <w:rFonts w:asciiTheme="majorBidi" w:eastAsia="Times New Roman" w:hAnsiTheme="majorBidi" w:cstheme="majorBidi"/>
          <w:sz w:val="18"/>
          <w:szCs w:val="18"/>
        </w:rPr>
        <w:t>̣[</w:t>
      </w:r>
      <w:proofErr w:type="gramEnd"/>
      <w:r w:rsidR="00AE694A">
        <w:rPr>
          <w:rFonts w:asciiTheme="majorBidi" w:eastAsia="Times New Roman" w:hAnsiTheme="majorBidi" w:cstheme="majorBidi"/>
          <w:sz w:val="18"/>
          <w:szCs w:val="18"/>
        </w:rPr>
        <w:t xml:space="preserve"> ]  </w:t>
      </w:r>
      <w:proofErr w:type="spellStart"/>
      <w:r w:rsidR="00CA651B" w:rsidRPr="00F529AD">
        <w:rPr>
          <w:rFonts w:asciiTheme="majorBidi" w:eastAsia="Times New Roman" w:hAnsiTheme="majorBidi" w:cstheme="majorBidi"/>
          <w:sz w:val="18"/>
          <w:szCs w:val="18"/>
        </w:rPr>
        <w:t>μίτρας</w:t>
      </w:r>
      <w:proofErr w:type="spellEnd"/>
      <w:r w:rsidR="00CA651B" w:rsidRPr="00F529AD">
        <w:rPr>
          <w:rFonts w:asciiTheme="majorBidi" w:eastAsia="Times New Roman" w:hAnsiTheme="majorBidi" w:cstheme="majorBidi"/>
          <w:sz w:val="18"/>
          <w:szCs w:val="18"/>
        </w:rPr>
        <w:t xml:space="preserve"> τ’ </w:t>
      </w:r>
      <w:proofErr w:type="spellStart"/>
      <w:r w:rsidR="00CA651B" w:rsidRPr="00F529AD">
        <w:rPr>
          <w:rFonts w:asciiTheme="majorBidi" w:eastAsia="Times New Roman" w:hAnsiTheme="majorBidi" w:cstheme="majorBidi"/>
          <w:sz w:val="18"/>
          <w:szCs w:val="18"/>
        </w:rPr>
        <w:t>ἀλλύσαντο</w:t>
      </w:r>
      <w:proofErr w:type="spellEnd"/>
      <w:r w:rsidR="00CA651B" w:rsidRPr="00F529AD">
        <w:rPr>
          <w:rFonts w:asciiTheme="majorBidi" w:eastAsia="Times New Roman" w:hAnsiTheme="majorBidi" w:cstheme="majorBidi"/>
          <w:sz w:val="18"/>
          <w:szCs w:val="18"/>
        </w:rPr>
        <w:t xml:space="preserve"> .[</w:t>
      </w:r>
      <w:r w:rsidR="00AE694A">
        <w:rPr>
          <w:rFonts w:asciiTheme="majorBidi" w:eastAsia="Times New Roman" w:hAnsiTheme="majorBidi" w:cstheme="majorBidi"/>
          <w:sz w:val="18"/>
          <w:szCs w:val="18"/>
        </w:rPr>
        <w:t xml:space="preserve">    ]/ </w:t>
      </w:r>
      <w:r w:rsidR="00CA651B" w:rsidRPr="00F529AD">
        <w:rPr>
          <w:rFonts w:asciiTheme="majorBidi" w:eastAsia="Times New Roman" w:hAnsiTheme="majorBidi" w:cstheme="majorBidi"/>
          <w:sz w:val="18"/>
          <w:szCs w:val="18"/>
          <w:vertAlign w:val="subscript"/>
        </w:rPr>
        <w:t>(5)</w:t>
      </w:r>
      <w:r w:rsidR="00CA651B" w:rsidRPr="00F529AD">
        <w:rPr>
          <w:rFonts w:asciiTheme="majorBidi" w:eastAsia="Times New Roman" w:hAnsiTheme="majorBidi" w:cstheme="majorBidi"/>
          <w:sz w:val="18"/>
          <w:szCs w:val="18"/>
        </w:rPr>
        <w:t xml:space="preserve"> </w:t>
      </w:r>
      <w:proofErr w:type="spellStart"/>
      <w:r w:rsidR="00CA651B" w:rsidRPr="00F529AD">
        <w:rPr>
          <w:rFonts w:asciiTheme="majorBidi" w:eastAsia="Times New Roman" w:hAnsiTheme="majorBidi" w:cstheme="majorBidi"/>
          <w:sz w:val="18"/>
          <w:szCs w:val="18"/>
        </w:rPr>
        <w:t>μισγόμεν̣αι</w:t>
      </w:r>
      <w:proofErr w:type="spellEnd"/>
      <w:r w:rsidR="00CA651B" w:rsidRPr="00F529AD">
        <w:rPr>
          <w:rFonts w:asciiTheme="majorBidi" w:eastAsia="Times New Roman" w:hAnsiTheme="majorBidi" w:cstheme="majorBidi"/>
          <w:sz w:val="18"/>
          <w:szCs w:val="18"/>
        </w:rPr>
        <w:t xml:space="preserve"> </w:t>
      </w:r>
      <w:proofErr w:type="spellStart"/>
      <w:r w:rsidR="00CA651B" w:rsidRPr="00F529AD">
        <w:rPr>
          <w:rFonts w:asciiTheme="majorBidi" w:eastAsia="Times New Roman" w:hAnsiTheme="majorBidi" w:cstheme="majorBidi"/>
          <w:sz w:val="18"/>
          <w:szCs w:val="18"/>
        </w:rPr>
        <w:t>θεοῖ̣σ</w:t>
      </w:r>
      <w:proofErr w:type="spellEnd"/>
      <w:r w:rsidR="00CA651B" w:rsidRPr="00F529AD">
        <w:rPr>
          <w:rFonts w:asciiTheme="majorBidi" w:eastAsia="Times New Roman" w:hAnsiTheme="majorBidi" w:cstheme="majorBidi"/>
          <w:sz w:val="18"/>
          <w:szCs w:val="18"/>
        </w:rPr>
        <w:t>̣[</w:t>
      </w:r>
      <w:proofErr w:type="spellStart"/>
      <w:r w:rsidR="00CA651B" w:rsidRPr="00F529AD">
        <w:rPr>
          <w:rFonts w:asciiTheme="majorBidi" w:eastAsia="Times New Roman" w:hAnsiTheme="majorBidi" w:cstheme="majorBidi"/>
          <w:sz w:val="18"/>
          <w:szCs w:val="18"/>
        </w:rPr>
        <w:t>ιν</w:t>
      </w:r>
      <w:proofErr w:type="spellEnd"/>
      <w:r w:rsidR="00AE694A">
        <w:rPr>
          <w:rFonts w:asciiTheme="majorBidi" w:eastAsia="Times New Roman" w:hAnsiTheme="majorBidi" w:cstheme="majorBidi"/>
          <w:sz w:val="18"/>
          <w:szCs w:val="18"/>
        </w:rPr>
        <w:t xml:space="preserve">] / </w:t>
      </w:r>
      <w:proofErr w:type="spellStart"/>
      <w:r w:rsidR="00CA651B" w:rsidRPr="00F529AD">
        <w:rPr>
          <w:rFonts w:asciiTheme="majorBidi" w:eastAsia="Times New Roman" w:hAnsiTheme="majorBidi" w:cstheme="majorBidi"/>
          <w:sz w:val="18"/>
          <w:szCs w:val="18"/>
        </w:rPr>
        <w:t>ξυναὶ</w:t>
      </w:r>
      <w:proofErr w:type="spellEnd"/>
      <w:r w:rsidR="00CA651B" w:rsidRPr="00F529AD">
        <w:rPr>
          <w:rFonts w:asciiTheme="majorBidi" w:eastAsia="Times New Roman" w:hAnsiTheme="majorBidi" w:cstheme="majorBidi"/>
          <w:sz w:val="18"/>
          <w:szCs w:val="18"/>
        </w:rPr>
        <w:t xml:space="preserve"> </w:t>
      </w:r>
      <w:proofErr w:type="spellStart"/>
      <w:r w:rsidR="00CA651B" w:rsidRPr="00F529AD">
        <w:rPr>
          <w:rFonts w:asciiTheme="majorBidi" w:eastAsia="Times New Roman" w:hAnsiTheme="majorBidi" w:cstheme="majorBidi"/>
          <w:sz w:val="18"/>
          <w:szCs w:val="18"/>
        </w:rPr>
        <w:t>γὰρ</w:t>
      </w:r>
      <w:proofErr w:type="spellEnd"/>
      <w:r w:rsidR="00CA651B" w:rsidRPr="00F529AD">
        <w:rPr>
          <w:rFonts w:asciiTheme="majorBidi" w:eastAsia="Times New Roman" w:hAnsiTheme="majorBidi" w:cstheme="majorBidi"/>
          <w:sz w:val="18"/>
          <w:szCs w:val="18"/>
        </w:rPr>
        <w:t xml:space="preserve"> </w:t>
      </w:r>
      <w:proofErr w:type="spellStart"/>
      <w:r w:rsidR="00CA651B" w:rsidRPr="00F529AD">
        <w:rPr>
          <w:rFonts w:asciiTheme="majorBidi" w:eastAsia="Times New Roman" w:hAnsiTheme="majorBidi" w:cstheme="majorBidi"/>
          <w:sz w:val="18"/>
          <w:szCs w:val="18"/>
        </w:rPr>
        <w:t>τότε</w:t>
      </w:r>
      <w:proofErr w:type="spellEnd"/>
      <w:r w:rsidR="00CA651B" w:rsidRPr="00F529AD">
        <w:rPr>
          <w:rFonts w:asciiTheme="majorBidi" w:eastAsia="Times New Roman" w:hAnsiTheme="majorBidi" w:cstheme="majorBidi"/>
          <w:sz w:val="18"/>
          <w:szCs w:val="18"/>
        </w:rPr>
        <w:t xml:space="preserve"> </w:t>
      </w:r>
      <w:proofErr w:type="spellStart"/>
      <w:r w:rsidR="00CA651B" w:rsidRPr="00F529AD">
        <w:rPr>
          <w:rFonts w:asciiTheme="majorBidi" w:eastAsia="Times New Roman" w:hAnsiTheme="majorBidi" w:cstheme="majorBidi"/>
          <w:sz w:val="18"/>
          <w:szCs w:val="18"/>
        </w:rPr>
        <w:t>δα</w:t>
      </w:r>
      <w:r w:rsidR="00CA651B" w:rsidRPr="00F529AD">
        <w:rPr>
          <w:rFonts w:ascii="Cambria Math" w:eastAsia="Times New Roman" w:hAnsi="Cambria Math" w:cs="Cambria Math"/>
          <w:sz w:val="18"/>
          <w:szCs w:val="18"/>
        </w:rPr>
        <w:t>⌊</w:t>
      </w:r>
      <w:r w:rsidR="00CA651B" w:rsidRPr="00F529AD">
        <w:rPr>
          <w:rFonts w:asciiTheme="majorBidi" w:eastAsia="Times New Roman" w:hAnsiTheme="majorBidi" w:cstheme="majorBidi"/>
          <w:sz w:val="18"/>
          <w:szCs w:val="18"/>
        </w:rPr>
        <w:t>ῖτες</w:t>
      </w:r>
      <w:proofErr w:type="spellEnd"/>
      <w:r w:rsidR="00CA651B" w:rsidRPr="00F529AD">
        <w:rPr>
          <w:rFonts w:asciiTheme="majorBidi" w:eastAsia="Times New Roman" w:hAnsiTheme="majorBidi" w:cstheme="majorBidi"/>
          <w:sz w:val="18"/>
          <w:szCs w:val="18"/>
        </w:rPr>
        <w:t xml:space="preserve"> </w:t>
      </w:r>
      <w:proofErr w:type="spellStart"/>
      <w:r w:rsidR="00CA651B" w:rsidRPr="00F529AD">
        <w:rPr>
          <w:rFonts w:asciiTheme="majorBidi" w:eastAsia="Times New Roman" w:hAnsiTheme="majorBidi" w:cstheme="majorBidi"/>
          <w:sz w:val="18"/>
          <w:szCs w:val="18"/>
        </w:rPr>
        <w:t>ἔσαν</w:t>
      </w:r>
      <w:proofErr w:type="spellEnd"/>
      <w:r w:rsidR="00CA651B" w:rsidRPr="00F529AD">
        <w:rPr>
          <w:rFonts w:asciiTheme="majorBidi" w:eastAsia="Times New Roman" w:hAnsiTheme="majorBidi" w:cstheme="majorBidi"/>
          <w:sz w:val="18"/>
          <w:szCs w:val="18"/>
        </w:rPr>
        <w:t xml:space="preserve">, </w:t>
      </w:r>
      <w:proofErr w:type="spellStart"/>
      <w:r w:rsidR="00CA651B" w:rsidRPr="00F529AD">
        <w:rPr>
          <w:rFonts w:asciiTheme="majorBidi" w:eastAsia="Times New Roman" w:hAnsiTheme="majorBidi" w:cstheme="majorBidi"/>
          <w:sz w:val="18"/>
          <w:szCs w:val="18"/>
        </w:rPr>
        <w:t>ξυνοὶ</w:t>
      </w:r>
      <w:proofErr w:type="spellEnd"/>
      <w:r w:rsidR="00CA651B" w:rsidRPr="00F529AD">
        <w:rPr>
          <w:rFonts w:asciiTheme="majorBidi" w:eastAsia="Times New Roman" w:hAnsiTheme="majorBidi" w:cstheme="majorBidi"/>
          <w:sz w:val="18"/>
          <w:szCs w:val="18"/>
        </w:rPr>
        <w:t xml:space="preserve"> </w:t>
      </w:r>
      <w:proofErr w:type="spellStart"/>
      <w:r w:rsidR="00CA651B" w:rsidRPr="00F529AD">
        <w:rPr>
          <w:rFonts w:asciiTheme="majorBidi" w:eastAsia="Times New Roman" w:hAnsiTheme="majorBidi" w:cstheme="majorBidi"/>
          <w:sz w:val="18"/>
          <w:szCs w:val="18"/>
        </w:rPr>
        <w:t>δὲ</w:t>
      </w:r>
      <w:proofErr w:type="spellEnd"/>
      <w:r w:rsidR="00CA651B" w:rsidRPr="00F529AD">
        <w:rPr>
          <w:rFonts w:asciiTheme="majorBidi" w:eastAsia="Times New Roman" w:hAnsiTheme="majorBidi" w:cstheme="majorBidi"/>
          <w:sz w:val="18"/>
          <w:szCs w:val="18"/>
        </w:rPr>
        <w:t xml:space="preserve"> </w:t>
      </w:r>
      <w:proofErr w:type="spellStart"/>
      <w:r w:rsidR="00CA651B" w:rsidRPr="00F529AD">
        <w:rPr>
          <w:rFonts w:asciiTheme="majorBidi" w:eastAsia="Times New Roman" w:hAnsiTheme="majorBidi" w:cstheme="majorBidi"/>
          <w:sz w:val="18"/>
          <w:szCs w:val="18"/>
        </w:rPr>
        <w:t>θόωκοι</w:t>
      </w:r>
      <w:proofErr w:type="spellEnd"/>
      <w:r w:rsidR="00AE694A">
        <w:rPr>
          <w:rFonts w:asciiTheme="majorBidi" w:eastAsia="Times New Roman" w:hAnsiTheme="majorBidi" w:cstheme="majorBidi"/>
          <w:sz w:val="18"/>
          <w:szCs w:val="18"/>
        </w:rPr>
        <w:t xml:space="preserve">] / </w:t>
      </w:r>
      <w:r w:rsidR="00CA651B" w:rsidRPr="00F529AD">
        <w:rPr>
          <w:rFonts w:asciiTheme="majorBidi" w:eastAsia="Times New Roman" w:hAnsiTheme="majorBidi" w:cstheme="majorBidi"/>
          <w:sz w:val="18"/>
          <w:szCs w:val="18"/>
          <w:lang w:val="el-GR"/>
        </w:rPr>
        <w:t>ἀθανάτοις</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τε</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θε</w:t>
      </w:r>
      <w:r w:rsidR="00CA651B" w:rsidRPr="00AE694A">
        <w:rPr>
          <w:rFonts w:ascii="Cambria Math" w:eastAsia="Times New Roman" w:hAnsi="Cambria Math" w:cs="Cambria Math"/>
          <w:sz w:val="18"/>
          <w:szCs w:val="18"/>
        </w:rPr>
        <w:t>⌊</w:t>
      </w:r>
      <w:r w:rsidR="00CA651B" w:rsidRPr="00F529AD">
        <w:rPr>
          <w:rFonts w:asciiTheme="majorBidi" w:eastAsia="Times New Roman" w:hAnsiTheme="majorBidi" w:cstheme="majorBidi"/>
          <w:sz w:val="18"/>
          <w:szCs w:val="18"/>
          <w:lang w:val="el-GR"/>
        </w:rPr>
        <w:t>οῖσι</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καταθνητοῖς</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τ</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ἀνθρώποις</w:t>
      </w:r>
      <w:r w:rsidR="00CA651B" w:rsidRPr="00AE694A">
        <w:rPr>
          <w:rFonts w:asciiTheme="majorBidi" w:eastAsia="Times New Roman" w:hAnsiTheme="majorBidi" w:cstheme="majorBidi"/>
          <w:sz w:val="18"/>
          <w:szCs w:val="18"/>
        </w:rPr>
        <w:t>.</w:t>
      </w:r>
      <w:r w:rsidR="00AE694A">
        <w:rPr>
          <w:rFonts w:asciiTheme="majorBidi" w:eastAsia="Times New Roman" w:hAnsiTheme="majorBidi" w:cstheme="majorBidi"/>
          <w:sz w:val="18"/>
          <w:szCs w:val="18"/>
        </w:rPr>
        <w:t xml:space="preserve"> / </w:t>
      </w:r>
      <w:r w:rsidR="00CA651B" w:rsidRPr="00AE694A">
        <w:rPr>
          <w:rFonts w:asciiTheme="majorBidi" w:eastAsia="Times New Roman" w:hAnsiTheme="majorBidi" w:cstheme="majorBidi"/>
          <w:sz w:val="18"/>
          <w:szCs w:val="18"/>
        </w:rPr>
        <w:t>[…]</w:t>
      </w:r>
      <w:r w:rsidR="00AE694A">
        <w:rPr>
          <w:rFonts w:asciiTheme="majorBidi" w:eastAsia="Times New Roman" w:hAnsiTheme="majorBidi" w:cstheme="majorBidi"/>
          <w:sz w:val="18"/>
          <w:szCs w:val="18"/>
        </w:rPr>
        <w:t xml:space="preserve"> / </w:t>
      </w:r>
      <w:r w:rsidR="00CA651B" w:rsidRPr="00F529AD">
        <w:rPr>
          <w:rFonts w:asciiTheme="majorBidi" w:eastAsia="Times New Roman" w:hAnsiTheme="majorBidi" w:cstheme="majorBidi"/>
          <w:sz w:val="18"/>
          <w:szCs w:val="18"/>
          <w:lang w:val="el-GR"/>
        </w:rPr>
        <w:t>τ</w:t>
      </w:r>
      <w:r w:rsidR="00CA651B" w:rsidRPr="00AE694A">
        <w:rPr>
          <w:rFonts w:asciiTheme="majorBidi" w:eastAsia="Times New Roman" w:hAnsiTheme="majorBidi" w:cstheme="majorBidi"/>
          <w:sz w:val="18"/>
          <w:szCs w:val="18"/>
        </w:rPr>
        <w:t>̣</w:t>
      </w:r>
      <w:r w:rsidR="00CA651B" w:rsidRPr="00F529AD">
        <w:rPr>
          <w:rFonts w:asciiTheme="majorBidi" w:eastAsia="Times New Roman" w:hAnsiTheme="majorBidi" w:cstheme="majorBidi"/>
          <w:sz w:val="18"/>
          <w:szCs w:val="18"/>
          <w:lang w:val="el-GR"/>
        </w:rPr>
        <w:t>ά</w:t>
      </w:r>
      <w:r w:rsidR="00CA651B" w:rsidRPr="00AE694A">
        <w:rPr>
          <w:rFonts w:asciiTheme="majorBidi" w:eastAsia="Times New Roman" w:hAnsiTheme="majorBidi" w:cstheme="majorBidi"/>
          <w:sz w:val="18"/>
          <w:szCs w:val="18"/>
        </w:rPr>
        <w:t>̣</w:t>
      </w:r>
      <w:r w:rsidR="00CA651B" w:rsidRPr="00F529AD">
        <w:rPr>
          <w:rFonts w:asciiTheme="majorBidi" w:eastAsia="Times New Roman" w:hAnsiTheme="majorBidi" w:cstheme="majorBidi"/>
          <w:sz w:val="18"/>
          <w:szCs w:val="18"/>
          <w:lang w:val="el-GR"/>
        </w:rPr>
        <w:t>ω</w:t>
      </w:r>
      <w:r w:rsidR="00CA651B" w:rsidRPr="00AE694A">
        <w:rPr>
          <w:rFonts w:asciiTheme="majorBidi" w:eastAsia="Times New Roman" w:hAnsiTheme="majorBidi" w:cstheme="majorBidi"/>
          <w:sz w:val="18"/>
          <w:szCs w:val="18"/>
        </w:rPr>
        <w:t>̣</w:t>
      </w:r>
      <w:r w:rsidR="00CA651B" w:rsidRPr="00F529AD">
        <w:rPr>
          <w:rFonts w:asciiTheme="majorBidi" w:eastAsia="Times New Roman" w:hAnsiTheme="majorBidi" w:cstheme="majorBidi"/>
          <w:sz w:val="18"/>
          <w:szCs w:val="18"/>
          <w:lang w:val="el-GR"/>
        </w:rPr>
        <w:t>ν</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ἔσπετε</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μ</w:t>
      </w:r>
      <w:r w:rsidR="00CA651B" w:rsidRPr="00AE694A">
        <w:rPr>
          <w:rFonts w:asciiTheme="majorBidi" w:eastAsia="Times New Roman" w:hAnsiTheme="majorBidi" w:cstheme="majorBidi"/>
          <w:sz w:val="18"/>
          <w:szCs w:val="18"/>
        </w:rPr>
        <w:t>[</w:t>
      </w:r>
      <w:r w:rsidR="00CA651B" w:rsidRPr="00F529AD">
        <w:rPr>
          <w:rFonts w:asciiTheme="majorBidi" w:eastAsia="Times New Roman" w:hAnsiTheme="majorBidi" w:cstheme="majorBidi"/>
          <w:sz w:val="18"/>
          <w:szCs w:val="18"/>
        </w:rPr>
        <w:t>o</w:t>
      </w:r>
      <w:r w:rsidR="00CA651B" w:rsidRPr="00F529AD">
        <w:rPr>
          <w:rFonts w:asciiTheme="majorBidi" w:eastAsia="Times New Roman" w:hAnsiTheme="majorBidi" w:cstheme="majorBidi"/>
          <w:sz w:val="18"/>
          <w:szCs w:val="18"/>
          <w:lang w:val="el-GR"/>
        </w:rPr>
        <w:t>ι</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γενὴν</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τε</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καὶ</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ἀγλαὰ</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τέκνα</w:t>
      </w:r>
      <w:r w:rsidR="00CA651B" w:rsidRPr="00AE694A">
        <w:rPr>
          <w:rFonts w:asciiTheme="majorBidi" w:eastAsia="Times New Roman" w:hAnsiTheme="majorBidi" w:cstheme="majorBidi"/>
          <w:sz w:val="18"/>
          <w:szCs w:val="18"/>
        </w:rPr>
        <w:t>,</w:t>
      </w:r>
      <w:r w:rsidR="00AE694A">
        <w:rPr>
          <w:rFonts w:asciiTheme="majorBidi" w:eastAsia="Times New Roman" w:hAnsiTheme="majorBidi" w:cstheme="majorBidi"/>
          <w:sz w:val="18"/>
          <w:szCs w:val="18"/>
        </w:rPr>
        <w:t xml:space="preserve"> / </w:t>
      </w:r>
      <w:r w:rsidR="00CA651B" w:rsidRPr="00AE694A">
        <w:rPr>
          <w:rFonts w:asciiTheme="majorBidi" w:eastAsia="Times New Roman" w:hAnsiTheme="majorBidi" w:cstheme="majorBidi"/>
          <w:sz w:val="18"/>
          <w:szCs w:val="18"/>
          <w:vertAlign w:val="subscript"/>
        </w:rPr>
        <w:t>(15)</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ὅ</w:t>
      </w:r>
      <w:r w:rsidR="00CA651B" w:rsidRPr="00AE694A">
        <w:rPr>
          <w:rFonts w:asciiTheme="majorBidi" w:eastAsia="Times New Roman" w:hAnsiTheme="majorBidi" w:cstheme="majorBidi"/>
          <w:sz w:val="18"/>
          <w:szCs w:val="18"/>
        </w:rPr>
        <w:t>̣</w:t>
      </w:r>
      <w:r w:rsidR="00CA651B" w:rsidRPr="00F529AD">
        <w:rPr>
          <w:rFonts w:asciiTheme="majorBidi" w:eastAsia="Times New Roman" w:hAnsiTheme="majorBidi" w:cstheme="majorBidi"/>
          <w:sz w:val="18"/>
          <w:szCs w:val="18"/>
          <w:lang w:val="el-GR"/>
        </w:rPr>
        <w:t>σσ</w:t>
      </w:r>
      <w:r w:rsidR="00CA651B" w:rsidRPr="00AE694A">
        <w:rPr>
          <w:rFonts w:asciiTheme="majorBidi" w:eastAsia="Times New Roman" w:hAnsiTheme="majorBidi" w:cstheme="majorBidi"/>
          <w:sz w:val="18"/>
          <w:szCs w:val="18"/>
        </w:rPr>
        <w:t>[</w:t>
      </w:r>
      <w:r w:rsidR="00CA651B" w:rsidRPr="00F529AD">
        <w:rPr>
          <w:rFonts w:asciiTheme="majorBidi" w:eastAsia="Times New Roman" w:hAnsiTheme="majorBidi" w:cstheme="majorBidi"/>
          <w:sz w:val="18"/>
          <w:szCs w:val="18"/>
          <w:lang w:val="el-GR"/>
        </w:rPr>
        <w:t>αι</w:t>
      </w:r>
      <w:r w:rsidR="00CA651B" w:rsidRPr="00AE694A">
        <w:rPr>
          <w:rFonts w:asciiTheme="majorBidi" w:eastAsia="Times New Roman" w:hAnsiTheme="majorBidi" w:cstheme="majorBidi"/>
          <w:sz w:val="18"/>
          <w:szCs w:val="18"/>
        </w:rPr>
        <w:t>]</w:t>
      </w:r>
      <w:r w:rsidR="00CA651B" w:rsidRPr="00F529AD">
        <w:rPr>
          <w:rFonts w:asciiTheme="majorBidi" w:eastAsia="Times New Roman" w:hAnsiTheme="majorBidi" w:cstheme="majorBidi"/>
          <w:sz w:val="18"/>
          <w:szCs w:val="18"/>
          <w:lang w:val="el-GR"/>
        </w:rPr>
        <w:t>ς</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δὴ</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π</w:t>
      </w:r>
      <w:r w:rsidR="00CA651B" w:rsidRPr="00AE694A">
        <w:rPr>
          <w:rFonts w:asciiTheme="majorBidi" w:eastAsia="Times New Roman" w:hAnsiTheme="majorBidi" w:cstheme="majorBidi"/>
          <w:sz w:val="18"/>
          <w:szCs w:val="18"/>
        </w:rPr>
        <w:t>̣</w:t>
      </w:r>
      <w:r w:rsidR="00CA651B" w:rsidRPr="00F529AD">
        <w:rPr>
          <w:rFonts w:asciiTheme="majorBidi" w:eastAsia="Times New Roman" w:hAnsiTheme="majorBidi" w:cstheme="majorBidi"/>
          <w:sz w:val="18"/>
          <w:szCs w:val="18"/>
          <w:lang w:val="el-GR"/>
        </w:rPr>
        <w:t>αρέλ</w:t>
      </w:r>
      <w:r w:rsidR="00CA651B" w:rsidRPr="00AE694A">
        <w:rPr>
          <w:rFonts w:asciiTheme="majorBidi" w:eastAsia="Times New Roman" w:hAnsiTheme="majorBidi" w:cstheme="majorBidi"/>
          <w:sz w:val="18"/>
          <w:szCs w:val="18"/>
        </w:rPr>
        <w:t>[</w:t>
      </w:r>
      <w:r w:rsidR="00CA651B" w:rsidRPr="00F529AD">
        <w:rPr>
          <w:rFonts w:asciiTheme="majorBidi" w:eastAsia="Times New Roman" w:hAnsiTheme="majorBidi" w:cstheme="majorBidi"/>
          <w:sz w:val="18"/>
          <w:szCs w:val="18"/>
          <w:lang w:val="el-GR"/>
        </w:rPr>
        <w:t>εκτο</w:t>
      </w:r>
      <w:r w:rsid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πατὴρ</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ἀνδρῶν</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τε</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θεῶν</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τε</w:t>
      </w:r>
      <w:r w:rsidR="00AE694A">
        <w:rPr>
          <w:rFonts w:asciiTheme="majorBidi" w:eastAsia="Times New Roman" w:hAnsiTheme="majorBidi" w:cstheme="majorBidi"/>
          <w:sz w:val="18"/>
          <w:szCs w:val="18"/>
        </w:rPr>
        <w:t xml:space="preserve">] / </w:t>
      </w:r>
      <w:r w:rsidR="00CA651B" w:rsidRPr="00F529AD">
        <w:rPr>
          <w:rFonts w:asciiTheme="majorBidi" w:eastAsia="Times New Roman" w:hAnsiTheme="majorBidi" w:cstheme="majorBidi"/>
          <w:sz w:val="18"/>
          <w:szCs w:val="18"/>
          <w:lang w:val="el-GR"/>
        </w:rPr>
        <w:t>σ</w:t>
      </w:r>
      <w:r w:rsidR="00CA651B" w:rsidRPr="00AE694A">
        <w:rPr>
          <w:rFonts w:asciiTheme="majorBidi" w:eastAsia="Times New Roman" w:hAnsiTheme="majorBidi" w:cstheme="majorBidi"/>
          <w:sz w:val="18"/>
          <w:szCs w:val="18"/>
        </w:rPr>
        <w:t>]</w:t>
      </w:r>
      <w:r w:rsidR="00CA651B" w:rsidRPr="00F529AD">
        <w:rPr>
          <w:rFonts w:asciiTheme="majorBidi" w:eastAsia="Times New Roman" w:hAnsiTheme="majorBidi" w:cstheme="majorBidi"/>
          <w:sz w:val="18"/>
          <w:szCs w:val="18"/>
          <w:lang w:val="el-GR"/>
        </w:rPr>
        <w:t>περμ</w:t>
      </w:r>
      <w:r w:rsidR="00CA651B" w:rsidRPr="00AE694A">
        <w:rPr>
          <w:rFonts w:asciiTheme="majorBidi" w:eastAsia="Times New Roman" w:hAnsiTheme="majorBidi" w:cstheme="majorBidi"/>
          <w:sz w:val="18"/>
          <w:szCs w:val="18"/>
        </w:rPr>
        <w:t>[</w:t>
      </w:r>
      <w:r w:rsidR="00CA651B" w:rsidRPr="00F529AD">
        <w:rPr>
          <w:rFonts w:asciiTheme="majorBidi" w:eastAsia="Times New Roman" w:hAnsiTheme="majorBidi" w:cstheme="majorBidi"/>
          <w:sz w:val="18"/>
          <w:szCs w:val="18"/>
          <w:lang w:val="el-GR"/>
        </w:rPr>
        <w:t>αί</w:t>
      </w:r>
      <w:r w:rsidR="00CA651B" w:rsidRPr="00AE694A">
        <w:rPr>
          <w:rFonts w:asciiTheme="majorBidi" w:eastAsia="Times New Roman" w:hAnsiTheme="majorBidi" w:cstheme="majorBidi"/>
          <w:sz w:val="18"/>
          <w:szCs w:val="18"/>
        </w:rPr>
        <w:t>]</w:t>
      </w:r>
      <w:r w:rsidR="00CA651B" w:rsidRPr="00F529AD">
        <w:rPr>
          <w:rFonts w:asciiTheme="majorBidi" w:eastAsia="Times New Roman" w:hAnsiTheme="majorBidi" w:cstheme="majorBidi"/>
          <w:sz w:val="18"/>
          <w:szCs w:val="18"/>
          <w:lang w:val="el-GR"/>
        </w:rPr>
        <w:t>νων</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τα</w:t>
      </w:r>
      <w:r w:rsidR="00CA651B" w:rsidRPr="00AE694A">
        <w:rPr>
          <w:rFonts w:asciiTheme="majorBidi" w:eastAsia="Times New Roman" w:hAnsiTheme="majorBidi" w:cstheme="majorBidi"/>
          <w:sz w:val="18"/>
          <w:szCs w:val="18"/>
        </w:rPr>
        <w:t>[</w:t>
      </w:r>
      <w:r w:rsidR="00AE694A">
        <w:rPr>
          <w:rFonts w:asciiTheme="majorBidi" w:eastAsia="Times New Roman" w:hAnsiTheme="majorBidi" w:cstheme="majorBidi"/>
          <w:sz w:val="18"/>
          <w:szCs w:val="18"/>
        </w:rPr>
        <w:t xml:space="preserve">  ] / </w:t>
      </w:r>
      <w:r w:rsidR="00CA651B" w:rsidRPr="00AE694A">
        <w:rPr>
          <w:rFonts w:asciiTheme="majorBidi" w:eastAsia="Times New Roman" w:hAnsiTheme="majorBidi" w:cstheme="majorBidi"/>
          <w:sz w:val="18"/>
          <w:szCs w:val="18"/>
        </w:rPr>
        <w:t>.]</w:t>
      </w:r>
      <w:r w:rsidR="00CA651B" w:rsidRPr="00F529AD">
        <w:rPr>
          <w:rFonts w:asciiTheme="majorBidi" w:eastAsia="Times New Roman" w:hAnsiTheme="majorBidi" w:cstheme="majorBidi"/>
          <w:sz w:val="18"/>
          <w:szCs w:val="18"/>
          <w:lang w:val="el-GR"/>
        </w:rPr>
        <w:t>ς</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τε</w:t>
      </w:r>
      <w:r w:rsidR="00CA651B" w:rsidRPr="00AE694A">
        <w:rPr>
          <w:rFonts w:asciiTheme="majorBidi" w:eastAsia="Times New Roman" w:hAnsiTheme="majorBidi" w:cstheme="majorBidi"/>
          <w:sz w:val="18"/>
          <w:szCs w:val="18"/>
        </w:rPr>
        <w:t xml:space="preserve">̣ </w:t>
      </w:r>
      <w:r w:rsidR="00CA651B" w:rsidRPr="00F529AD">
        <w:rPr>
          <w:rFonts w:asciiTheme="majorBidi" w:eastAsia="Times New Roman" w:hAnsiTheme="majorBidi" w:cstheme="majorBidi"/>
          <w:sz w:val="18"/>
          <w:szCs w:val="18"/>
          <w:lang w:val="el-GR"/>
        </w:rPr>
        <w:t>Π</w:t>
      </w:r>
      <w:r w:rsidR="00CA651B" w:rsidRPr="00AE694A">
        <w:rPr>
          <w:rFonts w:asciiTheme="majorBidi" w:eastAsia="Times New Roman" w:hAnsiTheme="majorBidi" w:cstheme="majorBidi"/>
          <w:sz w:val="18"/>
          <w:szCs w:val="18"/>
        </w:rPr>
        <w:t>̣[</w:t>
      </w:r>
      <w:r w:rsidR="00CA651B" w:rsidRPr="00F529AD">
        <w:rPr>
          <w:rFonts w:asciiTheme="majorBidi" w:eastAsia="Times New Roman" w:hAnsiTheme="majorBidi" w:cstheme="majorBidi"/>
          <w:sz w:val="18"/>
          <w:szCs w:val="18"/>
          <w:lang w:val="el-GR"/>
        </w:rPr>
        <w:t>ο</w:t>
      </w:r>
      <w:r w:rsidR="00CA651B" w:rsidRPr="00AE694A">
        <w:rPr>
          <w:rFonts w:asciiTheme="majorBidi" w:eastAsia="Times New Roman" w:hAnsiTheme="majorBidi" w:cstheme="majorBidi"/>
          <w:sz w:val="18"/>
          <w:szCs w:val="18"/>
        </w:rPr>
        <w:t>]</w:t>
      </w:r>
      <w:r w:rsidR="00CA651B" w:rsidRPr="00F529AD">
        <w:rPr>
          <w:rFonts w:asciiTheme="majorBidi" w:eastAsia="Times New Roman" w:hAnsiTheme="majorBidi" w:cstheme="majorBidi"/>
          <w:sz w:val="18"/>
          <w:szCs w:val="18"/>
          <w:lang w:val="el-GR"/>
        </w:rPr>
        <w:t>σειδάω</w:t>
      </w:r>
      <w:r w:rsidR="00CA651B" w:rsidRPr="00AE694A">
        <w:rPr>
          <w:rFonts w:asciiTheme="majorBidi" w:eastAsia="Times New Roman" w:hAnsiTheme="majorBidi" w:cstheme="majorBidi"/>
          <w:sz w:val="18"/>
          <w:szCs w:val="18"/>
        </w:rPr>
        <w:t>[</w:t>
      </w:r>
      <w:r w:rsidR="00CA651B" w:rsidRPr="00F529AD">
        <w:rPr>
          <w:rFonts w:asciiTheme="majorBidi" w:eastAsia="Times New Roman" w:hAnsiTheme="majorBidi" w:cstheme="majorBidi"/>
          <w:sz w:val="18"/>
          <w:szCs w:val="18"/>
          <w:lang w:val="el-GR"/>
        </w:rPr>
        <w:t>ν</w:t>
      </w:r>
      <w:r w:rsidR="00AE694A">
        <w:rPr>
          <w:rFonts w:asciiTheme="majorBidi" w:eastAsia="Times New Roman" w:hAnsiTheme="majorBidi" w:cstheme="majorBidi"/>
          <w:sz w:val="18"/>
          <w:szCs w:val="18"/>
        </w:rPr>
        <w:t>] / [</w:t>
      </w:r>
      <w:r w:rsidR="00CA651B" w:rsidRPr="00F529AD">
        <w:rPr>
          <w:rFonts w:asciiTheme="majorBidi" w:eastAsia="Times New Roman" w:hAnsiTheme="majorBidi" w:cstheme="majorBidi"/>
          <w:sz w:val="18"/>
          <w:szCs w:val="18"/>
        </w:rPr>
        <w:t xml:space="preserve">…. .]ν τ’ </w:t>
      </w:r>
      <w:proofErr w:type="spellStart"/>
      <w:r w:rsidR="00CA651B" w:rsidRPr="00F529AD">
        <w:rPr>
          <w:rFonts w:asciiTheme="majorBidi" w:eastAsia="Times New Roman" w:hAnsiTheme="majorBidi" w:cstheme="majorBidi"/>
          <w:sz w:val="18"/>
          <w:szCs w:val="18"/>
        </w:rPr>
        <w:t>Ἄρης</w:t>
      </w:r>
      <w:proofErr w:type="spellEnd"/>
      <w:r w:rsidR="00CA651B" w:rsidRPr="00F529AD">
        <w:rPr>
          <w:rFonts w:asciiTheme="majorBidi" w:eastAsia="Times New Roman" w:hAnsiTheme="majorBidi" w:cstheme="majorBidi"/>
          <w:sz w:val="18"/>
          <w:szCs w:val="18"/>
        </w:rPr>
        <w:t xml:space="preserve"> [</w:t>
      </w:r>
    </w:p>
  </w:footnote>
  <w:footnote w:id="18">
    <w:p w:rsidR="00295974" w:rsidRPr="00022A72" w:rsidRDefault="00295974" w:rsidP="00E831B6">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ראו הסקירה אצל וסטרמן 1976,</w:t>
      </w:r>
      <w:r>
        <w:rPr>
          <w:rFonts w:cs="David" w:hint="cs"/>
          <w:sz w:val="18"/>
          <w:rtl/>
        </w:rPr>
        <w:t xml:space="preserve"> עמ'</w:t>
      </w:r>
      <w:r w:rsidRPr="00022A72">
        <w:rPr>
          <w:rFonts w:cs="David" w:hint="cs"/>
          <w:sz w:val="18"/>
          <w:rtl/>
        </w:rPr>
        <w:t xml:space="preserve"> 379</w:t>
      </w:r>
      <w:r w:rsidRPr="00022A72">
        <w:rPr>
          <w:rFonts w:cs="David" w:hint="eastAsia"/>
          <w:sz w:val="18"/>
          <w:rtl/>
        </w:rPr>
        <w:t>–</w:t>
      </w:r>
      <w:r w:rsidRPr="00022A72">
        <w:rPr>
          <w:rFonts w:cs="David" w:hint="cs"/>
          <w:sz w:val="18"/>
          <w:rtl/>
        </w:rPr>
        <w:softHyphen/>
        <w:t>380; וברטלמוס 1979,</w:t>
      </w:r>
      <w:r>
        <w:rPr>
          <w:rFonts w:cs="David" w:hint="cs"/>
          <w:sz w:val="18"/>
          <w:rtl/>
        </w:rPr>
        <w:t xml:space="preserve"> עמ'</w:t>
      </w:r>
      <w:r w:rsidRPr="00022A72">
        <w:rPr>
          <w:rFonts w:cs="David" w:hint="cs"/>
          <w:sz w:val="18"/>
          <w:rtl/>
        </w:rPr>
        <w:t xml:space="preserve"> 36</w:t>
      </w:r>
      <w:r w:rsidRPr="00022A72">
        <w:rPr>
          <w:rFonts w:cs="David" w:hint="eastAsia"/>
          <w:sz w:val="18"/>
          <w:rtl/>
        </w:rPr>
        <w:t>–</w:t>
      </w:r>
      <w:r w:rsidRPr="00022A72">
        <w:rPr>
          <w:rFonts w:cs="David" w:hint="cs"/>
          <w:sz w:val="18"/>
          <w:rtl/>
        </w:rPr>
        <w:t>78. בעקבות קאסוטו תש"ג,</w:t>
      </w:r>
      <w:r>
        <w:rPr>
          <w:rFonts w:cs="David" w:hint="cs"/>
          <w:sz w:val="18"/>
          <w:rtl/>
        </w:rPr>
        <w:t xml:space="preserve"> עמ'</w:t>
      </w:r>
      <w:r w:rsidRPr="00022A72">
        <w:rPr>
          <w:rFonts w:cs="David" w:hint="cs"/>
          <w:sz w:val="18"/>
          <w:rtl/>
        </w:rPr>
        <w:t xml:space="preserve"> 103</w:t>
      </w:r>
      <w:r w:rsidRPr="00022A72">
        <w:rPr>
          <w:rFonts w:cs="David" w:hint="eastAsia"/>
          <w:sz w:val="18"/>
          <w:rtl/>
        </w:rPr>
        <w:t>–</w:t>
      </w:r>
      <w:r w:rsidRPr="00022A72">
        <w:rPr>
          <w:rFonts w:cs="David" w:hint="cs"/>
          <w:sz w:val="18"/>
          <w:rtl/>
        </w:rPr>
        <w:t>104, הרבו להשוות את הסיפור בבר' ו 1–4 לסיפור 'הולדת האלים הנעימים שחר ושלם' (</w:t>
      </w:r>
      <w:r w:rsidRPr="00022A72">
        <w:rPr>
          <w:rFonts w:cs="David"/>
          <w:i/>
          <w:iCs/>
          <w:sz w:val="18"/>
        </w:rPr>
        <w:t>KTU</w:t>
      </w:r>
      <w:r w:rsidRPr="00022A72">
        <w:rPr>
          <w:rFonts w:cs="David"/>
          <w:sz w:val="18"/>
          <w:vertAlign w:val="superscript"/>
        </w:rPr>
        <w:t>3</w:t>
      </w:r>
      <w:r w:rsidRPr="00022A72">
        <w:rPr>
          <w:rFonts w:cs="David"/>
          <w:sz w:val="18"/>
        </w:rPr>
        <w:t xml:space="preserve"> 1.23</w:t>
      </w:r>
      <w:r w:rsidRPr="00022A72">
        <w:rPr>
          <w:rFonts w:cs="David" w:hint="cs"/>
          <w:sz w:val="18"/>
          <w:rtl/>
        </w:rPr>
        <w:t>)</w:t>
      </w:r>
      <w:r>
        <w:rPr>
          <w:rFonts w:cs="David" w:hint="cs"/>
          <w:sz w:val="18"/>
          <w:rtl/>
        </w:rPr>
        <w:t>,</w:t>
      </w:r>
      <w:r w:rsidRPr="00022A72">
        <w:rPr>
          <w:rFonts w:cs="David" w:hint="cs"/>
          <w:sz w:val="18"/>
          <w:rtl/>
        </w:rPr>
        <w:t xml:space="preserve"> אף שאין שום ביטחון שהנשים שפגש אל בסיפור זה הן בשר ודם. ה</w:t>
      </w:r>
      <w:r w:rsidR="00DB7A08">
        <w:rPr>
          <w:rFonts w:cs="David" w:hint="cs"/>
          <w:sz w:val="18"/>
          <w:rtl/>
        </w:rPr>
        <w:t>מלה</w:t>
      </w:r>
      <w:r w:rsidRPr="00022A72">
        <w:rPr>
          <w:rFonts w:cs="David" w:hint="cs"/>
          <w:sz w:val="18"/>
          <w:rtl/>
        </w:rPr>
        <w:t xml:space="preserve"> </w:t>
      </w:r>
      <w:proofErr w:type="spellStart"/>
      <w:r w:rsidRPr="00022A72">
        <w:rPr>
          <w:rFonts w:cs="David"/>
          <w:i/>
          <w:iCs/>
          <w:sz w:val="18"/>
        </w:rPr>
        <w:t>ʾaṯtm</w:t>
      </w:r>
      <w:proofErr w:type="spellEnd"/>
      <w:r w:rsidRPr="00022A72">
        <w:rPr>
          <w:rFonts w:cs="David" w:hint="cs"/>
          <w:sz w:val="18"/>
          <w:rtl/>
        </w:rPr>
        <w:t xml:space="preserve">, המתארת את שתי הדמויות הנשיות בסיפור (שורות 39, 42, 43, 46, 52, 60, 64), מציינת את עובדת היותן נקבות ונְשות אל, ולא את היותן בנות תמותה דווקא. יש לשים לב כי כפי שהן נחשבות </w:t>
      </w:r>
      <w:r>
        <w:rPr>
          <w:rFonts w:cs="David" w:hint="cs"/>
          <w:sz w:val="18"/>
          <w:rtl/>
        </w:rPr>
        <w:t>ל</w:t>
      </w:r>
      <w:r w:rsidRPr="00022A72">
        <w:rPr>
          <w:rFonts w:cs="David" w:hint="cs"/>
          <w:sz w:val="18"/>
          <w:rtl/>
        </w:rPr>
        <w:t>נשותיו של אל (</w:t>
      </w:r>
      <w:r w:rsidRPr="00022A72">
        <w:rPr>
          <w:rFonts w:cs="David"/>
          <w:i/>
          <w:iCs/>
          <w:sz w:val="18"/>
        </w:rPr>
        <w:t>ʾ</w:t>
      </w:r>
      <w:r w:rsidRPr="00022A72">
        <w:rPr>
          <w:rFonts w:cs="David"/>
          <w:i/>
          <w:iCs/>
          <w:sz w:val="18"/>
          <w:lang w:val="fr-FR"/>
        </w:rPr>
        <w:t>a[ṯ]</w:t>
      </w:r>
      <w:proofErr w:type="spellStart"/>
      <w:r w:rsidRPr="00022A72">
        <w:rPr>
          <w:rFonts w:cs="David"/>
          <w:i/>
          <w:iCs/>
          <w:sz w:val="18"/>
          <w:lang w:val="fr-FR"/>
        </w:rPr>
        <w:t>tm</w:t>
      </w:r>
      <w:proofErr w:type="spellEnd"/>
      <w:r w:rsidRPr="00022A72">
        <w:rPr>
          <w:rFonts w:cs="David"/>
          <w:i/>
          <w:iCs/>
          <w:sz w:val="18"/>
          <w:lang w:val="fr-FR"/>
        </w:rPr>
        <w:t xml:space="preserve">. </w:t>
      </w:r>
      <w:r w:rsidRPr="00022A72">
        <w:rPr>
          <w:rFonts w:cs="David"/>
          <w:i/>
          <w:iCs/>
          <w:sz w:val="18"/>
        </w:rPr>
        <w:t>ʾ</w:t>
      </w:r>
      <w:proofErr w:type="spellStart"/>
      <w:r w:rsidRPr="00022A72">
        <w:rPr>
          <w:rFonts w:cs="David"/>
          <w:i/>
          <w:iCs/>
          <w:sz w:val="18"/>
          <w:lang w:val="fr-FR"/>
        </w:rPr>
        <w:t>aṯt</w:t>
      </w:r>
      <w:proofErr w:type="spellEnd"/>
      <w:r w:rsidRPr="00022A72">
        <w:rPr>
          <w:rFonts w:cs="David"/>
          <w:i/>
          <w:iCs/>
          <w:sz w:val="18"/>
          <w:lang w:val="fr-FR"/>
        </w:rPr>
        <w:t xml:space="preserve">. </w:t>
      </w:r>
      <w:r w:rsidRPr="00022A72">
        <w:rPr>
          <w:rFonts w:cs="David"/>
          <w:i/>
          <w:iCs/>
          <w:sz w:val="18"/>
        </w:rPr>
        <w:t>ʾ</w:t>
      </w:r>
      <w:r w:rsidRPr="00022A72">
        <w:rPr>
          <w:rFonts w:cs="David"/>
          <w:i/>
          <w:iCs/>
          <w:sz w:val="18"/>
          <w:lang w:val="fr-FR"/>
        </w:rPr>
        <w:t xml:space="preserve">il. </w:t>
      </w:r>
      <w:r w:rsidRPr="00022A72">
        <w:rPr>
          <w:rFonts w:cs="David"/>
          <w:i/>
          <w:iCs/>
          <w:sz w:val="18"/>
        </w:rPr>
        <w:t>ʾ</w:t>
      </w:r>
      <w:proofErr w:type="spellStart"/>
      <w:r w:rsidRPr="00022A72">
        <w:rPr>
          <w:rFonts w:cs="David"/>
          <w:i/>
          <w:iCs/>
          <w:sz w:val="18"/>
          <w:lang w:val="fr-FR"/>
        </w:rPr>
        <w:t>aṯt</w:t>
      </w:r>
      <w:proofErr w:type="spellEnd"/>
      <w:r w:rsidRPr="00022A72">
        <w:rPr>
          <w:rFonts w:cs="David"/>
          <w:i/>
          <w:iCs/>
          <w:sz w:val="18"/>
          <w:lang w:val="fr-FR"/>
        </w:rPr>
        <w:t>.</w:t>
      </w:r>
      <w:r w:rsidRPr="00022A72">
        <w:rPr>
          <w:rFonts w:cs="David"/>
          <w:i/>
          <w:iCs/>
          <w:sz w:val="18"/>
        </w:rPr>
        <w:t xml:space="preserve"> ʾ</w:t>
      </w:r>
      <w:r w:rsidRPr="00022A72">
        <w:rPr>
          <w:rFonts w:cs="David"/>
          <w:i/>
          <w:iCs/>
          <w:sz w:val="18"/>
          <w:lang w:val="fr-FR"/>
        </w:rPr>
        <w:t xml:space="preserve">il. </w:t>
      </w:r>
      <w:proofErr w:type="spellStart"/>
      <w:proofErr w:type="gramStart"/>
      <w:r w:rsidRPr="00022A72">
        <w:rPr>
          <w:rFonts w:cs="David"/>
          <w:i/>
          <w:iCs/>
          <w:sz w:val="18"/>
          <w:lang w:val="fr-FR"/>
        </w:rPr>
        <w:t>w‘lmh</w:t>
      </w:r>
      <w:proofErr w:type="spellEnd"/>
      <w:proofErr w:type="gramEnd"/>
      <w:r w:rsidR="006156E1">
        <w:rPr>
          <w:rFonts w:cs="David" w:hint="cs"/>
          <w:sz w:val="18"/>
          <w:rtl/>
          <w:lang w:val="fr-FR"/>
        </w:rPr>
        <w:t>=</w:t>
      </w:r>
      <w:r w:rsidRPr="00022A72">
        <w:rPr>
          <w:rFonts w:cs="David" w:hint="cs"/>
          <w:sz w:val="18"/>
          <w:rtl/>
        </w:rPr>
        <w:t xml:space="preserve"> הנשים נשות אל נשות אל לעולם, שורה 42) כך הוא נחשב בעיניהם כאיש וקוראות לו </w:t>
      </w:r>
      <w:r w:rsidRPr="00022A72">
        <w:rPr>
          <w:rFonts w:cs="David"/>
          <w:i/>
          <w:iCs/>
          <w:sz w:val="18"/>
        </w:rPr>
        <w:t>ymt</w:t>
      </w:r>
      <w:r w:rsidRPr="00022A72">
        <w:rPr>
          <w:rFonts w:cs="David"/>
          <w:sz w:val="18"/>
        </w:rPr>
        <w:t>.</w:t>
      </w:r>
      <w:r w:rsidRPr="00022A72">
        <w:rPr>
          <w:rFonts w:cs="David"/>
          <w:i/>
          <w:iCs/>
          <w:sz w:val="18"/>
        </w:rPr>
        <w:t>mt</w:t>
      </w:r>
      <w:r w:rsidRPr="00022A72">
        <w:rPr>
          <w:rFonts w:cs="David" w:hint="cs"/>
          <w:i/>
          <w:iCs/>
          <w:sz w:val="18"/>
          <w:rtl/>
        </w:rPr>
        <w:t xml:space="preserve"> </w:t>
      </w:r>
      <w:r w:rsidRPr="00022A72">
        <w:rPr>
          <w:rFonts w:cs="David" w:hint="cs"/>
          <w:sz w:val="18"/>
          <w:rtl/>
        </w:rPr>
        <w:t>(</w:t>
      </w:r>
      <w:r w:rsidR="005E7C05">
        <w:rPr>
          <w:rFonts w:cs="David" w:hint="cs"/>
          <w:sz w:val="18"/>
          <w:rtl/>
        </w:rPr>
        <w:t xml:space="preserve">= </w:t>
      </w:r>
      <w:r w:rsidRPr="00022A72">
        <w:rPr>
          <w:rFonts w:cs="David" w:hint="cs"/>
          <w:sz w:val="18"/>
          <w:rtl/>
        </w:rPr>
        <w:t xml:space="preserve">הו אישי, אישי, שורה 40). גם ב'עלילות בעל' מתייחס שם העצם </w:t>
      </w:r>
      <w:proofErr w:type="spellStart"/>
      <w:r w:rsidRPr="00022A72">
        <w:rPr>
          <w:rFonts w:cs="David"/>
          <w:i/>
          <w:iCs/>
          <w:sz w:val="18"/>
        </w:rPr>
        <w:t>ʾaṯt</w:t>
      </w:r>
      <w:proofErr w:type="spellEnd"/>
      <w:r w:rsidRPr="00022A72">
        <w:rPr>
          <w:rFonts w:cs="David" w:hint="cs"/>
          <w:sz w:val="18"/>
          <w:rtl/>
        </w:rPr>
        <w:t>לאלות (</w:t>
      </w:r>
      <w:r w:rsidRPr="00022A72">
        <w:rPr>
          <w:rFonts w:cs="David"/>
          <w:i/>
          <w:iCs/>
          <w:sz w:val="18"/>
        </w:rPr>
        <w:t>KTU</w:t>
      </w:r>
      <w:r w:rsidRPr="00022A72">
        <w:rPr>
          <w:rFonts w:cs="David"/>
          <w:sz w:val="18"/>
          <w:vertAlign w:val="superscript"/>
        </w:rPr>
        <w:t>3</w:t>
      </w:r>
      <w:r w:rsidRPr="00022A72">
        <w:rPr>
          <w:rFonts w:cs="David"/>
          <w:sz w:val="18"/>
        </w:rPr>
        <w:t xml:space="preserve"> 1.2 III 22; 1.3 IV 40</w:t>
      </w:r>
      <w:r w:rsidRPr="00022A72">
        <w:rPr>
          <w:rFonts w:cs="David" w:hint="cs"/>
          <w:sz w:val="18"/>
          <w:rtl/>
        </w:rPr>
        <w:t xml:space="preserve">). היום מקובלת יותר הדעה שהכוונה </w:t>
      </w:r>
      <w:r w:rsidR="00BF5645">
        <w:rPr>
          <w:rFonts w:cs="David" w:hint="cs"/>
          <w:sz w:val="18"/>
          <w:rtl/>
        </w:rPr>
        <w:t xml:space="preserve">אמנם </w:t>
      </w:r>
      <w:r w:rsidRPr="00022A72">
        <w:rPr>
          <w:rFonts w:cs="David" w:hint="cs"/>
          <w:sz w:val="18"/>
          <w:rtl/>
        </w:rPr>
        <w:t xml:space="preserve">לאלות, בין את'רת (אשרה) ורחמי, הנזכרות כמה פעמים קודם בטקסט (שורות 13, 28 השוו שורה 16), </w:t>
      </w:r>
      <w:r>
        <w:rPr>
          <w:rFonts w:cs="David" w:hint="cs"/>
          <w:sz w:val="18"/>
          <w:rtl/>
        </w:rPr>
        <w:t>ו</w:t>
      </w:r>
      <w:r w:rsidRPr="00022A72">
        <w:rPr>
          <w:rFonts w:cs="David" w:hint="cs"/>
          <w:sz w:val="18"/>
          <w:rtl/>
        </w:rPr>
        <w:t>בין ישויות אלוהיות אחרות. לסקירת הדעות השונות ראו למשל</w:t>
      </w:r>
      <w:r w:rsidR="00E831B6">
        <w:rPr>
          <w:rFonts w:cs="David" w:hint="cs"/>
          <w:sz w:val="18"/>
          <w:rtl/>
        </w:rPr>
        <w:t xml:space="preserve"> </w:t>
      </w:r>
      <w:r w:rsidRPr="00022A72">
        <w:rPr>
          <w:rFonts w:cs="David" w:hint="cs"/>
          <w:sz w:val="18"/>
          <w:rtl/>
        </w:rPr>
        <w:t>ויאט 2000,</w:t>
      </w:r>
      <w:r>
        <w:rPr>
          <w:rFonts w:cs="David" w:hint="cs"/>
          <w:sz w:val="18"/>
          <w:rtl/>
        </w:rPr>
        <w:t xml:space="preserve"> עמ'</w:t>
      </w:r>
      <w:r w:rsidRPr="00022A72">
        <w:rPr>
          <w:rFonts w:cs="David" w:hint="cs"/>
          <w:sz w:val="18"/>
          <w:rtl/>
        </w:rPr>
        <w:t xml:space="preserve"> 324</w:t>
      </w:r>
      <w:r w:rsidRPr="00022A72">
        <w:rPr>
          <w:rFonts w:cs="David" w:hint="eastAsia"/>
          <w:sz w:val="18"/>
          <w:rtl/>
        </w:rPr>
        <w:t>–</w:t>
      </w:r>
      <w:r>
        <w:rPr>
          <w:rFonts w:cs="David" w:hint="cs"/>
          <w:sz w:val="18"/>
          <w:rtl/>
        </w:rPr>
        <w:t>335;</w:t>
      </w:r>
      <w:r w:rsidRPr="00022A72">
        <w:rPr>
          <w:rFonts w:cs="David" w:hint="cs"/>
          <w:sz w:val="18"/>
          <w:rtl/>
        </w:rPr>
        <w:t xml:space="preserve"> אך ראו פרדי 2003,</w:t>
      </w:r>
      <w:r>
        <w:rPr>
          <w:rFonts w:cs="David" w:hint="cs"/>
          <w:sz w:val="18"/>
          <w:rtl/>
        </w:rPr>
        <w:t xml:space="preserve"> עמ'</w:t>
      </w:r>
      <w:r w:rsidRPr="00022A72">
        <w:rPr>
          <w:rFonts w:cs="David" w:hint="cs"/>
          <w:sz w:val="18"/>
          <w:rtl/>
        </w:rPr>
        <w:t xml:space="preserve"> 280 הע</w:t>
      </w:r>
      <w:r>
        <w:rPr>
          <w:rFonts w:cs="David" w:hint="cs"/>
          <w:sz w:val="18"/>
          <w:rtl/>
        </w:rPr>
        <w:t>רה</w:t>
      </w:r>
      <w:r w:rsidRPr="00022A72">
        <w:rPr>
          <w:rFonts w:cs="David" w:hint="cs"/>
          <w:sz w:val="18"/>
          <w:rtl/>
        </w:rPr>
        <w:t xml:space="preserve"> 44. על החיבור ראו גם סמית 2006,</w:t>
      </w:r>
      <w:r>
        <w:rPr>
          <w:rFonts w:cs="David" w:hint="cs"/>
          <w:sz w:val="18"/>
          <w:rtl/>
        </w:rPr>
        <w:t xml:space="preserve"> עמ'</w:t>
      </w:r>
      <w:r w:rsidRPr="00022A72">
        <w:rPr>
          <w:rFonts w:cs="David" w:hint="cs"/>
          <w:sz w:val="18"/>
          <w:rtl/>
        </w:rPr>
        <w:t xml:space="preserve"> 82</w:t>
      </w:r>
      <w:r w:rsidRPr="00022A72">
        <w:rPr>
          <w:rFonts w:cs="David" w:hint="eastAsia"/>
          <w:sz w:val="18"/>
          <w:rtl/>
        </w:rPr>
        <w:t>–</w:t>
      </w:r>
      <w:r w:rsidRPr="00022A72">
        <w:rPr>
          <w:rFonts w:cs="David" w:hint="cs"/>
          <w:sz w:val="18"/>
          <w:rtl/>
        </w:rPr>
        <w:t>92; דרשן ודרשן תשס"ט,</w:t>
      </w:r>
      <w:r>
        <w:rPr>
          <w:rFonts w:cs="David" w:hint="cs"/>
          <w:sz w:val="18"/>
          <w:rtl/>
        </w:rPr>
        <w:t xml:space="preserve"> עמ'</w:t>
      </w:r>
      <w:r w:rsidRPr="00022A72">
        <w:rPr>
          <w:rFonts w:cs="David" w:hint="cs"/>
          <w:sz w:val="18"/>
          <w:rtl/>
        </w:rPr>
        <w:t xml:space="preserve"> 38</w:t>
      </w:r>
      <w:r w:rsidRPr="00022A72">
        <w:rPr>
          <w:rFonts w:cs="David" w:hint="eastAsia"/>
          <w:sz w:val="18"/>
          <w:rtl/>
        </w:rPr>
        <w:t>–</w:t>
      </w:r>
      <w:r w:rsidRPr="00022A72">
        <w:rPr>
          <w:rFonts w:cs="David" w:hint="cs"/>
          <w:sz w:val="18"/>
          <w:rtl/>
        </w:rPr>
        <w:t xml:space="preserve">41. גם אצל פילון מגבל אין סיפור ברור על זיווגים בין אלים לבנות אדם, אף שטענו כך לגבי הסיפור על האנשים גדולי המידה שנולדו לנשים </w:t>
      </w:r>
      <w:r>
        <w:rPr>
          <w:rFonts w:cs="David" w:hint="cs"/>
          <w:sz w:val="18"/>
          <w:rtl/>
        </w:rPr>
        <w:t>"</w:t>
      </w:r>
      <w:r w:rsidRPr="00022A72">
        <w:rPr>
          <w:rFonts w:cs="David" w:hint="cs"/>
          <w:sz w:val="18"/>
          <w:rtl/>
        </w:rPr>
        <w:t>שנהגו באותה עת לשכב בחופשיות עם כל אשר נקרה בדרכן</w:t>
      </w:r>
      <w:r>
        <w:rPr>
          <w:rFonts w:cs="David" w:hint="cs"/>
          <w:sz w:val="18"/>
          <w:rtl/>
        </w:rPr>
        <w:t>"</w:t>
      </w:r>
      <w:r w:rsidRPr="00022A72">
        <w:rPr>
          <w:rFonts w:cs="David" w:hint="cs"/>
          <w:sz w:val="18"/>
          <w:rtl/>
        </w:rPr>
        <w:t xml:space="preserve"> (</w:t>
      </w:r>
      <w:proofErr w:type="spellStart"/>
      <w:r w:rsidRPr="00022A72">
        <w:rPr>
          <w:rFonts w:cs="David"/>
          <w:sz w:val="18"/>
        </w:rPr>
        <w:t>τῶν</w:t>
      </w:r>
      <w:proofErr w:type="spellEnd"/>
      <w:r w:rsidRPr="00022A72">
        <w:rPr>
          <w:rFonts w:cs="David"/>
          <w:sz w:val="18"/>
        </w:rPr>
        <w:t xml:space="preserve"> </w:t>
      </w:r>
      <w:proofErr w:type="spellStart"/>
      <w:r w:rsidRPr="00022A72">
        <w:rPr>
          <w:rFonts w:cs="David"/>
          <w:sz w:val="18"/>
        </w:rPr>
        <w:t>τότε</w:t>
      </w:r>
      <w:proofErr w:type="spellEnd"/>
      <w:r w:rsidRPr="00022A72">
        <w:rPr>
          <w:rFonts w:cs="David"/>
          <w:sz w:val="18"/>
        </w:rPr>
        <w:t xml:space="preserve"> </w:t>
      </w:r>
      <w:proofErr w:type="spellStart"/>
      <w:r w:rsidRPr="00022A72">
        <w:rPr>
          <w:rFonts w:cs="David"/>
          <w:sz w:val="18"/>
        </w:rPr>
        <w:t>γυναικῶν</w:t>
      </w:r>
      <w:proofErr w:type="spellEnd"/>
      <w:r w:rsidRPr="00022A72">
        <w:rPr>
          <w:rFonts w:cs="David"/>
          <w:sz w:val="18"/>
        </w:rPr>
        <w:t xml:space="preserve"> </w:t>
      </w:r>
      <w:proofErr w:type="spellStart"/>
      <w:r w:rsidRPr="00022A72">
        <w:rPr>
          <w:rFonts w:cs="David"/>
          <w:sz w:val="18"/>
        </w:rPr>
        <w:t>ἀνέδην</w:t>
      </w:r>
      <w:proofErr w:type="spellEnd"/>
      <w:r w:rsidRPr="00022A72">
        <w:rPr>
          <w:rFonts w:cs="David"/>
          <w:sz w:val="18"/>
        </w:rPr>
        <w:t xml:space="preserve"> </w:t>
      </w:r>
      <w:proofErr w:type="spellStart"/>
      <w:r w:rsidRPr="00022A72">
        <w:rPr>
          <w:rFonts w:cs="David"/>
          <w:sz w:val="18"/>
        </w:rPr>
        <w:t>μισγομένων</w:t>
      </w:r>
      <w:proofErr w:type="spellEnd"/>
      <w:r w:rsidRPr="00022A72">
        <w:rPr>
          <w:rFonts w:cs="David"/>
          <w:sz w:val="18"/>
        </w:rPr>
        <w:t xml:space="preserve"> </w:t>
      </w:r>
      <w:proofErr w:type="spellStart"/>
      <w:r w:rsidRPr="00022A72">
        <w:rPr>
          <w:rFonts w:cs="David"/>
          <w:sz w:val="18"/>
        </w:rPr>
        <w:t>οἷς</w:t>
      </w:r>
      <w:proofErr w:type="spellEnd"/>
      <w:r w:rsidRPr="00022A72">
        <w:rPr>
          <w:rFonts w:cs="David"/>
          <w:sz w:val="18"/>
        </w:rPr>
        <w:t xml:space="preserve"> </w:t>
      </w:r>
      <w:proofErr w:type="spellStart"/>
      <w:r w:rsidRPr="00022A72">
        <w:rPr>
          <w:rFonts w:cs="David"/>
          <w:sz w:val="18"/>
        </w:rPr>
        <w:t>ἂν</w:t>
      </w:r>
      <w:proofErr w:type="spellEnd"/>
      <w:r w:rsidRPr="00022A72">
        <w:rPr>
          <w:rFonts w:cs="David"/>
          <w:sz w:val="18"/>
        </w:rPr>
        <w:t xml:space="preserve"> </w:t>
      </w:r>
      <w:proofErr w:type="spellStart"/>
      <w:r w:rsidRPr="00022A72">
        <w:rPr>
          <w:rFonts w:cs="David"/>
          <w:sz w:val="18"/>
        </w:rPr>
        <w:t>ἐντύχοιεν</w:t>
      </w:r>
      <w:proofErr w:type="spellEnd"/>
      <w:r w:rsidRPr="00022A72">
        <w:rPr>
          <w:rFonts w:cs="David" w:hint="cs"/>
          <w:sz w:val="18"/>
          <w:rtl/>
        </w:rPr>
        <w:t>), ואחרי כן נתנו את שמותיהם להרים צפון, לבנון מול הלבנון וברתי (</w:t>
      </w:r>
      <w:proofErr w:type="spellStart"/>
      <w:r w:rsidRPr="00022A72">
        <w:rPr>
          <w:rFonts w:cs="David"/>
          <w:i/>
          <w:iCs/>
          <w:sz w:val="18"/>
        </w:rPr>
        <w:t>FGrH</w:t>
      </w:r>
      <w:proofErr w:type="spellEnd"/>
      <w:r w:rsidRPr="00022A72">
        <w:rPr>
          <w:rFonts w:cs="David"/>
          <w:sz w:val="18"/>
        </w:rPr>
        <w:t xml:space="preserve"> 790 F 2 = </w:t>
      </w:r>
      <w:proofErr w:type="spellStart"/>
      <w:r w:rsidRPr="00022A72">
        <w:rPr>
          <w:rFonts w:cs="David"/>
          <w:sz w:val="18"/>
        </w:rPr>
        <w:t>Euseb</w:t>
      </w:r>
      <w:proofErr w:type="spellEnd"/>
      <w:r w:rsidRPr="00022A72">
        <w:rPr>
          <w:rFonts w:cs="David"/>
          <w:sz w:val="18"/>
        </w:rPr>
        <w:t xml:space="preserve">. </w:t>
      </w:r>
      <w:r w:rsidRPr="00022A72">
        <w:rPr>
          <w:rFonts w:cs="David"/>
          <w:i/>
          <w:iCs/>
          <w:sz w:val="18"/>
        </w:rPr>
        <w:t>PE</w:t>
      </w:r>
      <w:r w:rsidRPr="00022A72">
        <w:rPr>
          <w:rFonts w:cs="David"/>
          <w:sz w:val="18"/>
        </w:rPr>
        <w:t xml:space="preserve"> 1.10.9</w:t>
      </w:r>
      <w:r w:rsidRPr="00022A72">
        <w:rPr>
          <w:rFonts w:cs="David" w:hint="cs"/>
          <w:sz w:val="18"/>
          <w:rtl/>
        </w:rPr>
        <w:t>). לטענה זו ראו קריילניג 1947,</w:t>
      </w:r>
      <w:r>
        <w:rPr>
          <w:rFonts w:cs="David" w:hint="cs"/>
          <w:sz w:val="18"/>
          <w:rtl/>
        </w:rPr>
        <w:t xml:space="preserve"> עמ'</w:t>
      </w:r>
      <w:r w:rsidRPr="00022A72">
        <w:rPr>
          <w:rFonts w:cs="David" w:hint="cs"/>
          <w:sz w:val="18"/>
          <w:rtl/>
        </w:rPr>
        <w:t xml:space="preserve"> 206–207</w:t>
      </w:r>
      <w:r>
        <w:rPr>
          <w:rFonts w:cs="David" w:hint="cs"/>
          <w:sz w:val="18"/>
          <w:rtl/>
        </w:rPr>
        <w:t>;</w:t>
      </w:r>
      <w:r w:rsidRPr="00022A72">
        <w:rPr>
          <w:rFonts w:cs="David" w:hint="cs"/>
          <w:sz w:val="18"/>
          <w:rtl/>
        </w:rPr>
        <w:t xml:space="preserve"> והשוו אטרידג' ואודן 1981,</w:t>
      </w:r>
      <w:r>
        <w:rPr>
          <w:rFonts w:cs="David" w:hint="cs"/>
          <w:sz w:val="18"/>
          <w:rtl/>
        </w:rPr>
        <w:t xml:space="preserve"> עמ'</w:t>
      </w:r>
      <w:r w:rsidRPr="00022A72">
        <w:rPr>
          <w:rFonts w:cs="David" w:hint="cs"/>
          <w:sz w:val="18"/>
          <w:rtl/>
        </w:rPr>
        <w:t xml:space="preserve"> 80–83; באומגרטן 1981,</w:t>
      </w:r>
      <w:r>
        <w:rPr>
          <w:rFonts w:cs="David" w:hint="cs"/>
          <w:sz w:val="18"/>
          <w:rtl/>
        </w:rPr>
        <w:t xml:space="preserve"> עמ'</w:t>
      </w:r>
      <w:r w:rsidRPr="00022A72">
        <w:rPr>
          <w:rFonts w:cs="David" w:hint="cs"/>
          <w:sz w:val="18"/>
          <w:rtl/>
        </w:rPr>
        <w:t xml:space="preserve"> 146–161. גם </w:t>
      </w:r>
      <w:r w:rsidRPr="000E74F8">
        <w:rPr>
          <w:rFonts w:cs="David" w:hint="cs"/>
          <w:sz w:val="18"/>
          <w:rtl/>
        </w:rPr>
        <w:t>למחזור סיפורי כ</w:t>
      </w:r>
      <w:r w:rsidR="005E7C05">
        <w:rPr>
          <w:rFonts w:cs="David" w:hint="cs"/>
          <w:sz w:val="18"/>
          <w:rtl/>
        </w:rPr>
        <w:t>ֻּ</w:t>
      </w:r>
      <w:r w:rsidRPr="000E74F8">
        <w:rPr>
          <w:rFonts w:cs="David" w:hint="cs"/>
          <w:sz w:val="18"/>
          <w:rtl/>
        </w:rPr>
        <w:t>מ</w:t>
      </w:r>
      <w:r w:rsidR="005E7C05">
        <w:rPr>
          <w:rFonts w:cs="David" w:hint="cs"/>
          <w:sz w:val="18"/>
          <w:rtl/>
        </w:rPr>
        <w:t>ַ</w:t>
      </w:r>
      <w:r w:rsidRPr="000E74F8">
        <w:rPr>
          <w:rFonts w:cs="David" w:hint="cs"/>
          <w:sz w:val="18"/>
          <w:rtl/>
        </w:rPr>
        <w:t>ר</w:t>
      </w:r>
      <w:r w:rsidR="005E7C05">
        <w:rPr>
          <w:rFonts w:cs="David" w:hint="cs"/>
          <w:sz w:val="18"/>
          <w:rtl/>
        </w:rPr>
        <w:t>ְ</w:t>
      </w:r>
      <w:r w:rsidRPr="000E74F8">
        <w:rPr>
          <w:rFonts w:cs="David" w:hint="cs"/>
          <w:sz w:val="18"/>
          <w:rtl/>
        </w:rPr>
        <w:t>ב</w:t>
      </w:r>
      <w:r w:rsidR="005E7C05">
        <w:rPr>
          <w:rFonts w:cs="David" w:hint="cs"/>
          <w:sz w:val="18"/>
          <w:rtl/>
        </w:rPr>
        <w:t>ִּ</w:t>
      </w:r>
      <w:r w:rsidRPr="000E74F8">
        <w:rPr>
          <w:rFonts w:cs="David" w:hint="cs"/>
          <w:sz w:val="18"/>
          <w:rtl/>
        </w:rPr>
        <w:t>י</w:t>
      </w:r>
      <w:r w:rsidRPr="00022A72">
        <w:rPr>
          <w:rFonts w:cs="David" w:hint="cs"/>
          <w:sz w:val="18"/>
          <w:rtl/>
        </w:rPr>
        <w:t xml:space="preserve"> החורי-חתי</w:t>
      </w:r>
      <w:r>
        <w:rPr>
          <w:rFonts w:cs="David" w:hint="cs"/>
          <w:sz w:val="18"/>
          <w:rtl/>
        </w:rPr>
        <w:t>,</w:t>
      </w:r>
      <w:r w:rsidRPr="00022A72">
        <w:rPr>
          <w:rFonts w:cs="David" w:hint="cs"/>
          <w:sz w:val="18"/>
          <w:rtl/>
        </w:rPr>
        <w:t xml:space="preserve"> שהוזכר מדי פעם בהקשר זה, </w:t>
      </w:r>
      <w:r w:rsidR="00BF5645">
        <w:rPr>
          <w:rFonts w:cs="David" w:hint="cs"/>
          <w:sz w:val="18"/>
          <w:rtl/>
        </w:rPr>
        <w:t xml:space="preserve">כגון </w:t>
      </w:r>
      <w:r w:rsidRPr="00022A72">
        <w:rPr>
          <w:rFonts w:cs="David" w:hint="cs"/>
          <w:sz w:val="18"/>
          <w:rtl/>
        </w:rPr>
        <w:t>אצל ספייזר (1964,</w:t>
      </w:r>
      <w:r>
        <w:rPr>
          <w:rFonts w:cs="David" w:hint="cs"/>
          <w:sz w:val="18"/>
          <w:rtl/>
        </w:rPr>
        <w:t xml:space="preserve"> עמ'</w:t>
      </w:r>
      <w:r w:rsidRPr="00022A72">
        <w:rPr>
          <w:rFonts w:cs="David" w:hint="cs"/>
          <w:sz w:val="18"/>
          <w:rtl/>
        </w:rPr>
        <w:t xml:space="preserve"> 46), אין כל קשר לענייננו, שהרי לא נזכר שם מגע בין בני אדם לאלים.</w:t>
      </w:r>
    </w:p>
  </w:footnote>
  <w:footnote w:id="19">
    <w:p w:rsidR="00295974" w:rsidRPr="00022A72" w:rsidRDefault="00295974" w:rsidP="007E4C46">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 xml:space="preserve">ראו </w:t>
      </w:r>
      <w:r w:rsidRPr="00022A72">
        <w:rPr>
          <w:rFonts w:cs="David" w:hint="cs"/>
          <w:sz w:val="18"/>
          <w:rtl/>
        </w:rPr>
        <w:t>למשל קאסוטו תשכ"ה</w:t>
      </w:r>
      <w:r w:rsidRPr="00022A72">
        <w:rPr>
          <w:rFonts w:cs="David" w:hint="cs"/>
          <w:sz w:val="18"/>
          <w:vertAlign w:val="subscript"/>
          <w:rtl/>
        </w:rPr>
        <w:t>ג</w:t>
      </w:r>
      <w:r w:rsidRPr="00022A72">
        <w:rPr>
          <w:rFonts w:cs="David" w:hint="cs"/>
          <w:sz w:val="18"/>
          <w:rtl/>
        </w:rPr>
        <w:t>,</w:t>
      </w:r>
      <w:r>
        <w:rPr>
          <w:rFonts w:cs="David" w:hint="cs"/>
          <w:sz w:val="18"/>
          <w:rtl/>
        </w:rPr>
        <w:t xml:space="preserve"> עמ'</w:t>
      </w:r>
      <w:r w:rsidRPr="00022A72">
        <w:rPr>
          <w:rFonts w:cs="David" w:hint="cs"/>
          <w:sz w:val="18"/>
          <w:rtl/>
        </w:rPr>
        <w:t xml:space="preserve"> 206; צ'יילדס 1960,</w:t>
      </w:r>
      <w:r>
        <w:rPr>
          <w:rFonts w:cs="David" w:hint="cs"/>
          <w:sz w:val="18"/>
          <w:rtl/>
        </w:rPr>
        <w:t xml:space="preserve"> עמ'</w:t>
      </w:r>
      <w:r w:rsidRPr="00022A72">
        <w:rPr>
          <w:rFonts w:cs="David" w:hint="cs"/>
          <w:sz w:val="18"/>
          <w:rtl/>
        </w:rPr>
        <w:t xml:space="preserve"> 49</w:t>
      </w:r>
      <w:r w:rsidRPr="00022A72">
        <w:rPr>
          <w:rFonts w:cs="David" w:hint="eastAsia"/>
          <w:sz w:val="18"/>
          <w:rtl/>
        </w:rPr>
        <w:t>–</w:t>
      </w:r>
      <w:r w:rsidRPr="00022A72">
        <w:rPr>
          <w:rFonts w:cs="David" w:hint="cs"/>
          <w:sz w:val="18"/>
          <w:rtl/>
        </w:rPr>
        <w:t>57; זקוביץ ושנאן 2004,</w:t>
      </w:r>
      <w:r>
        <w:rPr>
          <w:rFonts w:cs="David" w:hint="cs"/>
          <w:sz w:val="18"/>
          <w:rtl/>
        </w:rPr>
        <w:t xml:space="preserve"> עמ'</w:t>
      </w:r>
      <w:r w:rsidRPr="00022A72">
        <w:rPr>
          <w:rFonts w:cs="David" w:hint="cs"/>
          <w:sz w:val="18"/>
          <w:rtl/>
        </w:rPr>
        <w:t xml:space="preserve"> 36–39, 41. בניגוד לדברי חוקרים אלו אין לומר כי בספרות העמים צאצאי זיווגים בין אלים לבני אדם הם בני אלמוות, ורק המקרא הורידם לדרגת בשר ודם. אדרבה, יש גיבורים כמו אַכִילֵס (בן האלה תֶּטִיס ובן התמותה פֵּלֶאוּס), אשר חייו היו קצרים ביותר אך רבי תהילה. ראו גם הסיפור על סַרְפֵּדוֹן, בנו של זאוס ובת תמותה, אשר זאוס ביקש להצילו ממוות בקרב אך הֵרָה הניאה אותו מכך בטענה שהוא אדם בן תמותה שנגזרה עליו הגז</w:t>
      </w:r>
      <w:r>
        <w:rPr>
          <w:rFonts w:cs="David" w:hint="cs"/>
          <w:sz w:val="18"/>
          <w:rtl/>
        </w:rPr>
        <w:t>י</w:t>
      </w:r>
      <w:r w:rsidRPr="00022A72">
        <w:rPr>
          <w:rFonts w:cs="David" w:hint="cs"/>
          <w:sz w:val="18"/>
          <w:rtl/>
        </w:rPr>
        <w:t>רה (</w:t>
      </w:r>
      <w:proofErr w:type="spellStart"/>
      <w:r w:rsidRPr="00022A72">
        <w:rPr>
          <w:rFonts w:cs="David"/>
          <w:sz w:val="18"/>
        </w:rPr>
        <w:t>Hom</w:t>
      </w:r>
      <w:proofErr w:type="spellEnd"/>
      <w:r w:rsidRPr="00022A72">
        <w:rPr>
          <w:rFonts w:cs="David"/>
          <w:sz w:val="18"/>
        </w:rPr>
        <w:t xml:space="preserve">. </w:t>
      </w:r>
      <w:r w:rsidRPr="00022A72">
        <w:rPr>
          <w:rFonts w:cs="David"/>
          <w:i/>
          <w:iCs/>
          <w:sz w:val="18"/>
        </w:rPr>
        <w:t>Il</w:t>
      </w:r>
      <w:r w:rsidRPr="00022A72">
        <w:rPr>
          <w:rFonts w:cs="David"/>
          <w:sz w:val="18"/>
        </w:rPr>
        <w:t>. 16.433–461</w:t>
      </w:r>
      <w:r w:rsidRPr="00022A72">
        <w:rPr>
          <w:rFonts w:cs="David" w:hint="cs"/>
          <w:sz w:val="18"/>
          <w:rtl/>
        </w:rPr>
        <w:t>). ובספרות האכדית ידוע במיוחד גלגמש, בן האלה נִנְסוּן והמלך לֻגַלְבַּנְדַה, אשר ביקש חיי אלמוות ולא מצאם. ראו גם להלן סעיף ג.</w:t>
      </w:r>
    </w:p>
  </w:footnote>
  <w:footnote w:id="20">
    <w:p w:rsidR="00295974" w:rsidRPr="00022A72" w:rsidRDefault="00295974" w:rsidP="00424B4B">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Pr>
          <w:rFonts w:cs="David" w:hint="cs"/>
          <w:sz w:val="18"/>
          <w:rtl/>
        </w:rPr>
        <w:t>רוב הפרשנים רואים במ</w:t>
      </w:r>
      <w:r w:rsidRPr="00022A72">
        <w:rPr>
          <w:rFonts w:cs="David" w:hint="cs"/>
          <w:sz w:val="18"/>
          <w:rtl/>
        </w:rPr>
        <w:t xml:space="preserve">לה </w:t>
      </w:r>
      <w:proofErr w:type="spellStart"/>
      <w:r w:rsidRPr="00F529AD">
        <w:rPr>
          <w:rFonts w:eastAsia="Times New Roman" w:cs="David"/>
          <w:sz w:val="18"/>
          <w:szCs w:val="18"/>
        </w:rPr>
        <w:t>πολλόν</w:t>
      </w:r>
      <w:proofErr w:type="spellEnd"/>
      <w:r w:rsidRPr="00022A72">
        <w:rPr>
          <w:rFonts w:eastAsia="Times New Roman" w:cs="David" w:hint="cs"/>
          <w:sz w:val="18"/>
          <w:rtl/>
        </w:rPr>
        <w:t xml:space="preserve"> תואר: </w:t>
      </w:r>
      <w:proofErr w:type="spellStart"/>
      <w:r w:rsidRPr="00F529AD">
        <w:rPr>
          <w:rFonts w:eastAsia="Times New Roman" w:cs="David"/>
          <w:sz w:val="18"/>
          <w:szCs w:val="18"/>
        </w:rPr>
        <w:t>γένος</w:t>
      </w:r>
      <w:proofErr w:type="spellEnd"/>
      <w:r w:rsidRPr="00F529AD">
        <w:rPr>
          <w:rFonts w:eastAsia="Times New Roman" w:cs="David"/>
          <w:sz w:val="18"/>
          <w:szCs w:val="18"/>
        </w:rPr>
        <w:t xml:space="preserve"> […] </w:t>
      </w:r>
      <w:proofErr w:type="spellStart"/>
      <w:r w:rsidRPr="00F529AD">
        <w:rPr>
          <w:rFonts w:eastAsia="Times New Roman" w:cs="David"/>
          <w:sz w:val="18"/>
          <w:szCs w:val="18"/>
        </w:rPr>
        <w:t>ἀνθρώπων</w:t>
      </w:r>
      <w:proofErr w:type="spellEnd"/>
      <w:r w:rsidRPr="00F529AD">
        <w:rPr>
          <w:rFonts w:eastAsia="Times New Roman" w:cs="David"/>
          <w:sz w:val="18"/>
          <w:szCs w:val="18"/>
        </w:rPr>
        <w:t xml:space="preserve"> </w:t>
      </w:r>
      <w:proofErr w:type="spellStart"/>
      <w:r w:rsidRPr="00F529AD">
        <w:rPr>
          <w:rFonts w:eastAsia="Times New Roman" w:cs="David"/>
          <w:sz w:val="18"/>
          <w:szCs w:val="18"/>
        </w:rPr>
        <w:t>πολλόν</w:t>
      </w:r>
      <w:proofErr w:type="spellEnd"/>
      <w:r w:rsidRPr="00022A72">
        <w:rPr>
          <w:rFonts w:eastAsia="Times New Roman" w:cs="David" w:hint="cs"/>
          <w:sz w:val="18"/>
          <w:rtl/>
        </w:rPr>
        <w:t>. ראו למשל קונן 1994,</w:t>
      </w:r>
      <w:r>
        <w:rPr>
          <w:rFonts w:eastAsia="Times New Roman" w:cs="David" w:hint="cs"/>
          <w:sz w:val="18"/>
          <w:rtl/>
        </w:rPr>
        <w:t xml:space="preserve"> עמ'</w:t>
      </w:r>
      <w:r w:rsidRPr="00022A72">
        <w:rPr>
          <w:rFonts w:eastAsia="Times New Roman" w:cs="David" w:hint="cs"/>
          <w:sz w:val="18"/>
          <w:rtl/>
        </w:rPr>
        <w:t xml:space="preserve"> 28, 30: </w:t>
      </w:r>
      <w:r w:rsidR="00DE5812">
        <w:rPr>
          <w:rFonts w:eastAsia="Times New Roman" w:cs="David" w:hint="cs"/>
          <w:sz w:val="18"/>
          <w:rtl/>
        </w:rPr>
        <w:t xml:space="preserve">"הגזע </w:t>
      </w:r>
      <w:r w:rsidR="00424B4B">
        <w:rPr>
          <w:rFonts w:eastAsia="Times New Roman" w:cs="David" w:hint="cs"/>
          <w:sz w:val="18"/>
          <w:rtl/>
        </w:rPr>
        <w:t xml:space="preserve">השופע </w:t>
      </w:r>
      <w:r w:rsidR="00DE5812">
        <w:rPr>
          <w:rFonts w:eastAsia="Times New Roman" w:cs="David" w:hint="cs"/>
          <w:sz w:val="18"/>
          <w:rtl/>
        </w:rPr>
        <w:t>של בני תמותה" (</w:t>
      </w:r>
      <w:r w:rsidRPr="00022A72">
        <w:rPr>
          <w:rFonts w:cs="David"/>
          <w:sz w:val="18"/>
        </w:rPr>
        <w:t>the copious race of mortal</w:t>
      </w:r>
      <w:r w:rsidR="00DE5812">
        <w:rPr>
          <w:rFonts w:cs="David" w:hint="cs"/>
          <w:sz w:val="18"/>
          <w:rtl/>
        </w:rPr>
        <w:t>)</w:t>
      </w:r>
      <w:r w:rsidRPr="00022A72">
        <w:rPr>
          <w:rFonts w:eastAsia="Times New Roman" w:cs="David" w:hint="cs"/>
          <w:sz w:val="18"/>
          <w:rtl/>
        </w:rPr>
        <w:t>; וסט 1997,</w:t>
      </w:r>
      <w:r>
        <w:rPr>
          <w:rFonts w:eastAsia="Times New Roman" w:cs="David" w:hint="cs"/>
          <w:sz w:val="18"/>
          <w:rtl/>
        </w:rPr>
        <w:t xml:space="preserve"> עמ'</w:t>
      </w:r>
      <w:r w:rsidRPr="00022A72">
        <w:rPr>
          <w:rFonts w:eastAsia="Times New Roman" w:cs="David" w:hint="cs"/>
          <w:sz w:val="18"/>
          <w:rtl/>
        </w:rPr>
        <w:t xml:space="preserve"> 480: </w:t>
      </w:r>
      <w:r w:rsidR="00DE5812">
        <w:rPr>
          <w:rFonts w:eastAsia="Times New Roman" w:cs="David" w:hint="cs"/>
          <w:sz w:val="18"/>
          <w:rtl/>
        </w:rPr>
        <w:t>"מין אנושי רב</w:t>
      </w:r>
      <w:r w:rsidR="00F529AD">
        <w:rPr>
          <w:rFonts w:eastAsia="Times New Roman" w:cs="David" w:hint="cs"/>
          <w:sz w:val="18"/>
          <w:rtl/>
        </w:rPr>
        <w:t>"</w:t>
      </w:r>
      <w:r w:rsidR="00DE5812">
        <w:rPr>
          <w:rFonts w:eastAsia="Times New Roman" w:cs="David" w:hint="cs"/>
          <w:sz w:val="18"/>
          <w:rtl/>
        </w:rPr>
        <w:t xml:space="preserve"> (</w:t>
      </w:r>
      <w:r w:rsidRPr="00022A72">
        <w:rPr>
          <w:rFonts w:eastAsia="Times New Roman" w:cs="David"/>
          <w:sz w:val="18"/>
        </w:rPr>
        <w:t>multitudinous human race</w:t>
      </w:r>
      <w:r w:rsidR="00DE5812">
        <w:rPr>
          <w:rFonts w:eastAsia="Times New Roman" w:cs="David" w:hint="cs"/>
          <w:sz w:val="18"/>
          <w:rtl/>
        </w:rPr>
        <w:t>)</w:t>
      </w:r>
      <w:r w:rsidRPr="00022A72">
        <w:rPr>
          <w:rFonts w:eastAsia="Times New Roman" w:cs="David" w:hint="cs"/>
          <w:sz w:val="18"/>
          <w:rtl/>
        </w:rPr>
        <w:t>.</w:t>
      </w:r>
    </w:p>
  </w:footnote>
  <w:footnote w:id="21">
    <w:p w:rsidR="00295974" w:rsidRPr="00022A72" w:rsidRDefault="00295974" w:rsidP="000E74F8">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 xml:space="preserve">לפירוש משפט </w:t>
      </w:r>
      <w:r w:rsidRPr="00022A72">
        <w:rPr>
          <w:rFonts w:cs="David" w:hint="cs"/>
          <w:sz w:val="18"/>
          <w:rtl/>
        </w:rPr>
        <w:t>זה ראו למשל סקודל 1982,</w:t>
      </w:r>
      <w:r>
        <w:rPr>
          <w:rFonts w:cs="David" w:hint="cs"/>
          <w:sz w:val="18"/>
          <w:rtl/>
        </w:rPr>
        <w:t xml:space="preserve"> עמ'</w:t>
      </w:r>
      <w:r w:rsidRPr="00022A72">
        <w:rPr>
          <w:rFonts w:cs="David" w:hint="cs"/>
          <w:sz w:val="18"/>
          <w:rtl/>
        </w:rPr>
        <w:t xml:space="preserve"> 38 הע</w:t>
      </w:r>
      <w:r>
        <w:rPr>
          <w:rFonts w:cs="David" w:hint="cs"/>
          <w:sz w:val="18"/>
          <w:rtl/>
        </w:rPr>
        <w:t>רה</w:t>
      </w:r>
      <w:r w:rsidRPr="00022A72">
        <w:rPr>
          <w:rFonts w:cs="David" w:hint="cs"/>
          <w:sz w:val="18"/>
          <w:rtl/>
        </w:rPr>
        <w:t xml:space="preserve"> 11; הירשברגר 2004,</w:t>
      </w:r>
      <w:r>
        <w:rPr>
          <w:rFonts w:cs="David" w:hint="cs"/>
          <w:sz w:val="18"/>
          <w:rtl/>
        </w:rPr>
        <w:t xml:space="preserve"> עמ'</w:t>
      </w:r>
      <w:r w:rsidRPr="00022A72">
        <w:rPr>
          <w:rFonts w:cs="David" w:hint="cs"/>
          <w:sz w:val="18"/>
          <w:rtl/>
        </w:rPr>
        <w:t xml:space="preserve"> 417, והספרות המוזכרת אצלה. חוסר ההיגיון במעשה זה של זאוס נובע מן האופי המשני של המוטיב, וראו להלן בגוף.</w:t>
      </w:r>
    </w:p>
  </w:footnote>
  <w:footnote w:id="22">
    <w:p w:rsidR="000E70D9" w:rsidRPr="00022A72" w:rsidRDefault="000E70D9" w:rsidP="000E70D9">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 xml:space="preserve">להשלמה </w:t>
      </w:r>
      <w:r w:rsidRPr="00022A72">
        <w:rPr>
          <w:rFonts w:cs="David" w:hint="cs"/>
          <w:sz w:val="18"/>
          <w:rtl/>
        </w:rPr>
        <w:t xml:space="preserve">זו של וילמוביץ </w:t>
      </w:r>
      <w:r w:rsidRPr="00F529AD">
        <w:rPr>
          <w:rFonts w:cs="David" w:hint="cs"/>
          <w:rtl/>
        </w:rPr>
        <w:t>(</w:t>
      </w:r>
      <w:r w:rsidRPr="00F529AD">
        <w:rPr>
          <w:rFonts w:cs="David"/>
          <w:sz w:val="18"/>
          <w:szCs w:val="18"/>
          <w:lang w:val="de-DE"/>
        </w:rPr>
        <w:t>Wilamowitz</w:t>
      </w:r>
      <w:r w:rsidRPr="00F529AD">
        <w:rPr>
          <w:rFonts w:cs="David" w:hint="cs"/>
          <w:rtl/>
        </w:rPr>
        <w:t>)</w:t>
      </w:r>
      <w:r w:rsidRPr="00022A72">
        <w:rPr>
          <w:rFonts w:cs="David" w:hint="cs"/>
          <w:sz w:val="18"/>
          <w:rtl/>
        </w:rPr>
        <w:t xml:space="preserve"> ראו ההפניות אצל הירשברגר 2004,</w:t>
      </w:r>
      <w:r>
        <w:rPr>
          <w:rFonts w:cs="David" w:hint="cs"/>
          <w:sz w:val="18"/>
          <w:rtl/>
        </w:rPr>
        <w:t xml:space="preserve"> עמ'</w:t>
      </w:r>
      <w:r w:rsidRPr="00022A72">
        <w:rPr>
          <w:rFonts w:cs="David" w:hint="cs"/>
          <w:sz w:val="18"/>
          <w:rtl/>
        </w:rPr>
        <w:t xml:space="preserve"> 418. ההשלמה מתבססת על השורות הראשונות של החיבור (</w:t>
      </w:r>
      <w:r w:rsidRPr="00022A72">
        <w:rPr>
          <w:rFonts w:cs="David"/>
          <w:sz w:val="18"/>
        </w:rPr>
        <w:t>F1 =</w:t>
      </w:r>
      <w:r w:rsidRPr="00022A72">
        <w:rPr>
          <w:rFonts w:eastAsia="Times New Roman" w:cs="David"/>
          <w:snapToGrid/>
          <w:sz w:val="18"/>
        </w:rPr>
        <w:t xml:space="preserve"> P. Oxy. 2354</w:t>
      </w:r>
      <w:r w:rsidRPr="00022A72">
        <w:rPr>
          <w:rFonts w:cs="David" w:hint="cs"/>
          <w:sz w:val="18"/>
          <w:rtl/>
        </w:rPr>
        <w:t xml:space="preserve">), המתארות את </w:t>
      </w:r>
      <w:r w:rsidR="00F529AD">
        <w:rPr>
          <w:rFonts w:cs="David" w:hint="cs"/>
          <w:sz w:val="18"/>
          <w:rtl/>
        </w:rPr>
        <w:t>ה</w:t>
      </w:r>
      <w:r w:rsidRPr="00022A72">
        <w:rPr>
          <w:rFonts w:cs="David" w:hint="cs"/>
          <w:sz w:val="18"/>
          <w:rtl/>
        </w:rPr>
        <w:t xml:space="preserve">זיווגים בין בני האלים לבנות האדם, כמו במשפט: </w:t>
      </w:r>
      <w:proofErr w:type="spellStart"/>
      <w:r w:rsidRPr="00F529AD">
        <w:rPr>
          <w:rFonts w:eastAsia="Times New Roman" w:cs="David"/>
          <w:sz w:val="18"/>
          <w:szCs w:val="18"/>
        </w:rPr>
        <w:t>μισγόμεν̣αι</w:t>
      </w:r>
      <w:proofErr w:type="spellEnd"/>
      <w:r w:rsidRPr="00F529AD">
        <w:rPr>
          <w:rFonts w:eastAsia="Times New Roman" w:cs="David"/>
          <w:sz w:val="18"/>
          <w:szCs w:val="18"/>
        </w:rPr>
        <w:t xml:space="preserve"> </w:t>
      </w:r>
      <w:proofErr w:type="spellStart"/>
      <w:r w:rsidRPr="00F529AD">
        <w:rPr>
          <w:rFonts w:eastAsia="Times New Roman" w:cs="David"/>
          <w:sz w:val="18"/>
          <w:szCs w:val="18"/>
        </w:rPr>
        <w:t>θεοῖ̣σ</w:t>
      </w:r>
      <w:proofErr w:type="spellEnd"/>
      <w:proofErr w:type="gramStart"/>
      <w:r w:rsidRPr="00F529AD">
        <w:rPr>
          <w:rFonts w:eastAsia="Times New Roman" w:cs="David"/>
          <w:sz w:val="18"/>
          <w:szCs w:val="18"/>
        </w:rPr>
        <w:t>̣[</w:t>
      </w:r>
      <w:proofErr w:type="spellStart"/>
      <w:proofErr w:type="gramEnd"/>
      <w:r w:rsidRPr="00F529AD">
        <w:rPr>
          <w:rFonts w:eastAsia="Times New Roman" w:cs="David"/>
          <w:sz w:val="18"/>
          <w:szCs w:val="18"/>
        </w:rPr>
        <w:t>ιν</w:t>
      </w:r>
      <w:proofErr w:type="spellEnd"/>
      <w:r w:rsidRPr="00022A72">
        <w:rPr>
          <w:rFonts w:cs="David" w:hint="cs"/>
          <w:sz w:val="18"/>
          <w:rtl/>
        </w:rPr>
        <w:t xml:space="preserve"> (שורה 5).</w:t>
      </w:r>
    </w:p>
  </w:footnote>
  <w:footnote w:id="23">
    <w:p w:rsidR="00424B4B" w:rsidRPr="00F529AD" w:rsidRDefault="00424B4B" w:rsidP="00266CDD">
      <w:pPr>
        <w:widowControl w:val="0"/>
        <w:spacing w:line="480" w:lineRule="auto"/>
        <w:ind w:left="-284" w:hanging="680"/>
        <w:rPr>
          <w:sz w:val="18"/>
          <w:szCs w:val="18"/>
          <w:lang w:val="el-GR"/>
        </w:rPr>
      </w:pPr>
      <w:r w:rsidRPr="00F529AD">
        <w:rPr>
          <w:rStyle w:val="FootnoteReference"/>
          <w:sz w:val="18"/>
          <w:szCs w:val="18"/>
        </w:rPr>
        <w:footnoteRef/>
      </w:r>
      <w:r w:rsidRPr="00F529AD">
        <w:rPr>
          <w:sz w:val="18"/>
          <w:szCs w:val="18"/>
          <w:rtl/>
        </w:rPr>
        <w:t xml:space="preserve"> </w:t>
      </w:r>
      <w:r w:rsidRPr="00F529AD">
        <w:rPr>
          <w:sz w:val="18"/>
          <w:szCs w:val="18"/>
          <w:rtl/>
        </w:rPr>
        <w:tab/>
      </w:r>
      <w:r w:rsidR="00F47955" w:rsidRPr="00F529AD">
        <w:rPr>
          <w:rFonts w:eastAsia="Times New Roman"/>
          <w:sz w:val="18"/>
          <w:szCs w:val="18"/>
          <w:vertAlign w:val="subscript"/>
          <w:lang w:val="el-GR"/>
        </w:rPr>
        <w:t>(95)</w:t>
      </w:r>
      <w:r w:rsidR="00F47955" w:rsidRPr="00F529AD">
        <w:rPr>
          <w:rFonts w:eastAsia="Times New Roman"/>
          <w:sz w:val="18"/>
          <w:szCs w:val="18"/>
          <w:lang w:val="el-GR"/>
        </w:rPr>
        <w:t xml:space="preserve"> […] πάντες δὲ θεοὶ δίχα θυμὸν ἔθεντο</w:t>
      </w:r>
      <w:r w:rsidR="00266CDD">
        <w:rPr>
          <w:rFonts w:eastAsia="Times New Roman"/>
          <w:sz w:val="18"/>
          <w:szCs w:val="18"/>
        </w:rPr>
        <w:t xml:space="preserve"> / </w:t>
      </w:r>
      <w:r w:rsidR="00F47955" w:rsidRPr="00F529AD">
        <w:rPr>
          <w:rFonts w:eastAsia="Times New Roman"/>
          <w:sz w:val="18"/>
          <w:szCs w:val="18"/>
          <w:lang w:val="el-GR"/>
        </w:rPr>
        <w:t>ἐξ ἔριδος· δὴ γὰρ τότε μήδετο θέσκελα ἔργα</w:t>
      </w:r>
      <w:r w:rsidR="00266CDD">
        <w:rPr>
          <w:rFonts w:eastAsia="Times New Roman"/>
          <w:sz w:val="18"/>
          <w:szCs w:val="18"/>
        </w:rPr>
        <w:t xml:space="preserve"> / </w:t>
      </w:r>
      <w:r w:rsidR="00F47955" w:rsidRPr="00F529AD">
        <w:rPr>
          <w:rFonts w:eastAsia="Times New Roman"/>
          <w:sz w:val="18"/>
          <w:szCs w:val="18"/>
          <w:lang w:val="el-GR"/>
        </w:rPr>
        <w:t>Ζεὺς ὑψιβρεμέτης, †μεῖξαι κατ’ ἀπείρονα γαῖαν</w:t>
      </w:r>
      <w:r w:rsidR="00266CDD">
        <w:rPr>
          <w:rFonts w:eastAsia="Times New Roman"/>
          <w:sz w:val="18"/>
          <w:szCs w:val="18"/>
        </w:rPr>
        <w:t xml:space="preserve"> / </w:t>
      </w:r>
      <w:r w:rsidR="00F47955" w:rsidRPr="00F529AD">
        <w:rPr>
          <w:rFonts w:eastAsia="Times New Roman"/>
          <w:sz w:val="18"/>
          <w:szCs w:val="18"/>
          <w:lang w:val="el-GR"/>
        </w:rPr>
        <w:t>τυρβάξας,† ἤδη δὲ γένος μερόπων ἀνθρώπων</w:t>
      </w:r>
      <w:r w:rsidR="00266CDD">
        <w:rPr>
          <w:rFonts w:eastAsia="Times New Roman"/>
          <w:sz w:val="18"/>
          <w:szCs w:val="18"/>
        </w:rPr>
        <w:t xml:space="preserve"> / </w:t>
      </w:r>
      <w:r w:rsidR="00F47955" w:rsidRPr="00F529AD">
        <w:rPr>
          <w:rFonts w:eastAsia="Times New Roman"/>
          <w:sz w:val="18"/>
          <w:szCs w:val="18"/>
          <w:lang w:val="el-GR"/>
        </w:rPr>
        <w:t>πολλὸν ἀϊστῶσαι σ̣π̣ε̣ῦ̣δ̣ε̣, π̣ρ̣[ό]φασιν μὲν ὀλέσθαι</w:t>
      </w:r>
      <w:r w:rsidR="00266CDD">
        <w:rPr>
          <w:rFonts w:eastAsia="Times New Roman"/>
          <w:sz w:val="18"/>
          <w:szCs w:val="18"/>
        </w:rPr>
        <w:t xml:space="preserve"> / </w:t>
      </w:r>
      <w:r w:rsidR="00F47955" w:rsidRPr="00F529AD">
        <w:rPr>
          <w:rFonts w:eastAsia="Times New Roman"/>
          <w:sz w:val="18"/>
          <w:szCs w:val="18"/>
          <w:vertAlign w:val="subscript"/>
          <w:lang w:val="el-GR"/>
        </w:rPr>
        <w:t>(100)</w:t>
      </w:r>
      <w:r w:rsidR="00F47955" w:rsidRPr="00F529AD">
        <w:rPr>
          <w:rFonts w:eastAsia="Times New Roman"/>
          <w:sz w:val="18"/>
          <w:szCs w:val="18"/>
          <w:lang w:val="el-GR"/>
        </w:rPr>
        <w:t xml:space="preserve"> ψυχὰς ἡμιθέω[ν …. …. .]ο̣ι̣σ̣ι̣ βροτοῖσι</w:t>
      </w:r>
      <w:r w:rsidR="00266CDD">
        <w:rPr>
          <w:rFonts w:eastAsia="Times New Roman"/>
          <w:sz w:val="18"/>
          <w:szCs w:val="18"/>
        </w:rPr>
        <w:t xml:space="preserve"> / </w:t>
      </w:r>
      <w:r w:rsidR="00F47955" w:rsidRPr="00F529AD">
        <w:rPr>
          <w:rFonts w:eastAsia="Times New Roman"/>
          <w:sz w:val="18"/>
          <w:szCs w:val="18"/>
          <w:lang w:val="el-GR"/>
        </w:rPr>
        <w:t>τέκ̣να θεῶν μι[χθῆ]ι [..]ο̣.[ ὀφ]θαλμοῖσιν ὁρῶντα,</w:t>
      </w:r>
      <w:r w:rsidR="00266CDD">
        <w:rPr>
          <w:rFonts w:eastAsia="Times New Roman"/>
          <w:sz w:val="18"/>
          <w:szCs w:val="18"/>
        </w:rPr>
        <w:t xml:space="preserve"> / </w:t>
      </w:r>
      <w:r w:rsidR="00F47955" w:rsidRPr="00F529AD">
        <w:rPr>
          <w:rFonts w:eastAsia="Times New Roman"/>
          <w:sz w:val="18"/>
          <w:szCs w:val="18"/>
          <w:lang w:val="el-GR"/>
        </w:rPr>
        <w:t>ἀλλ̣’ ο̣ἳ μ[ὲ]ν μάκ̣[α]ρ̣ες̣ κ̣[…….]ν̣ ὡ̣ς̣ τ̣ὸ̣ πάρος περ</w:t>
      </w:r>
      <w:r w:rsidR="00266CDD">
        <w:rPr>
          <w:rFonts w:eastAsia="Times New Roman"/>
          <w:sz w:val="18"/>
          <w:szCs w:val="18"/>
        </w:rPr>
        <w:t xml:space="preserve"> / </w:t>
      </w:r>
      <w:r w:rsidR="00F47955" w:rsidRPr="00F529AD">
        <w:rPr>
          <w:rFonts w:eastAsia="Times New Roman"/>
          <w:sz w:val="18"/>
          <w:szCs w:val="18"/>
          <w:lang w:val="el-GR"/>
        </w:rPr>
        <w:t>χωρ̣ὶς ἀπ’ ἀν[θ]ρ̣ώπων̣[ βίοτον κα]ὶ̣ ἤθε’ ἔχωσιν</w:t>
      </w:r>
      <w:r w:rsidR="00266CDD">
        <w:rPr>
          <w:rFonts w:eastAsia="Times New Roman"/>
          <w:sz w:val="18"/>
          <w:szCs w:val="18"/>
        </w:rPr>
        <w:t xml:space="preserve"> / </w:t>
      </w:r>
      <w:r w:rsidR="00F47955" w:rsidRPr="00F529AD">
        <w:rPr>
          <w:sz w:val="18"/>
          <w:szCs w:val="18"/>
          <w:lang w:val="el-GR"/>
        </w:rPr>
        <w:t>[…]</w:t>
      </w:r>
      <w:r w:rsidR="00266CDD">
        <w:rPr>
          <w:sz w:val="18"/>
          <w:szCs w:val="18"/>
        </w:rPr>
        <w:t xml:space="preserve"> / </w:t>
      </w:r>
      <w:r w:rsidR="00F47955" w:rsidRPr="00F529AD">
        <w:rPr>
          <w:rFonts w:eastAsia="Times New Roman"/>
          <w:sz w:val="18"/>
          <w:szCs w:val="18"/>
          <w:vertAlign w:val="subscript"/>
          <w:lang w:val="el-GR"/>
        </w:rPr>
        <w:t>(110)</w:t>
      </w:r>
      <w:r w:rsidR="00F47955" w:rsidRPr="00F529AD">
        <w:rPr>
          <w:rFonts w:eastAsia="Times New Roman"/>
          <w:sz w:val="18"/>
          <w:szCs w:val="18"/>
          <w:lang w:val="el-GR"/>
        </w:rPr>
        <w:t xml:space="preserve"> …. … νηῶν δὲ]</w:t>
      </w:r>
      <w:r w:rsidR="00266CDD">
        <w:rPr>
          <w:rFonts w:eastAsia="Times New Roman"/>
          <w:sz w:val="18"/>
          <w:szCs w:val="18"/>
        </w:rPr>
        <w:t xml:space="preserve"> / </w:t>
      </w:r>
      <w:r w:rsidR="00F47955" w:rsidRPr="00F529AD">
        <w:rPr>
          <w:rFonts w:eastAsia="Times New Roman"/>
          <w:sz w:val="18"/>
          <w:szCs w:val="18"/>
          <w:lang w:val="el-GR"/>
        </w:rPr>
        <w:t>μ̣ελαιν̣άων ἐπιβαίη</w:t>
      </w:r>
      <w:r w:rsidR="00266CDD">
        <w:rPr>
          <w:rFonts w:eastAsia="Times New Roman"/>
          <w:sz w:val="18"/>
          <w:szCs w:val="18"/>
        </w:rPr>
        <w:t xml:space="preserve"> / </w:t>
      </w:r>
      <w:r w:rsidR="00F47955" w:rsidRPr="00F529AD">
        <w:rPr>
          <w:sz w:val="18"/>
          <w:szCs w:val="18"/>
          <w:lang w:val="el-GR"/>
        </w:rPr>
        <w:t>[…]</w:t>
      </w:r>
      <w:r w:rsidR="00266CDD">
        <w:rPr>
          <w:sz w:val="18"/>
          <w:szCs w:val="18"/>
        </w:rPr>
        <w:t xml:space="preserve"> / </w:t>
      </w:r>
      <w:r w:rsidR="00F47955" w:rsidRPr="00F529AD">
        <w:rPr>
          <w:rFonts w:eastAsia="Times New Roman"/>
          <w:sz w:val="18"/>
          <w:szCs w:val="18"/>
          <w:lang w:val="el-GR"/>
        </w:rPr>
        <w:t>… π]ολλ̣ὰς Ἀΐδηι κεφαλὰς ἀπὸ χαλκὸν ἰάψ[ει]ν</w:t>
      </w:r>
      <w:r w:rsidR="00266CDD">
        <w:rPr>
          <w:rFonts w:eastAsia="Times New Roman"/>
          <w:sz w:val="18"/>
          <w:szCs w:val="18"/>
        </w:rPr>
        <w:t xml:space="preserve"> / </w:t>
      </w:r>
      <w:r w:rsidR="00F47955" w:rsidRPr="00F529AD">
        <w:rPr>
          <w:rFonts w:eastAsia="Times New Roman"/>
          <w:sz w:val="18"/>
          <w:szCs w:val="18"/>
          <w:lang w:val="el-GR"/>
        </w:rPr>
        <w:t>ἀν]δ̣ρ̣ῶν ἡ̣ρ̣ώων ἐν δηϊοτῆτι πεσόντων</w:t>
      </w:r>
    </w:p>
  </w:footnote>
  <w:footnote w:id="24">
    <w:p w:rsidR="00295974" w:rsidRPr="00022A72" w:rsidRDefault="00295974" w:rsidP="00BC6A5E">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תפישה דומה, אך לא זהה</w:t>
      </w:r>
      <w:r w:rsidR="00D97606">
        <w:rPr>
          <w:rFonts w:cs="David" w:hint="cs"/>
          <w:sz w:val="18"/>
          <w:rtl/>
        </w:rPr>
        <w:t xml:space="preserve"> לה</w:t>
      </w:r>
      <w:r w:rsidRPr="00022A72">
        <w:rPr>
          <w:rFonts w:cs="David" w:hint="cs"/>
          <w:sz w:val="18"/>
          <w:rtl/>
        </w:rPr>
        <w:t>, על השמדת דור הגיבורים מצויה גם ביחידת הדורות ב'מעשים וימים' (שורות 109</w:t>
      </w:r>
      <w:r w:rsidRPr="00022A72">
        <w:rPr>
          <w:rFonts w:cs="David" w:hint="eastAsia"/>
          <w:sz w:val="18"/>
          <w:rtl/>
        </w:rPr>
        <w:t>–</w:t>
      </w:r>
      <w:r w:rsidRPr="00022A72">
        <w:rPr>
          <w:rFonts w:cs="David" w:hint="cs"/>
          <w:sz w:val="18"/>
          <w:rtl/>
        </w:rPr>
        <w:t xml:space="preserve">201), וראו להלן, ונרמזת </w:t>
      </w:r>
      <w:r w:rsidRPr="00022A72">
        <w:rPr>
          <w:rFonts w:cs="David" w:hint="cs"/>
          <w:sz w:val="18"/>
          <w:rtl/>
        </w:rPr>
        <w:t>כנראה גם ב'המנון ההומרי לאפרודיטי</w:t>
      </w:r>
      <w:r w:rsidRPr="00022A72">
        <w:rPr>
          <w:rFonts w:cs="David" w:hint="cs"/>
          <w:b/>
          <w:bCs/>
          <w:sz w:val="18"/>
          <w:rtl/>
        </w:rPr>
        <w:t xml:space="preserve">' </w:t>
      </w:r>
      <w:r w:rsidRPr="00022A72">
        <w:rPr>
          <w:rFonts w:cs="David" w:hint="cs"/>
          <w:sz w:val="18"/>
          <w:rtl/>
        </w:rPr>
        <w:t>(</w:t>
      </w:r>
      <w:r w:rsidRPr="00022A72">
        <w:rPr>
          <w:rFonts w:cs="David"/>
          <w:i/>
          <w:iCs/>
          <w:sz w:val="18"/>
        </w:rPr>
        <w:t xml:space="preserve">Hymn. </w:t>
      </w:r>
      <w:proofErr w:type="spellStart"/>
      <w:r w:rsidRPr="00022A72">
        <w:rPr>
          <w:rFonts w:cs="David"/>
          <w:i/>
          <w:iCs/>
          <w:sz w:val="18"/>
        </w:rPr>
        <w:t>Hom</w:t>
      </w:r>
      <w:proofErr w:type="spellEnd"/>
      <w:r w:rsidRPr="00022A72">
        <w:rPr>
          <w:rFonts w:cs="David"/>
          <w:sz w:val="18"/>
        </w:rPr>
        <w:t>. 3.247–253</w:t>
      </w:r>
      <w:r w:rsidRPr="00022A72">
        <w:rPr>
          <w:rFonts w:cs="David" w:hint="cs"/>
          <w:sz w:val="18"/>
          <w:rtl/>
        </w:rPr>
        <w:t>). ראו שטראוס קליי 1989,</w:t>
      </w:r>
      <w:r>
        <w:rPr>
          <w:rFonts w:cs="David" w:hint="cs"/>
          <w:sz w:val="18"/>
          <w:rtl/>
        </w:rPr>
        <w:t xml:space="preserve"> עמ'</w:t>
      </w:r>
      <w:r w:rsidRPr="00022A72">
        <w:rPr>
          <w:rFonts w:cs="David" w:hint="cs"/>
          <w:sz w:val="18"/>
          <w:rtl/>
        </w:rPr>
        <w:t xml:space="preserve"> 166; פינקלברג 2005,</w:t>
      </w:r>
      <w:r>
        <w:rPr>
          <w:rFonts w:cs="David" w:hint="cs"/>
          <w:sz w:val="18"/>
          <w:rtl/>
        </w:rPr>
        <w:t xml:space="preserve"> עמ'</w:t>
      </w:r>
      <w:r w:rsidRPr="00022A72">
        <w:rPr>
          <w:rFonts w:cs="David" w:hint="cs"/>
          <w:sz w:val="18"/>
          <w:rtl/>
        </w:rPr>
        <w:t xml:space="preserve"> 162.</w:t>
      </w:r>
    </w:p>
  </w:footnote>
  <w:footnote w:id="25">
    <w:p w:rsidR="00295974" w:rsidRPr="00022A72" w:rsidRDefault="00295974" w:rsidP="00E34FCD">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 xml:space="preserve">על הקבלה </w:t>
      </w:r>
      <w:r w:rsidRPr="00022A72">
        <w:rPr>
          <w:rFonts w:cs="David" w:hint="cs"/>
          <w:sz w:val="18"/>
          <w:rtl/>
        </w:rPr>
        <w:t>זו כבר עמד ון סיטרס אך מסקנותיו הכלליות היו שונות. ראו ון סיטרס 1988,</w:t>
      </w:r>
      <w:r>
        <w:rPr>
          <w:rFonts w:cs="David" w:hint="cs"/>
          <w:sz w:val="18"/>
          <w:rtl/>
        </w:rPr>
        <w:t xml:space="preserve"> עמ'</w:t>
      </w:r>
      <w:r w:rsidRPr="00022A72">
        <w:rPr>
          <w:rFonts w:cs="David" w:hint="cs"/>
          <w:sz w:val="18"/>
          <w:rtl/>
        </w:rPr>
        <w:t xml:space="preserve"> 6 הע</w:t>
      </w:r>
      <w:r>
        <w:rPr>
          <w:rFonts w:cs="David" w:hint="cs"/>
          <w:sz w:val="18"/>
          <w:rtl/>
        </w:rPr>
        <w:t>רה</w:t>
      </w:r>
      <w:r w:rsidRPr="00022A72">
        <w:rPr>
          <w:rFonts w:cs="David" w:hint="cs"/>
          <w:sz w:val="18"/>
          <w:rtl/>
        </w:rPr>
        <w:t xml:space="preserve"> 18; ון סיטרס 1992,</w:t>
      </w:r>
      <w:r>
        <w:rPr>
          <w:rFonts w:cs="David" w:hint="cs"/>
          <w:sz w:val="18"/>
          <w:rtl/>
        </w:rPr>
        <w:t xml:space="preserve"> עמ'</w:t>
      </w:r>
      <w:r w:rsidRPr="00022A72">
        <w:rPr>
          <w:rFonts w:cs="David" w:hint="cs"/>
          <w:sz w:val="18"/>
          <w:rtl/>
        </w:rPr>
        <w:t xml:space="preserve"> 156. עם זאת, לא ברור אם כוונת ביטוי זה כאן לבני הזיווגים בין בנות אדם והאלים או לאלים עצמם. מסתברת יותר האפשרות השנייה, שכן הגיבורים לא נקראים אף פעם ביצירה ההסיודית 'בני אלים' (</w:t>
      </w:r>
      <w:proofErr w:type="spellStart"/>
      <w:r w:rsidRPr="00022A72">
        <w:rPr>
          <w:rFonts w:eastAsia="Times New Roman" w:cs="David"/>
          <w:sz w:val="18"/>
        </w:rPr>
        <w:t>τέκνα</w:t>
      </w:r>
      <w:proofErr w:type="spellEnd"/>
      <w:r w:rsidRPr="00022A72">
        <w:rPr>
          <w:rFonts w:eastAsia="Times New Roman" w:cs="David"/>
          <w:sz w:val="18"/>
        </w:rPr>
        <w:t xml:space="preserve"> </w:t>
      </w:r>
      <w:proofErr w:type="spellStart"/>
      <w:r w:rsidRPr="00022A72">
        <w:rPr>
          <w:rFonts w:eastAsia="Times New Roman" w:cs="David"/>
          <w:sz w:val="18"/>
        </w:rPr>
        <w:t>θεῶν</w:t>
      </w:r>
      <w:proofErr w:type="spellEnd"/>
      <w:r w:rsidRPr="00022A72">
        <w:rPr>
          <w:rFonts w:cs="David" w:hint="cs"/>
          <w:sz w:val="18"/>
          <w:rtl/>
        </w:rPr>
        <w:t>) אלא 'הנדמים לאלים' (</w:t>
      </w:r>
      <w:proofErr w:type="spellStart"/>
      <w:r w:rsidRPr="00022A72">
        <w:rPr>
          <w:rStyle w:val="eforth"/>
          <w:rFonts w:cs="David"/>
          <w:sz w:val="18"/>
        </w:rPr>
        <w:t>θεοείκελοι</w:t>
      </w:r>
      <w:proofErr w:type="spellEnd"/>
      <w:r w:rsidRPr="00022A72">
        <w:rPr>
          <w:rFonts w:cs="David" w:hint="cs"/>
          <w:sz w:val="18"/>
          <w:rtl/>
        </w:rPr>
        <w:t>) או 'אלים למחצה' (</w:t>
      </w:r>
      <w:proofErr w:type="spellStart"/>
      <w:r w:rsidRPr="00022A72">
        <w:rPr>
          <w:rFonts w:eastAsia="Times New Roman" w:cs="David"/>
          <w:sz w:val="18"/>
        </w:rPr>
        <w:t>ἡμίθεοι</w:t>
      </w:r>
      <w:proofErr w:type="spellEnd"/>
      <w:r w:rsidRPr="00022A72">
        <w:rPr>
          <w:rFonts w:cs="David" w:hint="cs"/>
          <w:sz w:val="18"/>
          <w:rtl/>
        </w:rPr>
        <w:t>). לעומת זאת, צירופים דומים ל-</w:t>
      </w:r>
      <w:proofErr w:type="spellStart"/>
      <w:r w:rsidRPr="00022A72">
        <w:rPr>
          <w:rFonts w:eastAsia="Times New Roman" w:cs="David"/>
          <w:sz w:val="18"/>
        </w:rPr>
        <w:t>τέκνα</w:t>
      </w:r>
      <w:proofErr w:type="spellEnd"/>
      <w:r w:rsidRPr="00022A72">
        <w:rPr>
          <w:rFonts w:eastAsia="Times New Roman" w:cs="David"/>
          <w:sz w:val="18"/>
        </w:rPr>
        <w:t xml:space="preserve"> </w:t>
      </w:r>
      <w:proofErr w:type="spellStart"/>
      <w:r w:rsidRPr="00022A72">
        <w:rPr>
          <w:rFonts w:eastAsia="Times New Roman" w:cs="David"/>
          <w:sz w:val="18"/>
        </w:rPr>
        <w:t>θεῶν</w:t>
      </w:r>
      <w:proofErr w:type="spellEnd"/>
      <w:r w:rsidRPr="00022A72">
        <w:rPr>
          <w:rFonts w:cs="David" w:hint="cs"/>
          <w:sz w:val="18"/>
          <w:rtl/>
        </w:rPr>
        <w:t xml:space="preserve"> ביצירה ההסיודית מתייחסים תמיד</w:t>
      </w:r>
      <w:r w:rsidRPr="00022A72">
        <w:rPr>
          <w:rFonts w:cs="David" w:hint="cs"/>
          <w:b/>
          <w:bCs/>
          <w:sz w:val="18"/>
          <w:rtl/>
        </w:rPr>
        <w:t xml:space="preserve"> </w:t>
      </w:r>
      <w:r w:rsidRPr="00022A72">
        <w:rPr>
          <w:rFonts w:cs="David" w:hint="cs"/>
          <w:sz w:val="18"/>
          <w:rtl/>
        </w:rPr>
        <w:t>לאלים. כך למשל</w:t>
      </w:r>
      <w:r w:rsidRPr="00022A72">
        <w:rPr>
          <w:rFonts w:cs="David" w:hint="cs"/>
          <w:b/>
          <w:bCs/>
          <w:sz w:val="18"/>
          <w:rtl/>
        </w:rPr>
        <w:t xml:space="preserve"> </w:t>
      </w:r>
      <w:r w:rsidRPr="00022A72">
        <w:rPr>
          <w:rFonts w:cs="David" w:hint="cs"/>
          <w:sz w:val="18"/>
          <w:rtl/>
        </w:rPr>
        <w:t>ב'ת</w:t>
      </w:r>
      <w:r w:rsidR="00F80EED">
        <w:rPr>
          <w:rFonts w:cs="David" w:hint="cs"/>
          <w:sz w:val="18"/>
          <w:rtl/>
        </w:rPr>
        <w:t>י</w:t>
      </w:r>
      <w:r w:rsidRPr="00022A72">
        <w:rPr>
          <w:rFonts w:cs="David" w:hint="cs"/>
          <w:sz w:val="18"/>
          <w:rtl/>
        </w:rPr>
        <w:t xml:space="preserve">אוגוניה', שורה 240: </w:t>
      </w:r>
      <w:proofErr w:type="spellStart"/>
      <w:r w:rsidRPr="00022A72">
        <w:rPr>
          <w:rStyle w:val="txt"/>
          <w:rFonts w:cs="David"/>
          <w:sz w:val="18"/>
        </w:rPr>
        <w:t>μεγήριτα</w:t>
      </w:r>
      <w:proofErr w:type="spellEnd"/>
      <w:r w:rsidRPr="00022A72">
        <w:rPr>
          <w:rStyle w:val="txt"/>
          <w:rFonts w:cs="David"/>
          <w:sz w:val="18"/>
        </w:rPr>
        <w:t xml:space="preserve"> </w:t>
      </w:r>
      <w:proofErr w:type="spellStart"/>
      <w:r w:rsidRPr="00022A72">
        <w:rPr>
          <w:rStyle w:val="txt"/>
          <w:rFonts w:cs="David"/>
          <w:sz w:val="18"/>
        </w:rPr>
        <w:t>τέκνα</w:t>
      </w:r>
      <w:proofErr w:type="spellEnd"/>
      <w:r w:rsidRPr="00022A72">
        <w:rPr>
          <w:rStyle w:val="txt"/>
          <w:rFonts w:cs="David"/>
          <w:sz w:val="18"/>
        </w:rPr>
        <w:t xml:space="preserve"> </w:t>
      </w:r>
      <w:proofErr w:type="spellStart"/>
      <w:r w:rsidRPr="00022A72">
        <w:rPr>
          <w:rStyle w:val="txt"/>
          <w:rFonts w:cs="David"/>
          <w:sz w:val="18"/>
        </w:rPr>
        <w:t>θεάων</w:t>
      </w:r>
      <w:proofErr w:type="spellEnd"/>
      <w:r>
        <w:rPr>
          <w:rFonts w:cs="David" w:hint="cs"/>
          <w:sz w:val="18"/>
          <w:rtl/>
        </w:rPr>
        <w:t xml:space="preserve"> (= בנות אלות נחשקות</w:t>
      </w:r>
      <w:r w:rsidRPr="00022A72">
        <w:rPr>
          <w:rFonts w:cs="David" w:hint="cs"/>
          <w:sz w:val="18"/>
          <w:rtl/>
        </w:rPr>
        <w:t xml:space="preserve">) המתייחס לאלות בנות נראוס ודוריס, וכן שם, שורה 366: </w:t>
      </w:r>
      <w:proofErr w:type="spellStart"/>
      <w:r w:rsidRPr="00022A72">
        <w:rPr>
          <w:rStyle w:val="txt"/>
          <w:rFonts w:cs="David"/>
          <w:sz w:val="18"/>
        </w:rPr>
        <w:t>θεάων</w:t>
      </w:r>
      <w:proofErr w:type="spellEnd"/>
      <w:r w:rsidRPr="00022A72">
        <w:rPr>
          <w:rStyle w:val="txt"/>
          <w:rFonts w:cs="David"/>
          <w:sz w:val="18"/>
        </w:rPr>
        <w:t xml:space="preserve"> </w:t>
      </w:r>
      <w:proofErr w:type="spellStart"/>
      <w:r w:rsidRPr="00022A72">
        <w:rPr>
          <w:rStyle w:val="txt"/>
          <w:rFonts w:cs="David"/>
          <w:sz w:val="18"/>
        </w:rPr>
        <w:t>ἀγλαὰ</w:t>
      </w:r>
      <w:proofErr w:type="spellEnd"/>
      <w:r w:rsidRPr="00022A72">
        <w:rPr>
          <w:rStyle w:val="txt"/>
          <w:rFonts w:cs="David"/>
          <w:sz w:val="18"/>
        </w:rPr>
        <w:t xml:space="preserve"> </w:t>
      </w:r>
      <w:proofErr w:type="spellStart"/>
      <w:r w:rsidRPr="00022A72">
        <w:rPr>
          <w:rStyle w:val="txt"/>
          <w:rFonts w:cs="David"/>
          <w:sz w:val="18"/>
        </w:rPr>
        <w:t>τέκνα</w:t>
      </w:r>
      <w:proofErr w:type="spellEnd"/>
      <w:r w:rsidRPr="00022A72">
        <w:rPr>
          <w:rFonts w:cs="David" w:hint="cs"/>
          <w:sz w:val="18"/>
          <w:rtl/>
        </w:rPr>
        <w:t xml:space="preserve"> (</w:t>
      </w:r>
      <w:r>
        <w:rPr>
          <w:rFonts w:cs="David" w:hint="cs"/>
          <w:sz w:val="18"/>
          <w:rtl/>
        </w:rPr>
        <w:t xml:space="preserve">= </w:t>
      </w:r>
      <w:r w:rsidRPr="00022A72">
        <w:rPr>
          <w:rFonts w:cs="David" w:hint="cs"/>
          <w:sz w:val="18"/>
          <w:rtl/>
        </w:rPr>
        <w:t>בנות אלות נהדרות), המתייחס לבנות תטיס ואוקיינוס. במקרים אלה מה'ת</w:t>
      </w:r>
      <w:r w:rsidR="00F80EED">
        <w:rPr>
          <w:rFonts w:cs="David" w:hint="cs"/>
          <w:sz w:val="18"/>
          <w:rtl/>
        </w:rPr>
        <w:t>י</w:t>
      </w:r>
      <w:r w:rsidRPr="00022A72">
        <w:rPr>
          <w:rFonts w:cs="David" w:hint="cs"/>
          <w:sz w:val="18"/>
          <w:rtl/>
        </w:rPr>
        <w:t>אוגוניה', יש לפרש אפוא את המושג 'בני אלות' כ'אלות', כפי שבני אכאיים (</w:t>
      </w:r>
      <w:proofErr w:type="spellStart"/>
      <w:r w:rsidRPr="00022A72">
        <w:rPr>
          <w:rFonts w:cs="David"/>
          <w:sz w:val="18"/>
        </w:rPr>
        <w:t>υἷες</w:t>
      </w:r>
      <w:proofErr w:type="spellEnd"/>
      <w:r w:rsidRPr="00022A72">
        <w:rPr>
          <w:rFonts w:cs="David"/>
          <w:sz w:val="18"/>
        </w:rPr>
        <w:t xml:space="preserve"> </w:t>
      </w:r>
      <w:proofErr w:type="spellStart"/>
      <w:r w:rsidRPr="00022A72">
        <w:rPr>
          <w:rFonts w:cs="David"/>
          <w:sz w:val="18"/>
        </w:rPr>
        <w:t>Ἀχαιῶν</w:t>
      </w:r>
      <w:proofErr w:type="spellEnd"/>
      <w:r w:rsidRPr="00022A72">
        <w:rPr>
          <w:rFonts w:cs="David" w:hint="cs"/>
          <w:sz w:val="18"/>
          <w:rtl/>
        </w:rPr>
        <w:t>) הם 'אכאיים' (</w:t>
      </w:r>
      <w:proofErr w:type="spellStart"/>
      <w:r w:rsidRPr="00022A72">
        <w:rPr>
          <w:rFonts w:cs="David"/>
          <w:sz w:val="18"/>
        </w:rPr>
        <w:t>χαιοί</w:t>
      </w:r>
      <w:proofErr w:type="spellEnd"/>
      <w:r w:rsidRPr="00022A72">
        <w:rPr>
          <w:sz w:val="18"/>
          <w:rtl/>
        </w:rPr>
        <w:t>Ἀ</w:t>
      </w:r>
      <w:r w:rsidRPr="00022A72">
        <w:rPr>
          <w:rFonts w:cs="David" w:hint="cs"/>
          <w:sz w:val="18"/>
          <w:rtl/>
        </w:rPr>
        <w:t>). ראו</w:t>
      </w:r>
      <w:r>
        <w:rPr>
          <w:rFonts w:cs="David" w:hint="cs"/>
          <w:sz w:val="18"/>
          <w:rtl/>
        </w:rPr>
        <w:t xml:space="preserve"> </w:t>
      </w:r>
      <w:r w:rsidR="00E34FCD">
        <w:rPr>
          <w:rFonts w:cs="David" w:hint="cs"/>
          <w:sz w:val="18"/>
          <w:rtl/>
        </w:rPr>
        <w:t>וסט</w:t>
      </w:r>
      <w:r w:rsidRPr="00022A72">
        <w:rPr>
          <w:rFonts w:cs="David" w:hint="cs"/>
          <w:sz w:val="18"/>
          <w:rtl/>
        </w:rPr>
        <w:t xml:space="preserve"> 1966,</w:t>
      </w:r>
      <w:r>
        <w:rPr>
          <w:rFonts w:cs="David" w:hint="cs"/>
          <w:sz w:val="18"/>
          <w:rtl/>
        </w:rPr>
        <w:t xml:space="preserve"> עמ'</w:t>
      </w:r>
      <w:r w:rsidRPr="00022A72">
        <w:rPr>
          <w:rFonts w:cs="David" w:hint="cs"/>
          <w:sz w:val="18"/>
          <w:rtl/>
        </w:rPr>
        <w:t xml:space="preserve"> 237. כך למשל גם במחזה 'אלקטרה' לסופקלס: </w:t>
      </w:r>
      <w:proofErr w:type="spellStart"/>
      <w:r w:rsidRPr="00022A72">
        <w:rPr>
          <w:rStyle w:val="txt"/>
          <w:rFonts w:cs="David"/>
          <w:sz w:val="18"/>
        </w:rPr>
        <w:t>σεμναί</w:t>
      </w:r>
      <w:proofErr w:type="spellEnd"/>
      <w:r w:rsidRPr="00022A72">
        <w:rPr>
          <w:rStyle w:val="txt"/>
          <w:rFonts w:cs="David"/>
          <w:sz w:val="18"/>
        </w:rPr>
        <w:t xml:space="preserve"> </w:t>
      </w:r>
      <w:proofErr w:type="spellStart"/>
      <w:r w:rsidRPr="00022A72">
        <w:rPr>
          <w:rStyle w:val="txt"/>
          <w:rFonts w:cs="David"/>
          <w:sz w:val="18"/>
        </w:rPr>
        <w:t>τε</w:t>
      </w:r>
      <w:proofErr w:type="spellEnd"/>
      <w:r w:rsidRPr="00022A72">
        <w:rPr>
          <w:rStyle w:val="txt"/>
          <w:rFonts w:cs="David"/>
          <w:sz w:val="18"/>
        </w:rPr>
        <w:t xml:space="preserve"> </w:t>
      </w:r>
      <w:proofErr w:type="spellStart"/>
      <w:r w:rsidRPr="00022A72">
        <w:rPr>
          <w:rStyle w:val="txt"/>
          <w:rFonts w:cs="David"/>
          <w:sz w:val="18"/>
        </w:rPr>
        <w:t>θεῶν</w:t>
      </w:r>
      <w:proofErr w:type="spellEnd"/>
      <w:r w:rsidRPr="00022A72">
        <w:rPr>
          <w:rStyle w:val="txt"/>
          <w:rFonts w:cs="David"/>
          <w:sz w:val="18"/>
        </w:rPr>
        <w:t xml:space="preserve"> </w:t>
      </w:r>
      <w:proofErr w:type="spellStart"/>
      <w:r w:rsidRPr="00022A72">
        <w:rPr>
          <w:rStyle w:val="txt"/>
          <w:rFonts w:cs="David"/>
          <w:sz w:val="18"/>
        </w:rPr>
        <w:t>παῖδες</w:t>
      </w:r>
      <w:proofErr w:type="spellEnd"/>
      <w:r w:rsidRPr="00022A72">
        <w:rPr>
          <w:rStyle w:val="txt"/>
          <w:rFonts w:cs="David"/>
          <w:sz w:val="18"/>
        </w:rPr>
        <w:t xml:space="preserve"> </w:t>
      </w:r>
      <w:proofErr w:type="spellStart"/>
      <w:r w:rsidRPr="00022A72">
        <w:rPr>
          <w:rStyle w:val="txt"/>
          <w:rFonts w:cs="David"/>
          <w:sz w:val="18"/>
        </w:rPr>
        <w:t>Ἐρινύες</w:t>
      </w:r>
      <w:proofErr w:type="spellEnd"/>
      <w:r>
        <w:rPr>
          <w:rFonts w:cs="David" w:hint="cs"/>
          <w:sz w:val="18"/>
          <w:rtl/>
        </w:rPr>
        <w:t xml:space="preserve"> (= </w:t>
      </w:r>
      <w:r w:rsidRPr="00022A72">
        <w:rPr>
          <w:rFonts w:cs="David" w:hint="cs"/>
          <w:sz w:val="18"/>
          <w:rtl/>
        </w:rPr>
        <w:t xml:space="preserve">בנות אלים קדושות האריניות [=אלות הנקם]). מאידך גיסא, ביטויים דומים בספרות היוונית, כמו הביטוי </w:t>
      </w:r>
      <w:proofErr w:type="spellStart"/>
      <w:r w:rsidRPr="00022A72">
        <w:rPr>
          <w:rStyle w:val="txt"/>
          <w:rFonts w:cs="David"/>
          <w:sz w:val="18"/>
        </w:rPr>
        <w:t>υἱέες</w:t>
      </w:r>
      <w:proofErr w:type="spellEnd"/>
      <w:r w:rsidRPr="00022A72">
        <w:rPr>
          <w:rStyle w:val="txt"/>
          <w:rFonts w:cs="David"/>
          <w:sz w:val="18"/>
        </w:rPr>
        <w:t xml:space="preserve"> </w:t>
      </w:r>
      <w:proofErr w:type="spellStart"/>
      <w:r w:rsidRPr="00022A72">
        <w:rPr>
          <w:rStyle w:val="txt"/>
          <w:rFonts w:cs="David"/>
          <w:sz w:val="18"/>
        </w:rPr>
        <w:t>ἀθανάτων</w:t>
      </w:r>
      <w:proofErr w:type="spellEnd"/>
      <w:r>
        <w:rPr>
          <w:rFonts w:cs="David" w:hint="cs"/>
          <w:sz w:val="18"/>
          <w:rtl/>
        </w:rPr>
        <w:t xml:space="preserve"> (= </w:t>
      </w:r>
      <w:r w:rsidRPr="00022A72">
        <w:rPr>
          <w:rFonts w:cs="David" w:hint="cs"/>
          <w:sz w:val="18"/>
          <w:rtl/>
        </w:rPr>
        <w:t>צאצאי בני האלמוות</w:t>
      </w:r>
      <w:r>
        <w:rPr>
          <w:rFonts w:cs="David" w:hint="cs"/>
          <w:sz w:val="18"/>
          <w:rtl/>
        </w:rPr>
        <w:t>)</w:t>
      </w:r>
      <w:r w:rsidRPr="00022A72">
        <w:rPr>
          <w:rFonts w:cs="David" w:hint="cs"/>
          <w:sz w:val="18"/>
          <w:rtl/>
        </w:rPr>
        <w:t xml:space="preserve">, יכולים להורות גם על הגיבורים, צאצאי האלים ובנות תמותה </w:t>
      </w:r>
      <w:r>
        <w:rPr>
          <w:rFonts w:cs="David" w:hint="cs"/>
          <w:sz w:val="18"/>
          <w:rtl/>
        </w:rPr>
        <w:t>(</w:t>
      </w:r>
      <w:proofErr w:type="spellStart"/>
      <w:r w:rsidRPr="00022A72">
        <w:rPr>
          <w:rFonts w:cs="David"/>
          <w:sz w:val="18"/>
        </w:rPr>
        <w:t>Hom</w:t>
      </w:r>
      <w:proofErr w:type="spellEnd"/>
      <w:r w:rsidRPr="00022A72">
        <w:rPr>
          <w:rFonts w:cs="David"/>
          <w:sz w:val="18"/>
        </w:rPr>
        <w:t xml:space="preserve">. </w:t>
      </w:r>
      <w:r w:rsidRPr="00022A72">
        <w:rPr>
          <w:rFonts w:cs="David"/>
          <w:i/>
          <w:iCs/>
          <w:sz w:val="18"/>
        </w:rPr>
        <w:t>Il</w:t>
      </w:r>
      <w:r w:rsidRPr="00022A72">
        <w:rPr>
          <w:rFonts w:cs="David"/>
          <w:sz w:val="18"/>
        </w:rPr>
        <w:t>. 16.449</w:t>
      </w:r>
      <w:r>
        <w:rPr>
          <w:rFonts w:cs="David" w:hint="cs"/>
          <w:sz w:val="18"/>
          <w:rtl/>
        </w:rPr>
        <w:t>)</w:t>
      </w:r>
      <w:r w:rsidRPr="00022A72">
        <w:rPr>
          <w:rFonts w:cs="David" w:hint="cs"/>
          <w:sz w:val="18"/>
          <w:rtl/>
        </w:rPr>
        <w:t>. ראו גם את הדיון אצל הירשברגר 2004,</w:t>
      </w:r>
      <w:r>
        <w:rPr>
          <w:rFonts w:cs="David" w:hint="cs"/>
          <w:sz w:val="18"/>
          <w:rtl/>
        </w:rPr>
        <w:t xml:space="preserve"> עמ'</w:t>
      </w:r>
      <w:r w:rsidRPr="00022A72">
        <w:rPr>
          <w:rFonts w:cs="David" w:hint="cs"/>
          <w:sz w:val="18"/>
          <w:rtl/>
        </w:rPr>
        <w:t xml:space="preserve"> 418.</w:t>
      </w:r>
    </w:p>
  </w:footnote>
  <w:footnote w:id="26">
    <w:p w:rsidR="00295974" w:rsidRPr="00022A72" w:rsidRDefault="00295974" w:rsidP="00BC6A5E">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על הכינוי '</w:t>
      </w:r>
      <w:r w:rsidRPr="00022A72">
        <w:rPr>
          <w:rFonts w:cs="David"/>
          <w:sz w:val="18"/>
          <w:rtl/>
        </w:rPr>
        <w:t>הַנְּפִלִים</w:t>
      </w:r>
      <w:r w:rsidRPr="00022A72">
        <w:rPr>
          <w:rFonts w:cs="David" w:hint="cs"/>
          <w:sz w:val="18"/>
          <w:rtl/>
        </w:rPr>
        <w:t xml:space="preserve">' המתייחס לאותה קבוצה, אך אינו שייך ליד הראשונה שחיברה את הסיפור, </w:t>
      </w:r>
      <w:r w:rsidRPr="009426D6">
        <w:rPr>
          <w:rFonts w:cs="David" w:hint="cs"/>
          <w:sz w:val="18"/>
          <w:rtl/>
        </w:rPr>
        <w:t>ראו לעיל הערה 11</w:t>
      </w:r>
      <w:r w:rsidRPr="00022A72">
        <w:rPr>
          <w:rFonts w:cs="David" w:hint="cs"/>
          <w:sz w:val="18"/>
          <w:rtl/>
        </w:rPr>
        <w:t>.</w:t>
      </w:r>
    </w:p>
  </w:footnote>
  <w:footnote w:id="27">
    <w:p w:rsidR="00295974" w:rsidRPr="00022A72" w:rsidRDefault="00295974" w:rsidP="00BC6A5E">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hint="cs"/>
          <w:sz w:val="18"/>
          <w:rtl/>
        </w:rPr>
        <w:t xml:space="preserve"> </w:t>
      </w:r>
      <w:r>
        <w:rPr>
          <w:rFonts w:cs="David"/>
          <w:sz w:val="18"/>
          <w:rtl/>
        </w:rPr>
        <w:tab/>
      </w:r>
      <w:r w:rsidRPr="00022A72">
        <w:rPr>
          <w:rFonts w:cs="David" w:hint="cs"/>
          <w:sz w:val="18"/>
          <w:rtl/>
        </w:rPr>
        <w:t>סקודל 1982,</w:t>
      </w:r>
      <w:r>
        <w:rPr>
          <w:rFonts w:cs="David" w:hint="cs"/>
          <w:sz w:val="18"/>
          <w:rtl/>
        </w:rPr>
        <w:t xml:space="preserve"> עמ'</w:t>
      </w:r>
      <w:r w:rsidRPr="00022A72">
        <w:rPr>
          <w:rFonts w:cs="David" w:hint="cs"/>
          <w:sz w:val="18"/>
          <w:rtl/>
        </w:rPr>
        <w:t xml:space="preserve"> 42</w:t>
      </w:r>
      <w:r w:rsidRPr="00022A72">
        <w:rPr>
          <w:rFonts w:cs="David" w:hint="eastAsia"/>
          <w:sz w:val="18"/>
          <w:rtl/>
        </w:rPr>
        <w:t>–</w:t>
      </w:r>
      <w:r w:rsidRPr="00022A72">
        <w:rPr>
          <w:rFonts w:cs="David" w:hint="cs"/>
          <w:sz w:val="18"/>
          <w:rtl/>
        </w:rPr>
        <w:t>43.</w:t>
      </w:r>
    </w:p>
  </w:footnote>
  <w:footnote w:id="28">
    <w:p w:rsidR="00295974" w:rsidRPr="00022A72" w:rsidRDefault="00295974" w:rsidP="00BC6A5E">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 xml:space="preserve">על </w:t>
      </w:r>
      <w:r w:rsidR="008A66C0">
        <w:rPr>
          <w:rFonts w:cs="David" w:hint="cs"/>
          <w:sz w:val="18"/>
          <w:rtl/>
        </w:rPr>
        <w:t>'</w:t>
      </w:r>
      <w:r w:rsidRPr="00022A72">
        <w:rPr>
          <w:rFonts w:cs="David" w:hint="cs"/>
          <w:sz w:val="18"/>
          <w:rtl/>
        </w:rPr>
        <w:t>קיפריה</w:t>
      </w:r>
      <w:r w:rsidR="008A66C0">
        <w:rPr>
          <w:rFonts w:cs="David" w:hint="cs"/>
          <w:sz w:val="18"/>
          <w:rtl/>
        </w:rPr>
        <w:t>'</w:t>
      </w:r>
      <w:r w:rsidRPr="00022A72">
        <w:rPr>
          <w:rFonts w:cs="David" w:hint="cs"/>
          <w:sz w:val="18"/>
          <w:rtl/>
        </w:rPr>
        <w:t xml:space="preserve"> ראו למשל הקסלי 1969,</w:t>
      </w:r>
      <w:r>
        <w:rPr>
          <w:rFonts w:cs="David" w:hint="cs"/>
          <w:sz w:val="18"/>
          <w:rtl/>
        </w:rPr>
        <w:t xml:space="preserve"> עמ'</w:t>
      </w:r>
      <w:r w:rsidRPr="00022A72">
        <w:rPr>
          <w:rFonts w:cs="David" w:hint="cs"/>
          <w:sz w:val="18"/>
          <w:rtl/>
        </w:rPr>
        <w:t xml:space="preserve"> 123</w:t>
      </w:r>
      <w:r w:rsidRPr="00022A72">
        <w:rPr>
          <w:rFonts w:cs="David" w:hint="eastAsia"/>
          <w:sz w:val="18"/>
          <w:rtl/>
        </w:rPr>
        <w:t>–</w:t>
      </w:r>
      <w:r w:rsidRPr="00022A72">
        <w:rPr>
          <w:rFonts w:cs="David" w:hint="cs"/>
          <w:sz w:val="18"/>
          <w:rtl/>
        </w:rPr>
        <w:t>143; דיוויס 1989,</w:t>
      </w:r>
      <w:r>
        <w:rPr>
          <w:rFonts w:cs="David" w:hint="cs"/>
          <w:sz w:val="18"/>
          <w:rtl/>
        </w:rPr>
        <w:t xml:space="preserve"> עמ'</w:t>
      </w:r>
      <w:r w:rsidRPr="00022A72">
        <w:rPr>
          <w:rFonts w:cs="David" w:hint="cs"/>
          <w:sz w:val="18"/>
          <w:rtl/>
        </w:rPr>
        <w:t xml:space="preserve"> 32–50; סקייף 1995,</w:t>
      </w:r>
      <w:r>
        <w:rPr>
          <w:rFonts w:cs="David" w:hint="cs"/>
          <w:sz w:val="18"/>
          <w:rtl/>
        </w:rPr>
        <w:t xml:space="preserve"> עמ'</w:t>
      </w:r>
      <w:r w:rsidRPr="00022A72">
        <w:rPr>
          <w:rFonts w:cs="David" w:hint="cs"/>
          <w:sz w:val="18"/>
          <w:rtl/>
        </w:rPr>
        <w:t xml:space="preserve"> 164</w:t>
      </w:r>
      <w:r w:rsidRPr="00022A72">
        <w:rPr>
          <w:rFonts w:cs="David" w:hint="eastAsia"/>
          <w:sz w:val="18"/>
          <w:rtl/>
        </w:rPr>
        <w:t>–</w:t>
      </w:r>
      <w:r w:rsidRPr="00022A72">
        <w:rPr>
          <w:rFonts w:cs="David" w:hint="cs"/>
          <w:sz w:val="18"/>
          <w:rtl/>
        </w:rPr>
        <w:t xml:space="preserve">192; בורגס 2002, </w:t>
      </w:r>
      <w:r>
        <w:rPr>
          <w:rFonts w:cs="David" w:hint="cs"/>
          <w:sz w:val="18"/>
          <w:rtl/>
        </w:rPr>
        <w:t>עמ'</w:t>
      </w:r>
      <w:r w:rsidR="004D42AD">
        <w:rPr>
          <w:rFonts w:cs="David" w:hint="cs"/>
          <w:sz w:val="18"/>
          <w:rtl/>
        </w:rPr>
        <w:t xml:space="preserve"> </w:t>
      </w:r>
      <w:r w:rsidRPr="00022A72">
        <w:rPr>
          <w:rFonts w:cs="David" w:hint="cs"/>
          <w:sz w:val="18"/>
          <w:rtl/>
        </w:rPr>
        <w:t>234</w:t>
      </w:r>
      <w:r w:rsidRPr="00022A72">
        <w:rPr>
          <w:rFonts w:cs="David" w:hint="eastAsia"/>
          <w:sz w:val="18"/>
          <w:rtl/>
        </w:rPr>
        <w:t>–</w:t>
      </w:r>
      <w:r w:rsidRPr="00022A72">
        <w:rPr>
          <w:rFonts w:cs="David" w:hint="cs"/>
          <w:sz w:val="18"/>
          <w:rtl/>
        </w:rPr>
        <w:t>245; וסט 2003,</w:t>
      </w:r>
      <w:r>
        <w:rPr>
          <w:rFonts w:cs="David" w:hint="cs"/>
          <w:sz w:val="18"/>
          <w:rtl/>
        </w:rPr>
        <w:t xml:space="preserve"> עמ'</w:t>
      </w:r>
      <w:r w:rsidRPr="00022A72">
        <w:rPr>
          <w:rFonts w:cs="David" w:hint="cs"/>
          <w:sz w:val="18"/>
          <w:rtl/>
        </w:rPr>
        <w:t xml:space="preserve"> 13.</w:t>
      </w:r>
    </w:p>
  </w:footnote>
  <w:footnote w:id="29">
    <w:p w:rsidR="00D02A64" w:rsidRPr="00F529AD" w:rsidRDefault="00D02A64" w:rsidP="0039211F">
      <w:pPr>
        <w:widowControl w:val="0"/>
        <w:spacing w:line="480" w:lineRule="auto"/>
        <w:ind w:left="-284" w:hanging="680"/>
        <w:rPr>
          <w:sz w:val="18"/>
          <w:szCs w:val="18"/>
          <w:rtl/>
        </w:rPr>
      </w:pPr>
      <w:r w:rsidRPr="00F529AD">
        <w:rPr>
          <w:rStyle w:val="FootnoteReference"/>
          <w:sz w:val="18"/>
          <w:szCs w:val="18"/>
        </w:rPr>
        <w:footnoteRef/>
      </w:r>
      <w:r w:rsidRPr="00F529AD">
        <w:rPr>
          <w:sz w:val="18"/>
          <w:szCs w:val="18"/>
          <w:rtl/>
        </w:rPr>
        <w:t xml:space="preserve"> </w:t>
      </w:r>
      <w:r w:rsidRPr="00F529AD">
        <w:rPr>
          <w:sz w:val="18"/>
          <w:szCs w:val="18"/>
          <w:rtl/>
        </w:rPr>
        <w:tab/>
      </w:r>
      <w:r w:rsidRPr="00F529AD">
        <w:rPr>
          <w:rStyle w:val="txt"/>
          <w:sz w:val="18"/>
          <w:szCs w:val="18"/>
          <w:vertAlign w:val="subscript"/>
          <w:lang w:val="el-GR"/>
        </w:rPr>
        <w:t>(1)</w:t>
      </w:r>
      <w:r w:rsidRPr="00F529AD">
        <w:rPr>
          <w:rStyle w:val="txt"/>
          <w:sz w:val="18"/>
          <w:szCs w:val="18"/>
          <w:lang w:val="el-GR"/>
        </w:rPr>
        <w:t xml:space="preserve"> ἦν ὅτε μυρία φῦλα κατὰ χθόνα πλαζόμεν’ αἰεὶ</w:t>
      </w:r>
      <w:r w:rsidR="0039211F">
        <w:rPr>
          <w:rStyle w:val="txt"/>
          <w:sz w:val="18"/>
          <w:szCs w:val="18"/>
        </w:rPr>
        <w:t xml:space="preserve"> / </w:t>
      </w:r>
      <w:r w:rsidRPr="00F529AD">
        <w:rPr>
          <w:rStyle w:val="txt"/>
          <w:sz w:val="18"/>
          <w:szCs w:val="18"/>
          <w:lang w:val="el-GR"/>
        </w:rPr>
        <w:t>ἀνθρώπων ἐπίεζε βαρυστέρνου πλάτος αἴης,</w:t>
      </w:r>
      <w:r w:rsidR="0039211F">
        <w:rPr>
          <w:rStyle w:val="txt"/>
          <w:sz w:val="18"/>
          <w:szCs w:val="18"/>
        </w:rPr>
        <w:t xml:space="preserve"> / </w:t>
      </w:r>
      <w:r w:rsidRPr="00F529AD">
        <w:rPr>
          <w:rStyle w:val="txt"/>
          <w:sz w:val="18"/>
          <w:szCs w:val="18"/>
          <w:lang w:val="el-GR"/>
        </w:rPr>
        <w:t>Ζεὺς δὲ ἰδὼν ἐλέησε καὶ ἐν πυκιναῖς πραπίδεσσι</w:t>
      </w:r>
      <w:r w:rsidR="0039211F">
        <w:rPr>
          <w:rStyle w:val="txt"/>
          <w:sz w:val="18"/>
          <w:szCs w:val="18"/>
        </w:rPr>
        <w:t xml:space="preserve"> / </w:t>
      </w:r>
      <w:r w:rsidRPr="00F529AD">
        <w:rPr>
          <w:rStyle w:val="txt"/>
          <w:sz w:val="18"/>
          <w:szCs w:val="18"/>
          <w:lang w:val="el-GR"/>
        </w:rPr>
        <w:t>κουφίσαι ἀνθρώπων παμβώτορα σύνθετο γαῖαν,</w:t>
      </w:r>
      <w:r w:rsidR="0039211F">
        <w:rPr>
          <w:rStyle w:val="txt"/>
          <w:sz w:val="18"/>
          <w:szCs w:val="18"/>
        </w:rPr>
        <w:t xml:space="preserve"> / </w:t>
      </w:r>
      <w:r w:rsidRPr="00F529AD">
        <w:rPr>
          <w:rStyle w:val="txt"/>
          <w:sz w:val="18"/>
          <w:szCs w:val="18"/>
          <w:vertAlign w:val="subscript"/>
          <w:lang w:val="el-GR"/>
        </w:rPr>
        <w:t>(5)</w:t>
      </w:r>
      <w:r w:rsidRPr="00F529AD">
        <w:rPr>
          <w:rStyle w:val="txt"/>
          <w:sz w:val="18"/>
          <w:szCs w:val="18"/>
          <w:lang w:val="el-GR"/>
        </w:rPr>
        <w:t xml:space="preserve"> ῥιπίσσας πολέμου μεγάλην ἔριν Ἰλιακοῖο,</w:t>
      </w:r>
      <w:r w:rsidR="0039211F">
        <w:rPr>
          <w:rStyle w:val="txt"/>
          <w:sz w:val="18"/>
          <w:szCs w:val="18"/>
        </w:rPr>
        <w:t xml:space="preserve"> / </w:t>
      </w:r>
      <w:r w:rsidRPr="00F529AD">
        <w:rPr>
          <w:rStyle w:val="txt"/>
          <w:sz w:val="18"/>
          <w:szCs w:val="18"/>
          <w:lang w:val="el-GR"/>
        </w:rPr>
        <w:t>ὄφρα κενώσειεν θανάτωι βάρος. οἱ δ’ ἐνὶ Τροίηι</w:t>
      </w:r>
      <w:r w:rsidR="0039211F">
        <w:rPr>
          <w:rStyle w:val="txt"/>
          <w:sz w:val="18"/>
          <w:szCs w:val="18"/>
        </w:rPr>
        <w:t xml:space="preserve"> / </w:t>
      </w:r>
      <w:r w:rsidRPr="00F529AD">
        <w:rPr>
          <w:rStyle w:val="txt"/>
          <w:sz w:val="18"/>
          <w:szCs w:val="18"/>
          <w:lang w:val="el-GR"/>
        </w:rPr>
        <w:t>ἥρωες κτείνοντο, Διὸς δ’ ἐτελείετο βουλή.</w:t>
      </w:r>
    </w:p>
  </w:footnote>
  <w:footnote w:id="30">
    <w:p w:rsidR="00295974" w:rsidRPr="00022A72" w:rsidRDefault="00295974" w:rsidP="00BC6A5E">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אתרח'סיס, ב, טור א 2</w:t>
      </w:r>
      <w:r w:rsidRPr="00022A72">
        <w:rPr>
          <w:rFonts w:cs="David" w:hint="cs"/>
          <w:sz w:val="18"/>
          <w:rtl/>
        </w:rPr>
        <w:softHyphen/>
      </w:r>
      <w:r w:rsidRPr="00022A72">
        <w:rPr>
          <w:rFonts w:cs="David" w:hint="eastAsia"/>
          <w:sz w:val="18"/>
          <w:rtl/>
        </w:rPr>
        <w:t>–</w:t>
      </w:r>
      <w:r w:rsidRPr="00022A72">
        <w:rPr>
          <w:rFonts w:cs="David" w:hint="cs"/>
          <w:sz w:val="18"/>
          <w:rtl/>
        </w:rPr>
        <w:t>8, וראו גם א 353–359. לטקסט ראו למברט ומילארד 1969,</w:t>
      </w:r>
      <w:r>
        <w:rPr>
          <w:rFonts w:cs="David" w:hint="cs"/>
          <w:sz w:val="18"/>
          <w:rtl/>
        </w:rPr>
        <w:t xml:space="preserve"> עמ'</w:t>
      </w:r>
      <w:r w:rsidRPr="00022A72">
        <w:rPr>
          <w:rFonts w:cs="David" w:hint="cs"/>
          <w:sz w:val="18"/>
          <w:rtl/>
        </w:rPr>
        <w:t xml:space="preserve"> 66–67, 72</w:t>
      </w:r>
      <w:r w:rsidRPr="00022A72">
        <w:rPr>
          <w:rFonts w:cs="David" w:hint="cs"/>
          <w:sz w:val="18"/>
          <w:rtl/>
        </w:rPr>
        <w:softHyphen/>
      </w:r>
      <w:r w:rsidRPr="00022A72">
        <w:rPr>
          <w:rFonts w:cs="David" w:hint="eastAsia"/>
          <w:sz w:val="18"/>
          <w:rtl/>
        </w:rPr>
        <w:t>–</w:t>
      </w:r>
      <w:r w:rsidRPr="00022A72">
        <w:rPr>
          <w:rFonts w:cs="David" w:hint="cs"/>
          <w:sz w:val="18"/>
          <w:rtl/>
        </w:rPr>
        <w:t>73, השוו</w:t>
      </w:r>
      <w:r>
        <w:rPr>
          <w:rFonts w:cs="David" w:hint="cs"/>
          <w:sz w:val="18"/>
          <w:rtl/>
        </w:rPr>
        <w:t xml:space="preserve"> עמ'</w:t>
      </w:r>
      <w:r w:rsidRPr="00022A72">
        <w:rPr>
          <w:rFonts w:cs="David" w:hint="cs"/>
          <w:sz w:val="18"/>
          <w:rtl/>
        </w:rPr>
        <w:t xml:space="preserve"> 106–107. לתרגום עברי ראו שפרה וקליין תשנ"ז,</w:t>
      </w:r>
      <w:r>
        <w:rPr>
          <w:rFonts w:cs="David" w:hint="cs"/>
          <w:sz w:val="18"/>
          <w:rtl/>
        </w:rPr>
        <w:t xml:space="preserve"> עמ'</w:t>
      </w:r>
      <w:r w:rsidRPr="00022A72">
        <w:rPr>
          <w:rFonts w:cs="David" w:hint="cs"/>
          <w:sz w:val="18"/>
          <w:rtl/>
        </w:rPr>
        <w:t xml:space="preserve"> 88</w:t>
      </w:r>
      <w:r w:rsidRPr="00022A72">
        <w:rPr>
          <w:rFonts w:cs="David" w:hint="eastAsia"/>
          <w:sz w:val="18"/>
          <w:rtl/>
        </w:rPr>
        <w:t>–</w:t>
      </w:r>
      <w:r w:rsidRPr="00022A72">
        <w:rPr>
          <w:rFonts w:cs="David" w:hint="cs"/>
          <w:sz w:val="18"/>
          <w:rtl/>
        </w:rPr>
        <w:t>130, 672</w:t>
      </w:r>
      <w:r w:rsidRPr="00022A72">
        <w:rPr>
          <w:rFonts w:cs="David" w:hint="eastAsia"/>
          <w:sz w:val="18"/>
          <w:rtl/>
        </w:rPr>
        <w:t>–</w:t>
      </w:r>
      <w:r w:rsidRPr="00022A72">
        <w:rPr>
          <w:rFonts w:cs="David" w:hint="cs"/>
          <w:sz w:val="18"/>
          <w:rtl/>
        </w:rPr>
        <w:t>675.</w:t>
      </w:r>
    </w:p>
  </w:footnote>
  <w:footnote w:id="31">
    <w:p w:rsidR="00295974" w:rsidRPr="00022A72" w:rsidRDefault="00295974" w:rsidP="00DB5650">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 xml:space="preserve">רבים עמדו </w:t>
      </w:r>
      <w:r w:rsidRPr="00022A72">
        <w:rPr>
          <w:rFonts w:cs="David" w:hint="cs"/>
          <w:sz w:val="18"/>
          <w:rtl/>
        </w:rPr>
        <w:t>על הדמיון בין ה</w:t>
      </w:r>
      <w:r>
        <w:rPr>
          <w:rFonts w:cs="David" w:hint="cs"/>
          <w:sz w:val="18"/>
          <w:rtl/>
        </w:rPr>
        <w:t>'</w:t>
      </w:r>
      <w:r w:rsidRPr="00022A72">
        <w:rPr>
          <w:rFonts w:cs="David" w:hint="cs"/>
          <w:sz w:val="18"/>
          <w:rtl/>
        </w:rPr>
        <w:t>קיפריה</w:t>
      </w:r>
      <w:r>
        <w:rPr>
          <w:rFonts w:cs="David" w:hint="cs"/>
          <w:sz w:val="18"/>
          <w:rtl/>
        </w:rPr>
        <w:t>'</w:t>
      </w:r>
      <w:r w:rsidRPr="00022A72">
        <w:rPr>
          <w:rFonts w:cs="David" w:hint="cs"/>
          <w:sz w:val="18"/>
          <w:rtl/>
        </w:rPr>
        <w:t xml:space="preserve"> ל</w:t>
      </w:r>
      <w:r>
        <w:rPr>
          <w:rFonts w:cs="David" w:hint="cs"/>
          <w:sz w:val="18"/>
          <w:rtl/>
        </w:rPr>
        <w:t>'</w:t>
      </w:r>
      <w:r w:rsidRPr="00022A72">
        <w:rPr>
          <w:rFonts w:cs="David" w:hint="cs"/>
          <w:sz w:val="18"/>
          <w:rtl/>
        </w:rPr>
        <w:t>אתרח'סיס</w:t>
      </w:r>
      <w:r>
        <w:rPr>
          <w:rFonts w:cs="David" w:hint="cs"/>
          <w:sz w:val="18"/>
          <w:rtl/>
        </w:rPr>
        <w:t>'</w:t>
      </w:r>
      <w:r w:rsidRPr="00022A72">
        <w:rPr>
          <w:rFonts w:cs="David" w:hint="cs"/>
          <w:sz w:val="18"/>
          <w:rtl/>
        </w:rPr>
        <w:t>. ראו למשל ובסטר 1958,</w:t>
      </w:r>
      <w:r>
        <w:rPr>
          <w:rFonts w:cs="David" w:hint="cs"/>
          <w:sz w:val="18"/>
          <w:rtl/>
        </w:rPr>
        <w:t xml:space="preserve"> עמ'</w:t>
      </w:r>
      <w:r w:rsidRPr="00022A72">
        <w:rPr>
          <w:rFonts w:cs="David" w:hint="cs"/>
          <w:sz w:val="18"/>
          <w:rtl/>
        </w:rPr>
        <w:t xml:space="preserve"> 86; קילמר 1972,</w:t>
      </w:r>
      <w:r>
        <w:rPr>
          <w:rFonts w:cs="David" w:hint="cs"/>
          <w:sz w:val="18"/>
          <w:rtl/>
        </w:rPr>
        <w:t xml:space="preserve"> עמ'</w:t>
      </w:r>
      <w:r w:rsidRPr="00022A72">
        <w:rPr>
          <w:rFonts w:cs="David" w:hint="cs"/>
          <w:sz w:val="18"/>
          <w:rtl/>
        </w:rPr>
        <w:t xml:space="preserve"> 175–176; קירק 1972,</w:t>
      </w:r>
      <w:r>
        <w:rPr>
          <w:rFonts w:cs="David" w:hint="cs"/>
          <w:sz w:val="18"/>
          <w:rtl/>
        </w:rPr>
        <w:t xml:space="preserve"> עמ'</w:t>
      </w:r>
      <w:r w:rsidRPr="00022A72">
        <w:rPr>
          <w:rFonts w:cs="David" w:hint="cs"/>
          <w:sz w:val="18"/>
          <w:rtl/>
        </w:rPr>
        <w:t xml:space="preserve"> 79; נגלר 1974,</w:t>
      </w:r>
      <w:r>
        <w:rPr>
          <w:rFonts w:cs="David" w:hint="cs"/>
          <w:sz w:val="18"/>
          <w:rtl/>
        </w:rPr>
        <w:t xml:space="preserve"> עמ'</w:t>
      </w:r>
      <w:r w:rsidRPr="00022A72">
        <w:rPr>
          <w:rFonts w:cs="David" w:hint="cs"/>
          <w:sz w:val="18"/>
          <w:rtl/>
        </w:rPr>
        <w:t xml:space="preserve"> 155; סקודל 1982,</w:t>
      </w:r>
      <w:r>
        <w:rPr>
          <w:rFonts w:cs="David" w:hint="cs"/>
          <w:sz w:val="18"/>
          <w:rtl/>
        </w:rPr>
        <w:t xml:space="preserve"> עמ'</w:t>
      </w:r>
      <w:r w:rsidRPr="00022A72">
        <w:rPr>
          <w:rFonts w:cs="David" w:hint="cs"/>
          <w:sz w:val="18"/>
          <w:rtl/>
        </w:rPr>
        <w:t xml:space="preserve"> 40–41; בורקרט 1992,</w:t>
      </w:r>
      <w:r>
        <w:rPr>
          <w:rFonts w:cs="David" w:hint="cs"/>
          <w:sz w:val="18"/>
          <w:rtl/>
        </w:rPr>
        <w:t xml:space="preserve"> עמ'</w:t>
      </w:r>
      <w:r w:rsidRPr="00022A72">
        <w:rPr>
          <w:rFonts w:cs="David" w:hint="cs"/>
          <w:sz w:val="18"/>
          <w:rtl/>
        </w:rPr>
        <w:t xml:space="preserve"> 100</w:t>
      </w:r>
      <w:r w:rsidRPr="00022A72">
        <w:rPr>
          <w:rFonts w:cs="David" w:hint="eastAsia"/>
          <w:sz w:val="18"/>
          <w:rtl/>
        </w:rPr>
        <w:t>–</w:t>
      </w:r>
      <w:r w:rsidRPr="00022A72">
        <w:rPr>
          <w:rFonts w:cs="David" w:hint="cs"/>
          <w:sz w:val="18"/>
          <w:rtl/>
        </w:rPr>
        <w:t>106, 206</w:t>
      </w:r>
      <w:r w:rsidRPr="00022A72">
        <w:rPr>
          <w:rFonts w:cs="David" w:hint="eastAsia"/>
          <w:sz w:val="18"/>
          <w:rtl/>
        </w:rPr>
        <w:t>–</w:t>
      </w:r>
      <w:r w:rsidRPr="00022A72">
        <w:rPr>
          <w:rFonts w:cs="David" w:hint="cs"/>
          <w:sz w:val="18"/>
          <w:rtl/>
        </w:rPr>
        <w:t>207; וסט 1997,</w:t>
      </w:r>
      <w:r>
        <w:rPr>
          <w:rFonts w:cs="David" w:hint="cs"/>
          <w:sz w:val="18"/>
          <w:rtl/>
        </w:rPr>
        <w:t xml:space="preserve"> עמ'</w:t>
      </w:r>
      <w:r w:rsidRPr="00022A72">
        <w:rPr>
          <w:rFonts w:cs="David" w:hint="cs"/>
          <w:sz w:val="18"/>
          <w:rtl/>
        </w:rPr>
        <w:t xml:space="preserve"> 480</w:t>
      </w:r>
      <w:r w:rsidRPr="00022A72">
        <w:rPr>
          <w:rFonts w:cs="David" w:hint="eastAsia"/>
          <w:sz w:val="18"/>
          <w:rtl/>
        </w:rPr>
        <w:t>–</w:t>
      </w:r>
      <w:r w:rsidRPr="00022A72">
        <w:rPr>
          <w:rFonts w:cs="David" w:hint="cs"/>
          <w:sz w:val="18"/>
          <w:rtl/>
        </w:rPr>
        <w:t>482. אחדים הצביעו על ההקבלה של מוטיב 'האדמה הכורעת תחת העול' למוטיב דומה ב'מהבהאראטה' (</w:t>
      </w:r>
      <w:r w:rsidRPr="00022A72">
        <w:rPr>
          <w:rFonts w:cs="David"/>
          <w:sz w:val="18"/>
          <w:rtl/>
        </w:rPr>
        <w:t>1.58.35–50</w:t>
      </w:r>
      <w:r w:rsidRPr="00022A72">
        <w:rPr>
          <w:rFonts w:cs="David" w:hint="cs"/>
          <w:sz w:val="18"/>
          <w:rtl/>
        </w:rPr>
        <w:t>). לדעה זו ראו למשל שוורצבאום 1957,</w:t>
      </w:r>
      <w:r>
        <w:rPr>
          <w:rFonts w:cs="David" w:hint="cs"/>
          <w:sz w:val="18"/>
          <w:rtl/>
        </w:rPr>
        <w:t xml:space="preserve"> עמ'</w:t>
      </w:r>
      <w:r w:rsidRPr="00022A72">
        <w:rPr>
          <w:rFonts w:cs="David" w:hint="cs"/>
          <w:sz w:val="18"/>
          <w:rtl/>
        </w:rPr>
        <w:t xml:space="preserve"> 59</w:t>
      </w:r>
      <w:r w:rsidRPr="00022A72">
        <w:rPr>
          <w:rFonts w:cs="David" w:hint="eastAsia"/>
          <w:sz w:val="18"/>
          <w:rtl/>
        </w:rPr>
        <w:t>–</w:t>
      </w:r>
      <w:r w:rsidRPr="00022A72">
        <w:rPr>
          <w:rFonts w:cs="David" w:hint="cs"/>
          <w:sz w:val="18"/>
          <w:rtl/>
        </w:rPr>
        <w:t>74; מאייר 1996,</w:t>
      </w:r>
      <w:r>
        <w:rPr>
          <w:rFonts w:cs="David" w:hint="cs"/>
          <w:sz w:val="18"/>
          <w:rtl/>
        </w:rPr>
        <w:t xml:space="preserve"> עמ'</w:t>
      </w:r>
      <w:r w:rsidRPr="00022A72">
        <w:rPr>
          <w:rFonts w:cs="David" w:hint="cs"/>
          <w:sz w:val="18"/>
          <w:rtl/>
        </w:rPr>
        <w:t xml:space="preserve"> 5</w:t>
      </w:r>
      <w:r w:rsidRPr="00022A72">
        <w:rPr>
          <w:rFonts w:cs="David" w:hint="eastAsia"/>
          <w:sz w:val="18"/>
          <w:rtl/>
        </w:rPr>
        <w:t>–</w:t>
      </w:r>
      <w:r w:rsidRPr="00022A72">
        <w:rPr>
          <w:rFonts w:cs="David" w:hint="cs"/>
          <w:sz w:val="18"/>
          <w:rtl/>
        </w:rPr>
        <w:t>7. עם זאת, הימצאותו של פרט מקביל בודד בספרות ההודית אינה מעידה כי מדובר באלמנט הודו-אירופי קדום. ראו גם את ביקורתו של וסט 1997,</w:t>
      </w:r>
      <w:r>
        <w:rPr>
          <w:rFonts w:cs="David" w:hint="cs"/>
          <w:sz w:val="18"/>
          <w:rtl/>
        </w:rPr>
        <w:t xml:space="preserve"> עמ'</w:t>
      </w:r>
      <w:r w:rsidRPr="00022A72">
        <w:rPr>
          <w:rFonts w:cs="David" w:hint="cs"/>
          <w:sz w:val="18"/>
          <w:rtl/>
        </w:rPr>
        <w:t xml:space="preserve"> 482. לתרגום ה</w:t>
      </w:r>
      <w:r w:rsidR="00E05F70">
        <w:rPr>
          <w:rFonts w:cs="David" w:hint="cs"/>
          <w:sz w:val="18"/>
          <w:rtl/>
        </w:rPr>
        <w:t>סצינה</w:t>
      </w:r>
      <w:r w:rsidRPr="00022A72">
        <w:rPr>
          <w:rFonts w:cs="David" w:hint="cs"/>
          <w:sz w:val="18"/>
          <w:rtl/>
        </w:rPr>
        <w:t xml:space="preserve"> מ</w:t>
      </w:r>
      <w:r>
        <w:rPr>
          <w:rFonts w:cs="David" w:hint="cs"/>
          <w:sz w:val="18"/>
          <w:rtl/>
        </w:rPr>
        <w:t>'</w:t>
      </w:r>
      <w:r w:rsidRPr="00022A72">
        <w:rPr>
          <w:rFonts w:cs="David" w:hint="cs"/>
          <w:sz w:val="18"/>
          <w:rtl/>
        </w:rPr>
        <w:t>מהבהאראטה</w:t>
      </w:r>
      <w:r>
        <w:rPr>
          <w:rFonts w:cs="David" w:hint="cs"/>
          <w:sz w:val="18"/>
          <w:rtl/>
        </w:rPr>
        <w:t>'</w:t>
      </w:r>
      <w:r w:rsidRPr="00022A72">
        <w:rPr>
          <w:rFonts w:cs="David" w:hint="cs"/>
          <w:sz w:val="18"/>
          <w:rtl/>
        </w:rPr>
        <w:t xml:space="preserve"> ראו ון בויטנן 1973,</w:t>
      </w:r>
      <w:r>
        <w:rPr>
          <w:rFonts w:cs="David" w:hint="cs"/>
          <w:sz w:val="18"/>
          <w:rtl/>
        </w:rPr>
        <w:t xml:space="preserve"> עמ'</w:t>
      </w:r>
      <w:r w:rsidRPr="00022A72">
        <w:rPr>
          <w:rFonts w:cs="David" w:hint="cs"/>
          <w:sz w:val="18"/>
          <w:rtl/>
        </w:rPr>
        <w:t xml:space="preserve"> 137</w:t>
      </w:r>
      <w:r w:rsidRPr="00022A72">
        <w:rPr>
          <w:rFonts w:cs="David" w:hint="eastAsia"/>
          <w:sz w:val="18"/>
          <w:rtl/>
        </w:rPr>
        <w:t>–</w:t>
      </w:r>
      <w:r w:rsidRPr="00022A72">
        <w:rPr>
          <w:rFonts w:cs="David" w:hint="cs"/>
          <w:sz w:val="18"/>
          <w:rtl/>
        </w:rPr>
        <w:t>138. ראויה לציון גם ההקבלה מן ה'אווסטה' (</w:t>
      </w:r>
      <w:proofErr w:type="spellStart"/>
      <w:r w:rsidRPr="00022A72">
        <w:rPr>
          <w:rFonts w:cs="David"/>
          <w:sz w:val="18"/>
        </w:rPr>
        <w:t>Vendidad</w:t>
      </w:r>
      <w:proofErr w:type="spellEnd"/>
      <w:r w:rsidRPr="00022A72">
        <w:rPr>
          <w:rFonts w:cs="David"/>
          <w:sz w:val="18"/>
        </w:rPr>
        <w:t xml:space="preserve">, </w:t>
      </w:r>
      <w:bookmarkStart w:id="1" w:name="top"/>
      <w:proofErr w:type="spellStart"/>
      <w:r w:rsidRPr="00022A72">
        <w:rPr>
          <w:rFonts w:cs="David"/>
          <w:sz w:val="18"/>
        </w:rPr>
        <w:t>Fargard</w:t>
      </w:r>
      <w:bookmarkEnd w:id="1"/>
      <w:proofErr w:type="spellEnd"/>
      <w:r w:rsidRPr="00022A72">
        <w:rPr>
          <w:rFonts w:cs="David"/>
          <w:sz w:val="18"/>
        </w:rPr>
        <w:t xml:space="preserve"> 2</w:t>
      </w:r>
      <w:r w:rsidRPr="00022A72">
        <w:rPr>
          <w:rFonts w:cs="David" w:hint="cs"/>
          <w:sz w:val="18"/>
          <w:rtl/>
        </w:rPr>
        <w:t>), המבוססת ללא ספק על דפוס סיפור המבול המזרחי. ובכל מקרה יחידה זו מאוחרת למדי ביחס לטקסטים מן המזרח הקדום ומיוון שנידונו כאן. לתרגום ראו מלנדרה 1983,</w:t>
      </w:r>
      <w:r>
        <w:rPr>
          <w:rFonts w:cs="David" w:hint="cs"/>
          <w:sz w:val="18"/>
          <w:rtl/>
        </w:rPr>
        <w:t xml:space="preserve"> עמ'</w:t>
      </w:r>
      <w:r w:rsidRPr="00022A72">
        <w:rPr>
          <w:rFonts w:cs="David" w:hint="cs"/>
          <w:sz w:val="18"/>
          <w:rtl/>
        </w:rPr>
        <w:t xml:space="preserve"> 178</w:t>
      </w:r>
      <w:r w:rsidRPr="00022A72">
        <w:rPr>
          <w:rFonts w:cs="David" w:hint="eastAsia"/>
          <w:sz w:val="18"/>
          <w:rtl/>
        </w:rPr>
        <w:t>–</w:t>
      </w:r>
      <w:r w:rsidRPr="00022A72">
        <w:rPr>
          <w:rFonts w:cs="David" w:hint="cs"/>
          <w:sz w:val="18"/>
          <w:rtl/>
        </w:rPr>
        <w:t>182. לדיון בטקסטים אלו בהשוואה ל</w:t>
      </w:r>
      <w:r>
        <w:rPr>
          <w:rFonts w:cs="David" w:hint="cs"/>
          <w:sz w:val="18"/>
          <w:rtl/>
        </w:rPr>
        <w:t>'</w:t>
      </w:r>
      <w:r w:rsidRPr="00022A72">
        <w:rPr>
          <w:rFonts w:cs="David" w:hint="cs"/>
          <w:sz w:val="18"/>
          <w:rtl/>
        </w:rPr>
        <w:t>אתרח'סיס</w:t>
      </w:r>
      <w:r>
        <w:rPr>
          <w:rFonts w:cs="David" w:hint="cs"/>
          <w:sz w:val="18"/>
          <w:rtl/>
        </w:rPr>
        <w:t>'</w:t>
      </w:r>
      <w:r w:rsidRPr="00022A72">
        <w:rPr>
          <w:rFonts w:cs="David" w:hint="cs"/>
          <w:sz w:val="18"/>
          <w:rtl/>
        </w:rPr>
        <w:t xml:space="preserve"> ראו קילמר 1972,</w:t>
      </w:r>
      <w:r>
        <w:rPr>
          <w:rFonts w:cs="David" w:hint="cs"/>
          <w:sz w:val="18"/>
          <w:rtl/>
        </w:rPr>
        <w:t xml:space="preserve"> עמ'</w:t>
      </w:r>
      <w:r w:rsidRPr="00022A72">
        <w:rPr>
          <w:rFonts w:cs="David" w:hint="cs"/>
          <w:sz w:val="18"/>
          <w:rtl/>
        </w:rPr>
        <w:t xml:space="preserve"> 175; דלי 1998,</w:t>
      </w:r>
      <w:r>
        <w:rPr>
          <w:rFonts w:cs="David" w:hint="cs"/>
          <w:sz w:val="18"/>
          <w:rtl/>
        </w:rPr>
        <w:t xml:space="preserve"> עמ'</w:t>
      </w:r>
      <w:r w:rsidRPr="00022A72">
        <w:rPr>
          <w:rFonts w:cs="David" w:hint="cs"/>
          <w:sz w:val="18"/>
          <w:rtl/>
        </w:rPr>
        <w:t xml:space="preserve"> 172</w:t>
      </w:r>
      <w:r w:rsidRPr="00022A72">
        <w:rPr>
          <w:rFonts w:cs="David" w:hint="eastAsia"/>
          <w:sz w:val="18"/>
          <w:rtl/>
        </w:rPr>
        <w:t>–</w:t>
      </w:r>
      <w:r w:rsidRPr="00022A72">
        <w:rPr>
          <w:rFonts w:cs="David" w:hint="cs"/>
          <w:sz w:val="18"/>
          <w:rtl/>
        </w:rPr>
        <w:t>173.</w:t>
      </w:r>
    </w:p>
  </w:footnote>
  <w:footnote w:id="32">
    <w:p w:rsidR="00295974" w:rsidRPr="00022A72" w:rsidRDefault="00295974" w:rsidP="00BC6A5E">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 xml:space="preserve">ראו לעיל במבוא, סעיף </w:t>
      </w:r>
      <w:r>
        <w:rPr>
          <w:rFonts w:cs="David" w:hint="cs"/>
          <w:sz w:val="18"/>
          <w:rtl/>
        </w:rPr>
        <w:t>ד</w:t>
      </w:r>
      <w:r w:rsidR="00E831B6">
        <w:rPr>
          <w:rFonts w:cs="David" w:hint="cs"/>
          <w:sz w:val="18"/>
          <w:rtl/>
        </w:rPr>
        <w:t>.</w:t>
      </w:r>
    </w:p>
  </w:footnote>
  <w:footnote w:id="33">
    <w:p w:rsidR="003449B6" w:rsidRPr="00F529AD" w:rsidRDefault="003449B6" w:rsidP="00E831B6">
      <w:pPr>
        <w:pStyle w:val="FootnoteText"/>
        <w:widowControl w:val="0"/>
        <w:spacing w:line="480" w:lineRule="auto"/>
        <w:ind w:left="-283" w:hanging="680"/>
        <w:rPr>
          <w:rFonts w:cs="David"/>
          <w:sz w:val="18"/>
          <w:szCs w:val="18"/>
          <w:rtl/>
        </w:rPr>
      </w:pPr>
      <w:r w:rsidRPr="00F529AD">
        <w:rPr>
          <w:rStyle w:val="FootnoteReference"/>
          <w:rFonts w:cs="David"/>
          <w:sz w:val="18"/>
          <w:szCs w:val="18"/>
        </w:rPr>
        <w:footnoteRef/>
      </w:r>
      <w:r w:rsidRPr="00F529AD">
        <w:rPr>
          <w:rFonts w:cs="David"/>
          <w:sz w:val="18"/>
          <w:szCs w:val="18"/>
          <w:rtl/>
        </w:rPr>
        <w:t xml:space="preserve"> </w:t>
      </w:r>
      <w:r w:rsidRPr="00F529AD">
        <w:rPr>
          <w:rFonts w:cs="David"/>
          <w:sz w:val="18"/>
          <w:szCs w:val="18"/>
          <w:rtl/>
        </w:rPr>
        <w:tab/>
      </w:r>
      <w:proofErr w:type="spellStart"/>
      <w:proofErr w:type="gramStart"/>
      <w:r w:rsidRPr="00F529AD">
        <w:rPr>
          <w:rFonts w:eastAsia="Times New Roman"/>
          <w:sz w:val="18"/>
          <w:szCs w:val="18"/>
        </w:rPr>
        <w:t>ἄλλοι</w:t>
      </w:r>
      <w:proofErr w:type="spellEnd"/>
      <w:proofErr w:type="gramEnd"/>
      <w:r w:rsidRPr="00F529AD">
        <w:rPr>
          <w:rFonts w:eastAsia="Times New Roman"/>
          <w:sz w:val="18"/>
          <w:szCs w:val="18"/>
        </w:rPr>
        <w:t xml:space="preserve"> </w:t>
      </w:r>
      <w:proofErr w:type="spellStart"/>
      <w:r w:rsidRPr="00F529AD">
        <w:rPr>
          <w:rFonts w:eastAsia="Times New Roman"/>
          <w:sz w:val="18"/>
          <w:szCs w:val="18"/>
        </w:rPr>
        <w:t>δὲ</w:t>
      </w:r>
      <w:proofErr w:type="spellEnd"/>
      <w:r w:rsidRPr="00F529AD">
        <w:rPr>
          <w:rFonts w:eastAsia="Times New Roman"/>
          <w:sz w:val="18"/>
          <w:szCs w:val="18"/>
        </w:rPr>
        <w:t xml:space="preserve"> </w:t>
      </w:r>
      <w:proofErr w:type="spellStart"/>
      <w:r w:rsidRPr="00F529AD">
        <w:rPr>
          <w:rFonts w:eastAsia="Times New Roman"/>
          <w:sz w:val="18"/>
          <w:szCs w:val="18"/>
        </w:rPr>
        <w:t>ἀπὸ</w:t>
      </w:r>
      <w:proofErr w:type="spellEnd"/>
      <w:r w:rsidRPr="00F529AD">
        <w:rPr>
          <w:rFonts w:eastAsia="Times New Roman"/>
          <w:sz w:val="18"/>
          <w:szCs w:val="18"/>
        </w:rPr>
        <w:t xml:space="preserve"> </w:t>
      </w:r>
      <w:proofErr w:type="spellStart"/>
      <w:r w:rsidRPr="00F529AD">
        <w:rPr>
          <w:rFonts w:eastAsia="Times New Roman"/>
          <w:sz w:val="18"/>
          <w:szCs w:val="18"/>
        </w:rPr>
        <w:t>ἱστορίας</w:t>
      </w:r>
      <w:proofErr w:type="spellEnd"/>
      <w:r w:rsidRPr="00F529AD">
        <w:rPr>
          <w:rFonts w:eastAsia="Times New Roman"/>
          <w:sz w:val="18"/>
          <w:szCs w:val="18"/>
        </w:rPr>
        <w:t xml:space="preserve"> </w:t>
      </w:r>
      <w:proofErr w:type="spellStart"/>
      <w:r w:rsidRPr="00F529AD">
        <w:rPr>
          <w:rFonts w:eastAsia="Times New Roman"/>
          <w:sz w:val="18"/>
          <w:szCs w:val="18"/>
        </w:rPr>
        <w:t>τινὸς</w:t>
      </w:r>
      <w:proofErr w:type="spellEnd"/>
      <w:r w:rsidRPr="00F529AD">
        <w:rPr>
          <w:rFonts w:eastAsia="Times New Roman"/>
          <w:sz w:val="18"/>
          <w:szCs w:val="18"/>
        </w:rPr>
        <w:t xml:space="preserve"> </w:t>
      </w:r>
      <w:proofErr w:type="spellStart"/>
      <w:r w:rsidRPr="00F529AD">
        <w:rPr>
          <w:rFonts w:eastAsia="Times New Roman"/>
          <w:sz w:val="18"/>
          <w:szCs w:val="18"/>
        </w:rPr>
        <w:t>εἶπον</w:t>
      </w:r>
      <w:proofErr w:type="spellEnd"/>
      <w:r w:rsidRPr="00F529AD">
        <w:rPr>
          <w:rFonts w:eastAsia="Times New Roman"/>
          <w:sz w:val="18"/>
          <w:szCs w:val="18"/>
        </w:rPr>
        <w:t xml:space="preserve"> </w:t>
      </w:r>
      <w:proofErr w:type="spellStart"/>
      <w:r w:rsidRPr="00F529AD">
        <w:rPr>
          <w:rFonts w:eastAsia="Times New Roman"/>
          <w:sz w:val="18"/>
          <w:szCs w:val="18"/>
        </w:rPr>
        <w:t>εἰρηκέναι</w:t>
      </w:r>
      <w:proofErr w:type="spellEnd"/>
      <w:r w:rsidRPr="00F529AD">
        <w:rPr>
          <w:rFonts w:eastAsia="Times New Roman"/>
          <w:sz w:val="18"/>
          <w:szCs w:val="18"/>
        </w:rPr>
        <w:t xml:space="preserve"> </w:t>
      </w:r>
      <w:proofErr w:type="spellStart"/>
      <w:r w:rsidRPr="00F529AD">
        <w:rPr>
          <w:rFonts w:eastAsia="Times New Roman"/>
          <w:sz w:val="18"/>
          <w:szCs w:val="18"/>
        </w:rPr>
        <w:t>τὸν</w:t>
      </w:r>
      <w:proofErr w:type="spellEnd"/>
      <w:r w:rsidRPr="00F529AD">
        <w:rPr>
          <w:rFonts w:eastAsia="Times New Roman"/>
          <w:sz w:val="18"/>
          <w:szCs w:val="18"/>
        </w:rPr>
        <w:t xml:space="preserve"> </w:t>
      </w:r>
      <w:proofErr w:type="spellStart"/>
      <w:r w:rsidRPr="00F529AD">
        <w:rPr>
          <w:rFonts w:eastAsia="Times New Roman"/>
          <w:sz w:val="18"/>
          <w:szCs w:val="18"/>
        </w:rPr>
        <w:t>Ὅμηρον</w:t>
      </w:r>
      <w:proofErr w:type="spellEnd"/>
      <w:r w:rsidRPr="00F529AD">
        <w:rPr>
          <w:rFonts w:eastAsia="Times New Roman"/>
          <w:sz w:val="18"/>
          <w:szCs w:val="18"/>
        </w:rPr>
        <w:t xml:space="preserve">. </w:t>
      </w:r>
      <w:proofErr w:type="spellStart"/>
      <w:r w:rsidRPr="00F529AD">
        <w:rPr>
          <w:rFonts w:eastAsia="Times New Roman"/>
          <w:sz w:val="18"/>
          <w:szCs w:val="18"/>
        </w:rPr>
        <w:t>φασὶ</w:t>
      </w:r>
      <w:proofErr w:type="spellEnd"/>
      <w:r w:rsidRPr="00F529AD">
        <w:rPr>
          <w:rFonts w:eastAsia="Times New Roman"/>
          <w:sz w:val="18"/>
          <w:szCs w:val="18"/>
        </w:rPr>
        <w:t xml:space="preserve"> </w:t>
      </w:r>
      <w:proofErr w:type="spellStart"/>
      <w:r w:rsidRPr="00F529AD">
        <w:rPr>
          <w:rFonts w:eastAsia="Times New Roman"/>
          <w:sz w:val="18"/>
          <w:szCs w:val="18"/>
        </w:rPr>
        <w:t>γὰρ</w:t>
      </w:r>
      <w:proofErr w:type="spellEnd"/>
      <w:r w:rsidRPr="00F529AD">
        <w:rPr>
          <w:rFonts w:eastAsia="Times New Roman"/>
          <w:sz w:val="18"/>
          <w:szCs w:val="18"/>
        </w:rPr>
        <w:t xml:space="preserve"> </w:t>
      </w:r>
      <w:proofErr w:type="spellStart"/>
      <w:r w:rsidRPr="00F529AD">
        <w:rPr>
          <w:rFonts w:eastAsia="Times New Roman"/>
          <w:sz w:val="18"/>
          <w:szCs w:val="18"/>
        </w:rPr>
        <w:t>τὴν</w:t>
      </w:r>
      <w:proofErr w:type="spellEnd"/>
      <w:r w:rsidRPr="00F529AD">
        <w:rPr>
          <w:rFonts w:eastAsia="Times New Roman"/>
          <w:sz w:val="18"/>
          <w:szCs w:val="18"/>
        </w:rPr>
        <w:t xml:space="preserve"> </w:t>
      </w:r>
      <w:proofErr w:type="spellStart"/>
      <w:r w:rsidRPr="00F529AD">
        <w:rPr>
          <w:rFonts w:eastAsia="Times New Roman"/>
          <w:sz w:val="18"/>
          <w:szCs w:val="18"/>
        </w:rPr>
        <w:t>γὴν</w:t>
      </w:r>
      <w:proofErr w:type="spellEnd"/>
      <w:r w:rsidRPr="00F529AD">
        <w:rPr>
          <w:rFonts w:eastAsia="Times New Roman"/>
          <w:sz w:val="18"/>
          <w:szCs w:val="18"/>
        </w:rPr>
        <w:t xml:space="preserve"> </w:t>
      </w:r>
      <w:proofErr w:type="spellStart"/>
      <w:r w:rsidRPr="00F529AD">
        <w:rPr>
          <w:rFonts w:eastAsia="Times New Roman"/>
          <w:sz w:val="18"/>
          <w:szCs w:val="18"/>
        </w:rPr>
        <w:t>βαρουμένην</w:t>
      </w:r>
      <w:proofErr w:type="spellEnd"/>
      <w:r w:rsidRPr="00F529AD">
        <w:rPr>
          <w:rFonts w:eastAsia="Times New Roman"/>
          <w:sz w:val="18"/>
          <w:szCs w:val="18"/>
        </w:rPr>
        <w:t xml:space="preserve"> </w:t>
      </w:r>
      <w:proofErr w:type="spellStart"/>
      <w:r w:rsidRPr="00F529AD">
        <w:rPr>
          <w:rFonts w:eastAsia="Times New Roman"/>
          <w:sz w:val="18"/>
          <w:szCs w:val="18"/>
        </w:rPr>
        <w:t>ὑπὸ</w:t>
      </w:r>
      <w:proofErr w:type="spellEnd"/>
      <w:r w:rsidRPr="00F529AD">
        <w:rPr>
          <w:rFonts w:eastAsia="Times New Roman"/>
          <w:sz w:val="18"/>
          <w:szCs w:val="18"/>
        </w:rPr>
        <w:t xml:space="preserve"> </w:t>
      </w:r>
      <w:proofErr w:type="spellStart"/>
      <w:r w:rsidRPr="00F529AD">
        <w:rPr>
          <w:rFonts w:eastAsia="Times New Roman"/>
          <w:sz w:val="18"/>
          <w:szCs w:val="18"/>
        </w:rPr>
        <w:t>ἀνθρώπων</w:t>
      </w:r>
      <w:proofErr w:type="spellEnd"/>
      <w:r w:rsidRPr="00F529AD">
        <w:rPr>
          <w:rFonts w:eastAsia="Times New Roman"/>
          <w:sz w:val="18"/>
          <w:szCs w:val="18"/>
        </w:rPr>
        <w:t xml:space="preserve"> </w:t>
      </w:r>
      <w:proofErr w:type="spellStart"/>
      <w:r w:rsidRPr="00F529AD">
        <w:rPr>
          <w:rFonts w:eastAsia="Times New Roman"/>
          <w:sz w:val="18"/>
          <w:szCs w:val="18"/>
        </w:rPr>
        <w:t>πολυπληθείας</w:t>
      </w:r>
      <w:proofErr w:type="spellEnd"/>
      <w:r w:rsidRPr="00F529AD">
        <w:rPr>
          <w:rFonts w:eastAsia="Times New Roman"/>
          <w:sz w:val="18"/>
          <w:szCs w:val="18"/>
        </w:rPr>
        <w:t xml:space="preserve">, </w:t>
      </w:r>
      <w:proofErr w:type="spellStart"/>
      <w:r w:rsidRPr="00F529AD">
        <w:rPr>
          <w:rFonts w:eastAsia="Times New Roman"/>
          <w:sz w:val="18"/>
          <w:szCs w:val="18"/>
        </w:rPr>
        <w:t>μηδεμιᾶς</w:t>
      </w:r>
      <w:proofErr w:type="spellEnd"/>
      <w:r w:rsidRPr="00F529AD">
        <w:rPr>
          <w:rFonts w:eastAsia="Times New Roman"/>
          <w:sz w:val="18"/>
          <w:szCs w:val="18"/>
        </w:rPr>
        <w:t xml:space="preserve"> </w:t>
      </w:r>
      <w:proofErr w:type="spellStart"/>
      <w:r w:rsidRPr="00F529AD">
        <w:rPr>
          <w:rFonts w:eastAsia="Times New Roman"/>
          <w:sz w:val="18"/>
          <w:szCs w:val="18"/>
        </w:rPr>
        <w:t>ἀνθρώπων</w:t>
      </w:r>
      <w:proofErr w:type="spellEnd"/>
      <w:r w:rsidRPr="00F529AD">
        <w:rPr>
          <w:rFonts w:eastAsia="Times New Roman"/>
          <w:sz w:val="18"/>
          <w:szCs w:val="18"/>
        </w:rPr>
        <w:t xml:space="preserve"> </w:t>
      </w:r>
      <w:proofErr w:type="spellStart"/>
      <w:r w:rsidRPr="00F529AD">
        <w:rPr>
          <w:rFonts w:eastAsia="Times New Roman"/>
          <w:sz w:val="18"/>
          <w:szCs w:val="18"/>
        </w:rPr>
        <w:t>οὔσης</w:t>
      </w:r>
      <w:proofErr w:type="spellEnd"/>
      <w:r w:rsidRPr="00F529AD">
        <w:rPr>
          <w:rFonts w:eastAsia="Times New Roman"/>
          <w:sz w:val="18"/>
          <w:szCs w:val="18"/>
        </w:rPr>
        <w:t xml:space="preserve"> </w:t>
      </w:r>
      <w:proofErr w:type="spellStart"/>
      <w:r w:rsidRPr="00F529AD">
        <w:rPr>
          <w:rFonts w:eastAsia="Times New Roman"/>
          <w:sz w:val="18"/>
          <w:szCs w:val="18"/>
        </w:rPr>
        <w:t>εὐσεβείας</w:t>
      </w:r>
      <w:proofErr w:type="spellEnd"/>
      <w:r w:rsidRPr="00F529AD">
        <w:rPr>
          <w:rFonts w:eastAsia="Times New Roman"/>
          <w:sz w:val="18"/>
          <w:szCs w:val="18"/>
        </w:rPr>
        <w:t xml:space="preserve">, </w:t>
      </w:r>
      <w:proofErr w:type="spellStart"/>
      <w:r w:rsidRPr="00F529AD">
        <w:rPr>
          <w:rFonts w:eastAsia="Times New Roman"/>
          <w:sz w:val="18"/>
          <w:szCs w:val="18"/>
        </w:rPr>
        <w:t>αἰτῆσαι</w:t>
      </w:r>
      <w:proofErr w:type="spellEnd"/>
      <w:r w:rsidRPr="00F529AD">
        <w:rPr>
          <w:rFonts w:eastAsia="Times New Roman"/>
          <w:sz w:val="18"/>
          <w:szCs w:val="18"/>
        </w:rPr>
        <w:t xml:space="preserve"> </w:t>
      </w:r>
      <w:proofErr w:type="spellStart"/>
      <w:r w:rsidRPr="00F529AD">
        <w:rPr>
          <w:rFonts w:eastAsia="Times New Roman"/>
          <w:sz w:val="18"/>
          <w:szCs w:val="18"/>
        </w:rPr>
        <w:t>τὸν</w:t>
      </w:r>
      <w:proofErr w:type="spellEnd"/>
      <w:r w:rsidRPr="00F529AD">
        <w:rPr>
          <w:rFonts w:eastAsia="Times New Roman"/>
          <w:sz w:val="18"/>
          <w:szCs w:val="18"/>
        </w:rPr>
        <w:t xml:space="preserve"> </w:t>
      </w:r>
      <w:proofErr w:type="spellStart"/>
      <w:r w:rsidRPr="00F529AD">
        <w:rPr>
          <w:rFonts w:eastAsia="Times New Roman"/>
          <w:sz w:val="18"/>
          <w:szCs w:val="18"/>
        </w:rPr>
        <w:t>Δία</w:t>
      </w:r>
      <w:proofErr w:type="spellEnd"/>
      <w:r w:rsidRPr="00F529AD">
        <w:rPr>
          <w:rFonts w:eastAsia="Times New Roman"/>
          <w:sz w:val="18"/>
          <w:szCs w:val="18"/>
        </w:rPr>
        <w:t xml:space="preserve"> </w:t>
      </w:r>
      <w:proofErr w:type="spellStart"/>
      <w:r w:rsidRPr="00F529AD">
        <w:rPr>
          <w:rFonts w:eastAsia="Times New Roman"/>
          <w:sz w:val="18"/>
          <w:szCs w:val="18"/>
        </w:rPr>
        <w:t>κουφισθῆναι</w:t>
      </w:r>
      <w:proofErr w:type="spellEnd"/>
      <w:r w:rsidRPr="00F529AD">
        <w:rPr>
          <w:rFonts w:eastAsia="Times New Roman"/>
          <w:sz w:val="18"/>
          <w:szCs w:val="18"/>
        </w:rPr>
        <w:t xml:space="preserve"> </w:t>
      </w:r>
      <w:proofErr w:type="spellStart"/>
      <w:r w:rsidRPr="00F529AD">
        <w:rPr>
          <w:rFonts w:eastAsia="Times New Roman"/>
          <w:sz w:val="18"/>
          <w:szCs w:val="18"/>
        </w:rPr>
        <w:t>τοῦ</w:t>
      </w:r>
      <w:proofErr w:type="spellEnd"/>
      <w:r w:rsidRPr="00F529AD">
        <w:rPr>
          <w:rFonts w:eastAsia="Times New Roman"/>
          <w:sz w:val="18"/>
          <w:szCs w:val="18"/>
        </w:rPr>
        <w:t xml:space="preserve"> </w:t>
      </w:r>
      <w:proofErr w:type="spellStart"/>
      <w:r w:rsidRPr="00F529AD">
        <w:rPr>
          <w:rFonts w:eastAsia="Times New Roman"/>
          <w:sz w:val="18"/>
          <w:szCs w:val="18"/>
        </w:rPr>
        <w:t>ἄχθους</w:t>
      </w:r>
      <w:proofErr w:type="spellEnd"/>
      <w:r w:rsidRPr="00F529AD">
        <w:rPr>
          <w:rFonts w:eastAsia="Times New Roman"/>
          <w:sz w:val="18"/>
          <w:szCs w:val="18"/>
        </w:rPr>
        <w:t xml:space="preserve">. </w:t>
      </w:r>
      <w:proofErr w:type="spellStart"/>
      <w:proofErr w:type="gramStart"/>
      <w:r w:rsidRPr="00F529AD">
        <w:rPr>
          <w:rFonts w:eastAsia="Times New Roman"/>
          <w:sz w:val="18"/>
          <w:szCs w:val="18"/>
        </w:rPr>
        <w:t>τὸν</w:t>
      </w:r>
      <w:proofErr w:type="spellEnd"/>
      <w:proofErr w:type="gramEnd"/>
      <w:r w:rsidRPr="00F529AD">
        <w:rPr>
          <w:rFonts w:eastAsia="Times New Roman"/>
          <w:sz w:val="18"/>
          <w:szCs w:val="18"/>
        </w:rPr>
        <w:t xml:space="preserve"> </w:t>
      </w:r>
      <w:proofErr w:type="spellStart"/>
      <w:r w:rsidRPr="00F529AD">
        <w:rPr>
          <w:rFonts w:eastAsia="Times New Roman"/>
          <w:sz w:val="18"/>
          <w:szCs w:val="18"/>
        </w:rPr>
        <w:t>δὲ</w:t>
      </w:r>
      <w:proofErr w:type="spellEnd"/>
      <w:r w:rsidRPr="00F529AD">
        <w:rPr>
          <w:rFonts w:eastAsia="Times New Roman"/>
          <w:sz w:val="18"/>
          <w:szCs w:val="18"/>
        </w:rPr>
        <w:t xml:space="preserve"> </w:t>
      </w:r>
      <w:proofErr w:type="spellStart"/>
      <w:r w:rsidRPr="00F529AD">
        <w:rPr>
          <w:rFonts w:eastAsia="Times New Roman"/>
          <w:sz w:val="18"/>
          <w:szCs w:val="18"/>
        </w:rPr>
        <w:t>Δία</w:t>
      </w:r>
      <w:proofErr w:type="spellEnd"/>
      <w:r w:rsidRPr="00F529AD">
        <w:rPr>
          <w:rFonts w:eastAsia="Times New Roman"/>
          <w:sz w:val="18"/>
          <w:szCs w:val="18"/>
        </w:rPr>
        <w:t xml:space="preserve">, </w:t>
      </w:r>
      <w:proofErr w:type="spellStart"/>
      <w:r w:rsidRPr="00F529AD">
        <w:rPr>
          <w:rFonts w:eastAsia="Times New Roman"/>
          <w:sz w:val="18"/>
          <w:szCs w:val="18"/>
        </w:rPr>
        <w:t>πρῶτον</w:t>
      </w:r>
      <w:proofErr w:type="spellEnd"/>
      <w:r w:rsidRPr="00F529AD">
        <w:rPr>
          <w:rFonts w:eastAsia="Times New Roman"/>
          <w:sz w:val="18"/>
          <w:szCs w:val="18"/>
        </w:rPr>
        <w:t xml:space="preserve"> </w:t>
      </w:r>
      <w:proofErr w:type="spellStart"/>
      <w:r w:rsidRPr="00F529AD">
        <w:rPr>
          <w:rFonts w:eastAsia="Times New Roman"/>
          <w:sz w:val="18"/>
          <w:szCs w:val="18"/>
        </w:rPr>
        <w:t>μὲν</w:t>
      </w:r>
      <w:proofErr w:type="spellEnd"/>
      <w:r w:rsidRPr="00F529AD">
        <w:rPr>
          <w:rFonts w:eastAsia="Times New Roman"/>
          <w:sz w:val="18"/>
          <w:szCs w:val="18"/>
        </w:rPr>
        <w:t xml:space="preserve"> </w:t>
      </w:r>
      <w:proofErr w:type="spellStart"/>
      <w:r w:rsidRPr="00F529AD">
        <w:rPr>
          <w:rFonts w:eastAsia="Times New Roman"/>
          <w:sz w:val="18"/>
          <w:szCs w:val="18"/>
        </w:rPr>
        <w:t>εὐθὺς</w:t>
      </w:r>
      <w:proofErr w:type="spellEnd"/>
      <w:r w:rsidRPr="00F529AD">
        <w:rPr>
          <w:rFonts w:eastAsia="Times New Roman"/>
          <w:sz w:val="18"/>
          <w:szCs w:val="18"/>
        </w:rPr>
        <w:t xml:space="preserve"> </w:t>
      </w:r>
      <w:proofErr w:type="spellStart"/>
      <w:r w:rsidRPr="00F529AD">
        <w:rPr>
          <w:rFonts w:eastAsia="Times New Roman"/>
          <w:sz w:val="18"/>
          <w:szCs w:val="18"/>
        </w:rPr>
        <w:t>ποιῆσαι</w:t>
      </w:r>
      <w:proofErr w:type="spellEnd"/>
      <w:r w:rsidRPr="00F529AD">
        <w:rPr>
          <w:rFonts w:eastAsia="Times New Roman"/>
          <w:sz w:val="18"/>
          <w:szCs w:val="18"/>
        </w:rPr>
        <w:t xml:space="preserve"> </w:t>
      </w:r>
      <w:proofErr w:type="spellStart"/>
      <w:r w:rsidRPr="00F529AD">
        <w:rPr>
          <w:rFonts w:eastAsia="Times New Roman"/>
          <w:sz w:val="18"/>
          <w:szCs w:val="18"/>
        </w:rPr>
        <w:t>τὸν</w:t>
      </w:r>
      <w:proofErr w:type="spellEnd"/>
      <w:r w:rsidRPr="00F529AD">
        <w:rPr>
          <w:rFonts w:eastAsia="Times New Roman"/>
          <w:sz w:val="18"/>
          <w:szCs w:val="18"/>
        </w:rPr>
        <w:t xml:space="preserve"> </w:t>
      </w:r>
      <w:proofErr w:type="spellStart"/>
      <w:r w:rsidRPr="00F529AD">
        <w:rPr>
          <w:rFonts w:eastAsia="Times New Roman"/>
          <w:sz w:val="18"/>
          <w:szCs w:val="18"/>
        </w:rPr>
        <w:t>Θηβαϊκὸν</w:t>
      </w:r>
      <w:proofErr w:type="spellEnd"/>
      <w:r w:rsidRPr="00F529AD">
        <w:rPr>
          <w:rFonts w:eastAsia="Times New Roman"/>
          <w:sz w:val="18"/>
          <w:szCs w:val="18"/>
        </w:rPr>
        <w:t xml:space="preserve"> </w:t>
      </w:r>
      <w:proofErr w:type="spellStart"/>
      <w:r w:rsidRPr="00F529AD">
        <w:rPr>
          <w:rFonts w:eastAsia="Times New Roman"/>
          <w:sz w:val="18"/>
          <w:szCs w:val="18"/>
        </w:rPr>
        <w:t>πόλεμον</w:t>
      </w:r>
      <w:proofErr w:type="spellEnd"/>
      <w:r w:rsidRPr="00F529AD">
        <w:rPr>
          <w:rFonts w:eastAsia="Times New Roman"/>
          <w:sz w:val="18"/>
          <w:szCs w:val="18"/>
        </w:rPr>
        <w:t xml:space="preserve">, </w:t>
      </w:r>
      <w:proofErr w:type="spellStart"/>
      <w:r w:rsidRPr="00F529AD">
        <w:rPr>
          <w:rFonts w:eastAsia="Times New Roman"/>
          <w:sz w:val="18"/>
          <w:szCs w:val="18"/>
        </w:rPr>
        <w:t>δι</w:t>
      </w:r>
      <w:proofErr w:type="spellEnd"/>
      <w:r w:rsidRPr="00F529AD">
        <w:rPr>
          <w:rFonts w:eastAsia="Times New Roman"/>
          <w:sz w:val="18"/>
          <w:szCs w:val="18"/>
        </w:rPr>
        <w:t xml:space="preserve">’ </w:t>
      </w:r>
      <w:proofErr w:type="spellStart"/>
      <w:r w:rsidRPr="00F529AD">
        <w:rPr>
          <w:rFonts w:eastAsia="Times New Roman"/>
          <w:sz w:val="18"/>
          <w:szCs w:val="18"/>
        </w:rPr>
        <w:t>οὗ</w:t>
      </w:r>
      <w:proofErr w:type="spellEnd"/>
      <w:r w:rsidRPr="00F529AD">
        <w:rPr>
          <w:rFonts w:eastAsia="Times New Roman"/>
          <w:sz w:val="18"/>
          <w:szCs w:val="18"/>
        </w:rPr>
        <w:t xml:space="preserve"> </w:t>
      </w:r>
      <w:proofErr w:type="spellStart"/>
      <w:r w:rsidRPr="00F529AD">
        <w:rPr>
          <w:rFonts w:eastAsia="Times New Roman"/>
          <w:sz w:val="18"/>
          <w:szCs w:val="18"/>
        </w:rPr>
        <w:t>πολλοὺς</w:t>
      </w:r>
      <w:proofErr w:type="spellEnd"/>
      <w:r w:rsidRPr="00F529AD">
        <w:rPr>
          <w:rFonts w:eastAsia="Times New Roman"/>
          <w:sz w:val="18"/>
          <w:szCs w:val="18"/>
        </w:rPr>
        <w:t xml:space="preserve"> </w:t>
      </w:r>
      <w:proofErr w:type="spellStart"/>
      <w:r w:rsidRPr="00F529AD">
        <w:rPr>
          <w:rFonts w:eastAsia="Times New Roman"/>
          <w:sz w:val="18"/>
          <w:szCs w:val="18"/>
        </w:rPr>
        <w:t>πάνυ</w:t>
      </w:r>
      <w:proofErr w:type="spellEnd"/>
      <w:r w:rsidRPr="00F529AD">
        <w:rPr>
          <w:rFonts w:eastAsia="Times New Roman"/>
          <w:sz w:val="18"/>
          <w:szCs w:val="18"/>
        </w:rPr>
        <w:t xml:space="preserve"> </w:t>
      </w:r>
      <w:proofErr w:type="spellStart"/>
      <w:r w:rsidRPr="00F529AD">
        <w:rPr>
          <w:rFonts w:eastAsia="Times New Roman"/>
          <w:sz w:val="18"/>
          <w:szCs w:val="18"/>
        </w:rPr>
        <w:t>ἀπώλεσεν</w:t>
      </w:r>
      <w:proofErr w:type="spellEnd"/>
      <w:r w:rsidRPr="00F529AD">
        <w:rPr>
          <w:rFonts w:eastAsia="Times New Roman"/>
          <w:sz w:val="18"/>
          <w:szCs w:val="18"/>
        </w:rPr>
        <w:t xml:space="preserve">. </w:t>
      </w:r>
      <w:proofErr w:type="spellStart"/>
      <w:proofErr w:type="gramStart"/>
      <w:r w:rsidRPr="00F529AD">
        <w:rPr>
          <w:rFonts w:eastAsia="Times New Roman"/>
          <w:sz w:val="18"/>
          <w:szCs w:val="18"/>
        </w:rPr>
        <w:t>ὕστερον</w:t>
      </w:r>
      <w:proofErr w:type="spellEnd"/>
      <w:proofErr w:type="gramEnd"/>
      <w:r w:rsidRPr="00F529AD">
        <w:rPr>
          <w:rFonts w:eastAsia="Times New Roman"/>
          <w:sz w:val="18"/>
          <w:szCs w:val="18"/>
        </w:rPr>
        <w:t xml:space="preserve"> </w:t>
      </w:r>
      <w:proofErr w:type="spellStart"/>
      <w:r w:rsidRPr="00F529AD">
        <w:rPr>
          <w:rFonts w:eastAsia="Times New Roman"/>
          <w:sz w:val="18"/>
          <w:szCs w:val="18"/>
        </w:rPr>
        <w:t>δὲ</w:t>
      </w:r>
      <w:proofErr w:type="spellEnd"/>
      <w:r w:rsidRPr="00F529AD">
        <w:rPr>
          <w:rFonts w:eastAsia="Times New Roman"/>
          <w:sz w:val="18"/>
          <w:szCs w:val="18"/>
        </w:rPr>
        <w:t xml:space="preserve"> </w:t>
      </w:r>
      <w:proofErr w:type="spellStart"/>
      <w:r w:rsidRPr="00F529AD">
        <w:rPr>
          <w:rFonts w:eastAsia="Times New Roman"/>
          <w:sz w:val="18"/>
          <w:szCs w:val="18"/>
        </w:rPr>
        <w:t>πάλιν</w:t>
      </w:r>
      <w:proofErr w:type="spellEnd"/>
      <w:r w:rsidRPr="00F529AD">
        <w:rPr>
          <w:rFonts w:eastAsia="Times New Roman"/>
          <w:sz w:val="18"/>
          <w:szCs w:val="18"/>
        </w:rPr>
        <w:t xml:space="preserve"> </w:t>
      </w:r>
      <w:proofErr w:type="spellStart"/>
      <w:r w:rsidRPr="00F529AD">
        <w:rPr>
          <w:rFonts w:eastAsia="Times New Roman"/>
          <w:sz w:val="18"/>
          <w:szCs w:val="18"/>
        </w:rPr>
        <w:t>συμβούλῳ</w:t>
      </w:r>
      <w:proofErr w:type="spellEnd"/>
      <w:r w:rsidRPr="00F529AD">
        <w:rPr>
          <w:rFonts w:eastAsia="Times New Roman"/>
          <w:sz w:val="18"/>
          <w:szCs w:val="18"/>
        </w:rPr>
        <w:t xml:space="preserve"> </w:t>
      </w:r>
      <w:proofErr w:type="spellStart"/>
      <w:r w:rsidRPr="00F529AD">
        <w:rPr>
          <w:rFonts w:eastAsia="Times New Roman"/>
          <w:sz w:val="18"/>
          <w:szCs w:val="18"/>
        </w:rPr>
        <w:t>τῷ</w:t>
      </w:r>
      <w:proofErr w:type="spellEnd"/>
      <w:r w:rsidRPr="00F529AD">
        <w:rPr>
          <w:rFonts w:eastAsia="Times New Roman"/>
          <w:sz w:val="18"/>
          <w:szCs w:val="18"/>
        </w:rPr>
        <w:t xml:space="preserve"> </w:t>
      </w:r>
      <w:proofErr w:type="spellStart"/>
      <w:r w:rsidRPr="00F529AD">
        <w:rPr>
          <w:rFonts w:eastAsia="Times New Roman"/>
          <w:sz w:val="18"/>
          <w:szCs w:val="18"/>
        </w:rPr>
        <w:t>Μώμῳ</w:t>
      </w:r>
      <w:proofErr w:type="spellEnd"/>
      <w:r w:rsidRPr="00F529AD">
        <w:rPr>
          <w:rFonts w:eastAsia="Times New Roman"/>
          <w:sz w:val="18"/>
          <w:szCs w:val="18"/>
        </w:rPr>
        <w:t xml:space="preserve"> </w:t>
      </w:r>
      <w:proofErr w:type="spellStart"/>
      <w:r w:rsidRPr="00F529AD">
        <w:rPr>
          <w:rFonts w:eastAsia="Times New Roman"/>
          <w:sz w:val="18"/>
          <w:szCs w:val="18"/>
        </w:rPr>
        <w:t>ἐχρήσατο</w:t>
      </w:r>
      <w:proofErr w:type="spellEnd"/>
      <w:r w:rsidRPr="00F529AD">
        <w:rPr>
          <w:rFonts w:eastAsia="Times New Roman"/>
          <w:sz w:val="18"/>
          <w:szCs w:val="18"/>
        </w:rPr>
        <w:t xml:space="preserve">. </w:t>
      </w:r>
      <w:proofErr w:type="spellStart"/>
      <w:proofErr w:type="gramStart"/>
      <w:r w:rsidRPr="00F529AD">
        <w:rPr>
          <w:rFonts w:eastAsia="Times New Roman"/>
          <w:sz w:val="18"/>
          <w:szCs w:val="18"/>
        </w:rPr>
        <w:t>ἣν</w:t>
      </w:r>
      <w:proofErr w:type="spellEnd"/>
      <w:proofErr w:type="gramEnd"/>
      <w:r w:rsidRPr="00F529AD">
        <w:rPr>
          <w:rFonts w:eastAsia="Times New Roman"/>
          <w:sz w:val="18"/>
          <w:szCs w:val="18"/>
        </w:rPr>
        <w:t xml:space="preserve"> </w:t>
      </w:r>
      <w:proofErr w:type="spellStart"/>
      <w:r w:rsidRPr="00F529AD">
        <w:rPr>
          <w:rFonts w:eastAsia="Times New Roman"/>
          <w:sz w:val="18"/>
          <w:szCs w:val="18"/>
        </w:rPr>
        <w:t>Διὸς</w:t>
      </w:r>
      <w:proofErr w:type="spellEnd"/>
      <w:r w:rsidRPr="00F529AD">
        <w:rPr>
          <w:rFonts w:eastAsia="Times New Roman"/>
          <w:sz w:val="18"/>
          <w:szCs w:val="18"/>
        </w:rPr>
        <w:t xml:space="preserve"> </w:t>
      </w:r>
      <w:proofErr w:type="spellStart"/>
      <w:r w:rsidRPr="00F529AD">
        <w:rPr>
          <w:rFonts w:eastAsia="Times New Roman"/>
          <w:sz w:val="18"/>
          <w:szCs w:val="18"/>
        </w:rPr>
        <w:t>βουλὴν</w:t>
      </w:r>
      <w:proofErr w:type="spellEnd"/>
      <w:r w:rsidRPr="00F529AD">
        <w:rPr>
          <w:rFonts w:eastAsia="Times New Roman"/>
          <w:sz w:val="18"/>
          <w:szCs w:val="18"/>
        </w:rPr>
        <w:t xml:space="preserve"> </w:t>
      </w:r>
      <w:proofErr w:type="spellStart"/>
      <w:r w:rsidRPr="00F529AD">
        <w:rPr>
          <w:rFonts w:eastAsia="Times New Roman"/>
          <w:sz w:val="18"/>
          <w:szCs w:val="18"/>
        </w:rPr>
        <w:t>Ὅμηρός</w:t>
      </w:r>
      <w:proofErr w:type="spellEnd"/>
      <w:r w:rsidRPr="00F529AD">
        <w:rPr>
          <w:rFonts w:eastAsia="Times New Roman"/>
          <w:sz w:val="18"/>
          <w:szCs w:val="18"/>
        </w:rPr>
        <w:t xml:space="preserve"> </w:t>
      </w:r>
      <w:proofErr w:type="spellStart"/>
      <w:r w:rsidRPr="00F529AD">
        <w:rPr>
          <w:rFonts w:eastAsia="Times New Roman"/>
          <w:sz w:val="18"/>
          <w:szCs w:val="18"/>
        </w:rPr>
        <w:t>φησιν</w:t>
      </w:r>
      <w:proofErr w:type="spellEnd"/>
      <w:r w:rsidRPr="00F529AD">
        <w:rPr>
          <w:rFonts w:eastAsia="Times New Roman"/>
          <w:sz w:val="18"/>
          <w:szCs w:val="18"/>
        </w:rPr>
        <w:t xml:space="preserve">. </w:t>
      </w:r>
      <w:proofErr w:type="spellStart"/>
      <w:r w:rsidRPr="00F529AD">
        <w:rPr>
          <w:rFonts w:eastAsia="Times New Roman"/>
          <w:sz w:val="18"/>
          <w:szCs w:val="18"/>
        </w:rPr>
        <w:t>ἐπειδὴ</w:t>
      </w:r>
      <w:proofErr w:type="spellEnd"/>
      <w:r w:rsidRPr="00F529AD">
        <w:rPr>
          <w:rFonts w:eastAsia="Times New Roman"/>
          <w:sz w:val="18"/>
          <w:szCs w:val="18"/>
        </w:rPr>
        <w:t xml:space="preserve"> </w:t>
      </w:r>
      <w:proofErr w:type="spellStart"/>
      <w:r w:rsidRPr="00F529AD">
        <w:rPr>
          <w:rFonts w:eastAsia="Times New Roman"/>
          <w:sz w:val="18"/>
          <w:szCs w:val="18"/>
        </w:rPr>
        <w:t>οἷός</w:t>
      </w:r>
      <w:proofErr w:type="spellEnd"/>
      <w:r w:rsidRPr="00F529AD">
        <w:rPr>
          <w:rFonts w:eastAsia="Times New Roman"/>
          <w:sz w:val="18"/>
          <w:szCs w:val="18"/>
        </w:rPr>
        <w:t xml:space="preserve"> </w:t>
      </w:r>
      <w:proofErr w:type="spellStart"/>
      <w:r w:rsidRPr="00F529AD">
        <w:rPr>
          <w:rFonts w:eastAsia="Times New Roman"/>
          <w:sz w:val="18"/>
          <w:szCs w:val="18"/>
        </w:rPr>
        <w:t>τε</w:t>
      </w:r>
      <w:proofErr w:type="spellEnd"/>
      <w:r w:rsidRPr="00F529AD">
        <w:rPr>
          <w:rFonts w:eastAsia="Times New Roman"/>
          <w:sz w:val="18"/>
          <w:szCs w:val="18"/>
        </w:rPr>
        <w:t xml:space="preserve"> </w:t>
      </w:r>
      <w:proofErr w:type="spellStart"/>
      <w:r w:rsidRPr="00F529AD">
        <w:rPr>
          <w:rFonts w:eastAsia="Times New Roman"/>
          <w:sz w:val="18"/>
          <w:szCs w:val="18"/>
        </w:rPr>
        <w:t>ἦν</w:t>
      </w:r>
      <w:proofErr w:type="spellEnd"/>
      <w:r w:rsidRPr="00F529AD">
        <w:rPr>
          <w:rFonts w:eastAsia="Times New Roman"/>
          <w:sz w:val="18"/>
          <w:szCs w:val="18"/>
        </w:rPr>
        <w:t xml:space="preserve"> </w:t>
      </w:r>
      <w:proofErr w:type="spellStart"/>
      <w:r w:rsidRPr="00F529AD">
        <w:rPr>
          <w:rFonts w:eastAsia="Times New Roman"/>
          <w:sz w:val="18"/>
          <w:szCs w:val="18"/>
        </w:rPr>
        <w:t>κεραυνοῖς</w:t>
      </w:r>
      <w:proofErr w:type="spellEnd"/>
      <w:r w:rsidRPr="00F529AD">
        <w:rPr>
          <w:rFonts w:eastAsia="Times New Roman"/>
          <w:sz w:val="18"/>
          <w:szCs w:val="18"/>
        </w:rPr>
        <w:t xml:space="preserve"> ἢ </w:t>
      </w:r>
      <w:proofErr w:type="spellStart"/>
      <w:r w:rsidRPr="00F529AD">
        <w:rPr>
          <w:rFonts w:eastAsia="Times New Roman"/>
          <w:sz w:val="18"/>
          <w:szCs w:val="18"/>
        </w:rPr>
        <w:t>κατακλυσμοῖς</w:t>
      </w:r>
      <w:proofErr w:type="spellEnd"/>
      <w:r w:rsidRPr="00F529AD">
        <w:rPr>
          <w:rFonts w:eastAsia="Times New Roman"/>
          <w:sz w:val="18"/>
          <w:szCs w:val="18"/>
        </w:rPr>
        <w:t xml:space="preserve"> </w:t>
      </w:r>
      <w:proofErr w:type="spellStart"/>
      <w:r w:rsidRPr="00F529AD">
        <w:rPr>
          <w:rFonts w:eastAsia="Times New Roman"/>
          <w:sz w:val="18"/>
          <w:szCs w:val="18"/>
        </w:rPr>
        <w:t>πάντας</w:t>
      </w:r>
      <w:proofErr w:type="spellEnd"/>
      <w:r w:rsidRPr="00F529AD">
        <w:rPr>
          <w:rFonts w:eastAsia="Times New Roman"/>
          <w:sz w:val="18"/>
          <w:szCs w:val="18"/>
        </w:rPr>
        <w:t xml:space="preserve"> </w:t>
      </w:r>
      <w:proofErr w:type="spellStart"/>
      <w:r w:rsidRPr="00F529AD">
        <w:rPr>
          <w:rFonts w:eastAsia="Times New Roman"/>
          <w:sz w:val="18"/>
          <w:szCs w:val="18"/>
        </w:rPr>
        <w:t>διαφθεῖραι</w:t>
      </w:r>
      <w:proofErr w:type="spellEnd"/>
      <w:r w:rsidRPr="00F529AD">
        <w:rPr>
          <w:rFonts w:eastAsia="Times New Roman"/>
          <w:sz w:val="18"/>
          <w:szCs w:val="18"/>
        </w:rPr>
        <w:t xml:space="preserve">, </w:t>
      </w:r>
      <w:proofErr w:type="spellStart"/>
      <w:r w:rsidRPr="00F529AD">
        <w:rPr>
          <w:rFonts w:eastAsia="Times New Roman"/>
          <w:sz w:val="18"/>
          <w:szCs w:val="18"/>
        </w:rPr>
        <w:t>τοῦτο</w:t>
      </w:r>
      <w:proofErr w:type="spellEnd"/>
      <w:r w:rsidRPr="00F529AD">
        <w:rPr>
          <w:rFonts w:eastAsia="Times New Roman"/>
          <w:sz w:val="18"/>
          <w:szCs w:val="18"/>
        </w:rPr>
        <w:t xml:space="preserve"> </w:t>
      </w:r>
      <w:proofErr w:type="spellStart"/>
      <w:r w:rsidRPr="00F529AD">
        <w:rPr>
          <w:rFonts w:eastAsia="Times New Roman"/>
          <w:sz w:val="18"/>
          <w:szCs w:val="18"/>
        </w:rPr>
        <w:t>τοῦ</w:t>
      </w:r>
      <w:proofErr w:type="spellEnd"/>
      <w:r w:rsidRPr="00F529AD">
        <w:rPr>
          <w:rFonts w:eastAsia="Times New Roman"/>
          <w:sz w:val="18"/>
          <w:szCs w:val="18"/>
        </w:rPr>
        <w:t xml:space="preserve"> </w:t>
      </w:r>
      <w:proofErr w:type="spellStart"/>
      <w:r w:rsidRPr="00F529AD">
        <w:rPr>
          <w:rFonts w:eastAsia="Times New Roman"/>
          <w:sz w:val="18"/>
          <w:szCs w:val="18"/>
        </w:rPr>
        <w:t>Μώμου</w:t>
      </w:r>
      <w:proofErr w:type="spellEnd"/>
      <w:r w:rsidRPr="00F529AD">
        <w:rPr>
          <w:rFonts w:eastAsia="Times New Roman"/>
          <w:sz w:val="18"/>
          <w:szCs w:val="18"/>
        </w:rPr>
        <w:t xml:space="preserve"> </w:t>
      </w:r>
      <w:proofErr w:type="spellStart"/>
      <w:r w:rsidRPr="00F529AD">
        <w:rPr>
          <w:rFonts w:eastAsia="Times New Roman"/>
          <w:sz w:val="18"/>
          <w:szCs w:val="18"/>
        </w:rPr>
        <w:t>κωλύσαντος</w:t>
      </w:r>
      <w:proofErr w:type="spellEnd"/>
      <w:r w:rsidRPr="00F529AD">
        <w:rPr>
          <w:rFonts w:eastAsia="Times New Roman"/>
          <w:sz w:val="18"/>
          <w:szCs w:val="18"/>
        </w:rPr>
        <w:t xml:space="preserve">, </w:t>
      </w:r>
      <w:proofErr w:type="spellStart"/>
      <w:r w:rsidRPr="00F529AD">
        <w:rPr>
          <w:rFonts w:eastAsia="Times New Roman"/>
          <w:sz w:val="18"/>
          <w:szCs w:val="18"/>
        </w:rPr>
        <w:t>ὑποθεμένου</w:t>
      </w:r>
      <w:proofErr w:type="spellEnd"/>
      <w:r w:rsidRPr="00F529AD">
        <w:rPr>
          <w:rFonts w:eastAsia="Times New Roman"/>
          <w:sz w:val="18"/>
          <w:szCs w:val="18"/>
        </w:rPr>
        <w:t xml:space="preserve"> </w:t>
      </w:r>
      <w:proofErr w:type="spellStart"/>
      <w:r w:rsidRPr="00F529AD">
        <w:rPr>
          <w:rFonts w:eastAsia="Times New Roman"/>
          <w:sz w:val="18"/>
          <w:szCs w:val="18"/>
        </w:rPr>
        <w:t>δὲ</w:t>
      </w:r>
      <w:proofErr w:type="spellEnd"/>
      <w:r w:rsidRPr="00F529AD">
        <w:rPr>
          <w:rFonts w:eastAsia="Times New Roman"/>
          <w:sz w:val="18"/>
          <w:szCs w:val="18"/>
        </w:rPr>
        <w:t xml:space="preserve"> </w:t>
      </w:r>
      <w:proofErr w:type="spellStart"/>
      <w:r w:rsidRPr="00F529AD">
        <w:rPr>
          <w:rFonts w:eastAsia="Times New Roman"/>
          <w:sz w:val="18"/>
          <w:szCs w:val="18"/>
        </w:rPr>
        <w:t>αὐτῷ</w:t>
      </w:r>
      <w:proofErr w:type="spellEnd"/>
      <w:r w:rsidRPr="00F529AD">
        <w:rPr>
          <w:rFonts w:eastAsia="Times New Roman"/>
          <w:sz w:val="18"/>
          <w:szCs w:val="18"/>
        </w:rPr>
        <w:t xml:space="preserve"> </w:t>
      </w:r>
      <w:proofErr w:type="spellStart"/>
      <w:r w:rsidRPr="00F529AD">
        <w:rPr>
          <w:rFonts w:eastAsia="Times New Roman"/>
          <w:sz w:val="18"/>
          <w:szCs w:val="18"/>
        </w:rPr>
        <w:t>γνώμας</w:t>
      </w:r>
      <w:proofErr w:type="spellEnd"/>
      <w:r w:rsidRPr="00F529AD">
        <w:rPr>
          <w:rFonts w:eastAsia="Times New Roman"/>
          <w:sz w:val="18"/>
          <w:szCs w:val="18"/>
        </w:rPr>
        <w:t xml:space="preserve"> </w:t>
      </w:r>
      <w:proofErr w:type="spellStart"/>
      <w:r w:rsidRPr="00F529AD">
        <w:rPr>
          <w:rFonts w:eastAsia="Times New Roman"/>
          <w:sz w:val="18"/>
          <w:szCs w:val="18"/>
        </w:rPr>
        <w:t>δύο</w:t>
      </w:r>
      <w:proofErr w:type="spellEnd"/>
      <w:r w:rsidRPr="00F529AD">
        <w:rPr>
          <w:rFonts w:eastAsia="Times New Roman"/>
          <w:sz w:val="18"/>
          <w:szCs w:val="18"/>
        </w:rPr>
        <w:t xml:space="preserve">, </w:t>
      </w:r>
      <w:proofErr w:type="spellStart"/>
      <w:r w:rsidRPr="00F529AD">
        <w:rPr>
          <w:rFonts w:eastAsia="Times New Roman"/>
          <w:sz w:val="18"/>
          <w:szCs w:val="18"/>
        </w:rPr>
        <w:t>τὴν</w:t>
      </w:r>
      <w:proofErr w:type="spellEnd"/>
      <w:r w:rsidRPr="00F529AD">
        <w:rPr>
          <w:rFonts w:eastAsia="Times New Roman"/>
          <w:sz w:val="18"/>
          <w:szCs w:val="18"/>
        </w:rPr>
        <w:t xml:space="preserve"> </w:t>
      </w:r>
      <w:proofErr w:type="spellStart"/>
      <w:r w:rsidRPr="00F529AD">
        <w:rPr>
          <w:rFonts w:eastAsia="Times New Roman"/>
          <w:sz w:val="18"/>
          <w:szCs w:val="18"/>
        </w:rPr>
        <w:t>Θέτιδος</w:t>
      </w:r>
      <w:proofErr w:type="spellEnd"/>
      <w:r w:rsidRPr="00F529AD">
        <w:rPr>
          <w:rFonts w:eastAsia="Times New Roman"/>
          <w:sz w:val="18"/>
          <w:szCs w:val="18"/>
        </w:rPr>
        <w:t xml:space="preserve"> </w:t>
      </w:r>
      <w:proofErr w:type="spellStart"/>
      <w:r w:rsidRPr="00F529AD">
        <w:rPr>
          <w:rFonts w:eastAsia="Times New Roman"/>
          <w:sz w:val="18"/>
          <w:szCs w:val="18"/>
        </w:rPr>
        <w:t>θνητογαμίαν</w:t>
      </w:r>
      <w:proofErr w:type="spellEnd"/>
      <w:r w:rsidRPr="00F529AD">
        <w:rPr>
          <w:rFonts w:eastAsia="Times New Roman"/>
          <w:sz w:val="18"/>
          <w:szCs w:val="18"/>
        </w:rPr>
        <w:t xml:space="preserve">, </w:t>
      </w:r>
      <w:proofErr w:type="spellStart"/>
      <w:r w:rsidRPr="00F529AD">
        <w:rPr>
          <w:rFonts w:eastAsia="Times New Roman"/>
          <w:sz w:val="18"/>
          <w:szCs w:val="18"/>
        </w:rPr>
        <w:t>καὶ</w:t>
      </w:r>
      <w:proofErr w:type="spellEnd"/>
      <w:r w:rsidRPr="00F529AD">
        <w:rPr>
          <w:rFonts w:eastAsia="Times New Roman"/>
          <w:sz w:val="18"/>
          <w:szCs w:val="18"/>
        </w:rPr>
        <w:t xml:space="preserve"> </w:t>
      </w:r>
      <w:proofErr w:type="spellStart"/>
      <w:r w:rsidRPr="00F529AD">
        <w:rPr>
          <w:rFonts w:eastAsia="Times New Roman"/>
          <w:sz w:val="18"/>
          <w:szCs w:val="18"/>
        </w:rPr>
        <w:t>θυγατρὸς</w:t>
      </w:r>
      <w:proofErr w:type="spellEnd"/>
      <w:r w:rsidRPr="00F529AD">
        <w:rPr>
          <w:rFonts w:eastAsia="Times New Roman"/>
          <w:sz w:val="18"/>
          <w:szCs w:val="18"/>
        </w:rPr>
        <w:t xml:space="preserve"> </w:t>
      </w:r>
      <w:proofErr w:type="spellStart"/>
      <w:r w:rsidRPr="00F529AD">
        <w:rPr>
          <w:rFonts w:eastAsia="Times New Roman"/>
          <w:sz w:val="18"/>
          <w:szCs w:val="18"/>
        </w:rPr>
        <w:t>καλὴν</w:t>
      </w:r>
      <w:proofErr w:type="spellEnd"/>
      <w:r w:rsidRPr="00F529AD">
        <w:rPr>
          <w:rFonts w:eastAsia="Times New Roman"/>
          <w:sz w:val="18"/>
          <w:szCs w:val="18"/>
        </w:rPr>
        <w:t xml:space="preserve"> </w:t>
      </w:r>
      <w:proofErr w:type="spellStart"/>
      <w:r w:rsidRPr="00F529AD">
        <w:rPr>
          <w:rFonts w:eastAsia="Times New Roman"/>
          <w:sz w:val="18"/>
          <w:szCs w:val="18"/>
        </w:rPr>
        <w:t>γένναν</w:t>
      </w:r>
      <w:proofErr w:type="spellEnd"/>
      <w:r w:rsidRPr="00F529AD">
        <w:rPr>
          <w:rFonts w:eastAsia="Times New Roman"/>
          <w:sz w:val="18"/>
          <w:szCs w:val="18"/>
        </w:rPr>
        <w:t xml:space="preserve">, </w:t>
      </w:r>
      <w:proofErr w:type="spellStart"/>
      <w:r w:rsidRPr="00F529AD">
        <w:rPr>
          <w:rFonts w:eastAsia="Times New Roman"/>
          <w:sz w:val="18"/>
          <w:szCs w:val="18"/>
        </w:rPr>
        <w:t>ἐξ</w:t>
      </w:r>
      <w:proofErr w:type="spellEnd"/>
      <w:r w:rsidRPr="00F529AD">
        <w:rPr>
          <w:rFonts w:eastAsia="Times New Roman"/>
          <w:sz w:val="18"/>
          <w:szCs w:val="18"/>
        </w:rPr>
        <w:t xml:space="preserve"> </w:t>
      </w:r>
      <w:proofErr w:type="spellStart"/>
      <w:r w:rsidRPr="00F529AD">
        <w:rPr>
          <w:rFonts w:eastAsia="Times New Roman"/>
          <w:sz w:val="18"/>
          <w:szCs w:val="18"/>
        </w:rPr>
        <w:t>ὧν</w:t>
      </w:r>
      <w:proofErr w:type="spellEnd"/>
      <w:r w:rsidRPr="00F529AD">
        <w:rPr>
          <w:rFonts w:eastAsia="Times New Roman"/>
          <w:sz w:val="18"/>
          <w:szCs w:val="18"/>
        </w:rPr>
        <w:t xml:space="preserve"> </w:t>
      </w:r>
      <w:proofErr w:type="spellStart"/>
      <w:r w:rsidRPr="00F529AD">
        <w:rPr>
          <w:rFonts w:eastAsia="Times New Roman"/>
          <w:sz w:val="18"/>
          <w:szCs w:val="18"/>
        </w:rPr>
        <w:t>ἀμφοτέρων</w:t>
      </w:r>
      <w:proofErr w:type="spellEnd"/>
      <w:r w:rsidRPr="00F529AD">
        <w:rPr>
          <w:rFonts w:eastAsia="Times New Roman"/>
          <w:sz w:val="18"/>
          <w:szCs w:val="18"/>
        </w:rPr>
        <w:t xml:space="preserve"> </w:t>
      </w:r>
      <w:proofErr w:type="spellStart"/>
      <w:r w:rsidRPr="00F529AD">
        <w:rPr>
          <w:rFonts w:eastAsia="Times New Roman"/>
          <w:sz w:val="18"/>
          <w:szCs w:val="18"/>
        </w:rPr>
        <w:t>πόλεμος</w:t>
      </w:r>
      <w:proofErr w:type="spellEnd"/>
      <w:r w:rsidRPr="00F529AD">
        <w:rPr>
          <w:rFonts w:eastAsia="Times New Roman"/>
          <w:sz w:val="18"/>
          <w:szCs w:val="18"/>
        </w:rPr>
        <w:t xml:space="preserve"> </w:t>
      </w:r>
      <w:proofErr w:type="spellStart"/>
      <w:r w:rsidRPr="00F529AD">
        <w:rPr>
          <w:rFonts w:eastAsia="Times New Roman"/>
          <w:sz w:val="18"/>
          <w:szCs w:val="18"/>
        </w:rPr>
        <w:t>Ἕλλησί</w:t>
      </w:r>
      <w:proofErr w:type="spellEnd"/>
      <w:r w:rsidRPr="00F529AD">
        <w:rPr>
          <w:rFonts w:eastAsia="Times New Roman"/>
          <w:sz w:val="18"/>
          <w:szCs w:val="18"/>
        </w:rPr>
        <w:t xml:space="preserve"> </w:t>
      </w:r>
      <w:proofErr w:type="spellStart"/>
      <w:r w:rsidRPr="00F529AD">
        <w:rPr>
          <w:rFonts w:eastAsia="Times New Roman"/>
          <w:sz w:val="18"/>
          <w:szCs w:val="18"/>
        </w:rPr>
        <w:t>τε</w:t>
      </w:r>
      <w:proofErr w:type="spellEnd"/>
      <w:r w:rsidRPr="00F529AD">
        <w:rPr>
          <w:rFonts w:eastAsia="Times New Roman"/>
          <w:sz w:val="18"/>
          <w:szCs w:val="18"/>
        </w:rPr>
        <w:t xml:space="preserve"> </w:t>
      </w:r>
      <w:proofErr w:type="spellStart"/>
      <w:r w:rsidRPr="00F529AD">
        <w:rPr>
          <w:rFonts w:eastAsia="Times New Roman"/>
          <w:sz w:val="18"/>
          <w:szCs w:val="18"/>
        </w:rPr>
        <w:t>καὶ</w:t>
      </w:r>
      <w:proofErr w:type="spellEnd"/>
      <w:r w:rsidRPr="00F529AD">
        <w:rPr>
          <w:rFonts w:eastAsia="Times New Roman"/>
          <w:sz w:val="18"/>
          <w:szCs w:val="18"/>
        </w:rPr>
        <w:t xml:space="preserve"> </w:t>
      </w:r>
      <w:proofErr w:type="spellStart"/>
      <w:r w:rsidRPr="00F529AD">
        <w:rPr>
          <w:rFonts w:eastAsia="Times New Roman"/>
          <w:sz w:val="18"/>
          <w:szCs w:val="18"/>
        </w:rPr>
        <w:t>Βαρβάροις</w:t>
      </w:r>
      <w:proofErr w:type="spellEnd"/>
      <w:r w:rsidRPr="00F529AD">
        <w:rPr>
          <w:rFonts w:eastAsia="Times New Roman"/>
          <w:sz w:val="18"/>
          <w:szCs w:val="18"/>
        </w:rPr>
        <w:t xml:space="preserve"> </w:t>
      </w:r>
      <w:proofErr w:type="spellStart"/>
      <w:r w:rsidRPr="00F529AD">
        <w:rPr>
          <w:rFonts w:eastAsia="Times New Roman"/>
          <w:sz w:val="18"/>
          <w:szCs w:val="18"/>
        </w:rPr>
        <w:t>ἐγένετο</w:t>
      </w:r>
      <w:proofErr w:type="spellEnd"/>
      <w:r w:rsidRPr="00F529AD">
        <w:rPr>
          <w:rFonts w:eastAsia="Times New Roman"/>
          <w:sz w:val="18"/>
          <w:szCs w:val="18"/>
        </w:rPr>
        <w:t xml:space="preserve">, </w:t>
      </w:r>
      <w:proofErr w:type="spellStart"/>
      <w:r w:rsidRPr="00F529AD">
        <w:rPr>
          <w:rFonts w:eastAsia="Times New Roman"/>
          <w:sz w:val="18"/>
          <w:szCs w:val="18"/>
        </w:rPr>
        <w:t>οὕτω</w:t>
      </w:r>
      <w:proofErr w:type="spellEnd"/>
      <w:r w:rsidRPr="00F529AD">
        <w:rPr>
          <w:rFonts w:eastAsia="Times New Roman"/>
          <w:sz w:val="18"/>
          <w:szCs w:val="18"/>
        </w:rPr>
        <w:t xml:space="preserve"> </w:t>
      </w:r>
      <w:proofErr w:type="spellStart"/>
      <w:r w:rsidRPr="00F529AD">
        <w:rPr>
          <w:rFonts w:eastAsia="Times New Roman"/>
          <w:sz w:val="18"/>
          <w:szCs w:val="18"/>
        </w:rPr>
        <w:t>συμβῆναι</w:t>
      </w:r>
      <w:proofErr w:type="spellEnd"/>
      <w:r w:rsidRPr="00F529AD">
        <w:rPr>
          <w:rFonts w:eastAsia="Times New Roman"/>
          <w:sz w:val="18"/>
          <w:szCs w:val="18"/>
        </w:rPr>
        <w:t xml:space="preserve"> </w:t>
      </w:r>
      <w:proofErr w:type="spellStart"/>
      <w:r w:rsidRPr="00F529AD">
        <w:rPr>
          <w:rFonts w:eastAsia="Times New Roman"/>
          <w:sz w:val="18"/>
          <w:szCs w:val="18"/>
        </w:rPr>
        <w:t>κουφισθῆναι</w:t>
      </w:r>
      <w:proofErr w:type="spellEnd"/>
      <w:r w:rsidRPr="00F529AD">
        <w:rPr>
          <w:rFonts w:eastAsia="Times New Roman"/>
          <w:sz w:val="18"/>
          <w:szCs w:val="18"/>
        </w:rPr>
        <w:t xml:space="preserve"> </w:t>
      </w:r>
      <w:proofErr w:type="spellStart"/>
      <w:r w:rsidRPr="00F529AD">
        <w:rPr>
          <w:rFonts w:eastAsia="Times New Roman"/>
          <w:sz w:val="18"/>
          <w:szCs w:val="18"/>
        </w:rPr>
        <w:t>τὴν</w:t>
      </w:r>
      <w:proofErr w:type="spellEnd"/>
      <w:r w:rsidRPr="00F529AD">
        <w:rPr>
          <w:rFonts w:eastAsia="Times New Roman"/>
          <w:sz w:val="18"/>
          <w:szCs w:val="18"/>
        </w:rPr>
        <w:t xml:space="preserve"> </w:t>
      </w:r>
      <w:proofErr w:type="spellStart"/>
      <w:r w:rsidRPr="00F529AD">
        <w:rPr>
          <w:rFonts w:eastAsia="Times New Roman"/>
          <w:sz w:val="18"/>
          <w:szCs w:val="18"/>
        </w:rPr>
        <w:t>γῆν</w:t>
      </w:r>
      <w:proofErr w:type="spellEnd"/>
      <w:r w:rsidRPr="00F529AD">
        <w:rPr>
          <w:rFonts w:eastAsia="Times New Roman"/>
          <w:sz w:val="18"/>
          <w:szCs w:val="18"/>
        </w:rPr>
        <w:t xml:space="preserve">, </w:t>
      </w:r>
      <w:proofErr w:type="spellStart"/>
      <w:r w:rsidRPr="00F529AD">
        <w:rPr>
          <w:rFonts w:eastAsia="Times New Roman"/>
          <w:sz w:val="18"/>
          <w:szCs w:val="18"/>
        </w:rPr>
        <w:t>πολλῶν</w:t>
      </w:r>
      <w:proofErr w:type="spellEnd"/>
      <w:r w:rsidRPr="0099591B">
        <w:rPr>
          <w:rFonts w:eastAsia="Times New Roman"/>
        </w:rPr>
        <w:t xml:space="preserve"> </w:t>
      </w:r>
      <w:proofErr w:type="spellStart"/>
      <w:r w:rsidRPr="00F529AD">
        <w:rPr>
          <w:rFonts w:eastAsia="Times New Roman"/>
          <w:sz w:val="18"/>
          <w:szCs w:val="18"/>
        </w:rPr>
        <w:t>ἀναιρεθέντων</w:t>
      </w:r>
      <w:proofErr w:type="spellEnd"/>
      <w:r w:rsidRPr="00F529AD">
        <w:rPr>
          <w:rFonts w:eastAsia="Times New Roman"/>
          <w:sz w:val="18"/>
          <w:szCs w:val="18"/>
        </w:rPr>
        <w:t xml:space="preserve">. ἡ </w:t>
      </w:r>
      <w:proofErr w:type="spellStart"/>
      <w:r w:rsidRPr="00F529AD">
        <w:rPr>
          <w:rFonts w:eastAsia="Times New Roman"/>
          <w:sz w:val="18"/>
          <w:szCs w:val="18"/>
        </w:rPr>
        <w:t>δὲ</w:t>
      </w:r>
      <w:proofErr w:type="spellEnd"/>
      <w:r w:rsidRPr="00F529AD">
        <w:rPr>
          <w:rFonts w:eastAsia="Times New Roman"/>
          <w:sz w:val="18"/>
          <w:szCs w:val="18"/>
        </w:rPr>
        <w:t xml:space="preserve"> </w:t>
      </w:r>
      <w:proofErr w:type="spellStart"/>
      <w:r w:rsidRPr="00F529AD">
        <w:rPr>
          <w:rFonts w:eastAsia="Times New Roman"/>
          <w:sz w:val="18"/>
          <w:szCs w:val="18"/>
        </w:rPr>
        <w:t>ἱστορία</w:t>
      </w:r>
      <w:proofErr w:type="spellEnd"/>
      <w:r w:rsidRPr="00F529AD">
        <w:rPr>
          <w:rFonts w:eastAsia="Times New Roman"/>
          <w:sz w:val="18"/>
          <w:szCs w:val="18"/>
        </w:rPr>
        <w:t xml:space="preserve"> </w:t>
      </w:r>
      <w:proofErr w:type="spellStart"/>
      <w:r w:rsidRPr="00F529AD">
        <w:rPr>
          <w:rFonts w:eastAsia="Times New Roman"/>
          <w:sz w:val="18"/>
          <w:szCs w:val="18"/>
        </w:rPr>
        <w:t>παρὰ</w:t>
      </w:r>
      <w:proofErr w:type="spellEnd"/>
      <w:r w:rsidRPr="00F529AD">
        <w:rPr>
          <w:rFonts w:eastAsia="Times New Roman"/>
          <w:sz w:val="18"/>
          <w:szCs w:val="18"/>
        </w:rPr>
        <w:t xml:space="preserve"> </w:t>
      </w:r>
      <w:proofErr w:type="spellStart"/>
      <w:r w:rsidRPr="00F529AD">
        <w:rPr>
          <w:rFonts w:eastAsia="Times New Roman"/>
          <w:sz w:val="18"/>
          <w:szCs w:val="18"/>
        </w:rPr>
        <w:t>Στασίνῳ</w:t>
      </w:r>
      <w:proofErr w:type="spellEnd"/>
      <w:r w:rsidRPr="00F529AD">
        <w:rPr>
          <w:rFonts w:eastAsia="Times New Roman"/>
          <w:sz w:val="18"/>
          <w:szCs w:val="18"/>
        </w:rPr>
        <w:t xml:space="preserve"> </w:t>
      </w:r>
      <w:proofErr w:type="spellStart"/>
      <w:r w:rsidRPr="00F529AD">
        <w:rPr>
          <w:rFonts w:eastAsia="Times New Roman"/>
          <w:sz w:val="18"/>
          <w:szCs w:val="18"/>
        </w:rPr>
        <w:t>τῷ</w:t>
      </w:r>
      <w:proofErr w:type="spellEnd"/>
      <w:r w:rsidRPr="00F529AD">
        <w:rPr>
          <w:rFonts w:eastAsia="Times New Roman"/>
          <w:sz w:val="18"/>
          <w:szCs w:val="18"/>
        </w:rPr>
        <w:t xml:space="preserve"> </w:t>
      </w:r>
      <w:proofErr w:type="spellStart"/>
      <w:r w:rsidRPr="00F529AD">
        <w:rPr>
          <w:rFonts w:eastAsia="Times New Roman"/>
          <w:sz w:val="18"/>
          <w:szCs w:val="18"/>
        </w:rPr>
        <w:t>τὰ</w:t>
      </w:r>
      <w:proofErr w:type="spellEnd"/>
      <w:r w:rsidRPr="00F529AD">
        <w:rPr>
          <w:rFonts w:eastAsia="Times New Roman"/>
          <w:sz w:val="18"/>
          <w:szCs w:val="18"/>
        </w:rPr>
        <w:t xml:space="preserve"> </w:t>
      </w:r>
      <w:proofErr w:type="spellStart"/>
      <w:r w:rsidRPr="00F529AD">
        <w:rPr>
          <w:rFonts w:eastAsia="Times New Roman"/>
          <w:sz w:val="18"/>
          <w:szCs w:val="18"/>
        </w:rPr>
        <w:t>Κύπρια</w:t>
      </w:r>
      <w:proofErr w:type="spellEnd"/>
      <w:r w:rsidRPr="00F529AD">
        <w:rPr>
          <w:rFonts w:eastAsia="Times New Roman"/>
          <w:sz w:val="18"/>
          <w:szCs w:val="18"/>
        </w:rPr>
        <w:t xml:space="preserve"> </w:t>
      </w:r>
      <w:proofErr w:type="spellStart"/>
      <w:r w:rsidRPr="00F529AD">
        <w:rPr>
          <w:rFonts w:eastAsia="Times New Roman"/>
          <w:sz w:val="18"/>
          <w:szCs w:val="18"/>
        </w:rPr>
        <w:t>πεποιηκότι</w:t>
      </w:r>
      <w:proofErr w:type="spellEnd"/>
      <w:r w:rsidRPr="00F529AD">
        <w:rPr>
          <w:rFonts w:eastAsia="Times New Roman"/>
          <w:sz w:val="18"/>
          <w:szCs w:val="18"/>
        </w:rPr>
        <w:t xml:space="preserve">, </w:t>
      </w:r>
      <w:proofErr w:type="spellStart"/>
      <w:r w:rsidRPr="00F529AD">
        <w:rPr>
          <w:rFonts w:eastAsia="Times New Roman"/>
          <w:sz w:val="18"/>
          <w:szCs w:val="18"/>
        </w:rPr>
        <w:t>εἰπόντι</w:t>
      </w:r>
      <w:proofErr w:type="spellEnd"/>
      <w:r w:rsidRPr="00F529AD">
        <w:rPr>
          <w:rFonts w:eastAsia="Times New Roman"/>
          <w:sz w:val="18"/>
          <w:szCs w:val="18"/>
        </w:rPr>
        <w:t xml:space="preserve"> </w:t>
      </w:r>
      <w:proofErr w:type="spellStart"/>
      <w:r w:rsidRPr="00F529AD">
        <w:rPr>
          <w:rFonts w:eastAsia="Times New Roman"/>
          <w:sz w:val="18"/>
          <w:szCs w:val="18"/>
        </w:rPr>
        <w:t>οὕτως</w:t>
      </w:r>
      <w:proofErr w:type="spellEnd"/>
      <w:r w:rsidRPr="00F529AD">
        <w:rPr>
          <w:rFonts w:eastAsia="Times New Roman"/>
          <w:sz w:val="18"/>
          <w:szCs w:val="18"/>
        </w:rPr>
        <w:t>·</w:t>
      </w:r>
    </w:p>
  </w:footnote>
  <w:footnote w:id="34">
    <w:p w:rsidR="00295974" w:rsidRPr="00022A72" w:rsidRDefault="00295974" w:rsidP="00BC6A5E">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בורקרט 1992,</w:t>
      </w:r>
      <w:r>
        <w:rPr>
          <w:rFonts w:cs="David" w:hint="cs"/>
          <w:sz w:val="18"/>
          <w:rtl/>
        </w:rPr>
        <w:t xml:space="preserve"> עמ'</w:t>
      </w:r>
      <w:r w:rsidRPr="00022A72">
        <w:rPr>
          <w:rFonts w:cs="David" w:hint="cs"/>
          <w:sz w:val="18"/>
          <w:rtl/>
        </w:rPr>
        <w:t xml:space="preserve"> 103, הציע בצדק לקשור בין מומוס (</w:t>
      </w:r>
      <w:proofErr w:type="spellStart"/>
      <w:r w:rsidRPr="00022A72">
        <w:rPr>
          <w:rStyle w:val="minfolemma"/>
          <w:rFonts w:cs="David"/>
          <w:sz w:val="18"/>
        </w:rPr>
        <w:t>Μῶμος</w:t>
      </w:r>
      <w:proofErr w:type="spellEnd"/>
      <w:r w:rsidRPr="00022A72">
        <w:rPr>
          <w:rFonts w:cs="David" w:hint="cs"/>
          <w:sz w:val="18"/>
          <w:rtl/>
        </w:rPr>
        <w:t>)</w:t>
      </w:r>
      <w:r>
        <w:rPr>
          <w:rFonts w:cs="David" w:hint="cs"/>
          <w:sz w:val="18"/>
          <w:rtl/>
        </w:rPr>
        <w:t>,</w:t>
      </w:r>
      <w:r w:rsidRPr="00022A72">
        <w:rPr>
          <w:rFonts w:cs="David" w:hint="cs"/>
          <w:sz w:val="18"/>
          <w:rtl/>
        </w:rPr>
        <w:t xml:space="preserve"> שנזכר ב</w:t>
      </w:r>
      <w:r>
        <w:rPr>
          <w:rFonts w:cs="David" w:hint="cs"/>
          <w:sz w:val="18"/>
          <w:rtl/>
        </w:rPr>
        <w:t>'</w:t>
      </w:r>
      <w:r w:rsidRPr="00022A72">
        <w:rPr>
          <w:rFonts w:cs="David" w:hint="cs"/>
          <w:sz w:val="18"/>
          <w:rtl/>
        </w:rPr>
        <w:t>סכוליה</w:t>
      </w:r>
      <w:r>
        <w:rPr>
          <w:rFonts w:cs="David" w:hint="cs"/>
          <w:sz w:val="18"/>
          <w:rtl/>
        </w:rPr>
        <w:t>',</w:t>
      </w:r>
      <w:r w:rsidRPr="00022A72">
        <w:rPr>
          <w:rFonts w:cs="David" w:hint="cs"/>
          <w:sz w:val="18"/>
          <w:rtl/>
        </w:rPr>
        <w:t xml:space="preserve"> לבין מֻמֻ (</w:t>
      </w:r>
      <w:proofErr w:type="spellStart"/>
      <w:r w:rsidRPr="00022A72">
        <w:rPr>
          <w:rFonts w:cs="David"/>
          <w:sz w:val="18"/>
          <w:vertAlign w:val="superscript"/>
        </w:rPr>
        <w:t>d</w:t>
      </w:r>
      <w:r w:rsidRPr="00022A72">
        <w:rPr>
          <w:rFonts w:cs="David"/>
          <w:i/>
          <w:iCs/>
          <w:sz w:val="18"/>
        </w:rPr>
        <w:t>Mummu</w:t>
      </w:r>
      <w:proofErr w:type="spellEnd"/>
      <w:r w:rsidRPr="00022A72">
        <w:rPr>
          <w:rFonts w:cs="David" w:hint="cs"/>
          <w:sz w:val="18"/>
          <w:rtl/>
        </w:rPr>
        <w:t>)</w:t>
      </w:r>
      <w:r>
        <w:rPr>
          <w:rFonts w:cs="David" w:hint="cs"/>
          <w:sz w:val="18"/>
          <w:rtl/>
        </w:rPr>
        <w:t>,</w:t>
      </w:r>
      <w:r w:rsidRPr="00022A72">
        <w:rPr>
          <w:rFonts w:cs="David" w:hint="cs"/>
          <w:sz w:val="18"/>
          <w:rtl/>
        </w:rPr>
        <w:t xml:space="preserve"> הנזכר ב</w:t>
      </w:r>
      <w:r>
        <w:rPr>
          <w:rFonts w:cs="David" w:hint="cs"/>
          <w:sz w:val="18"/>
          <w:rtl/>
        </w:rPr>
        <w:t>'</w:t>
      </w:r>
      <w:r w:rsidRPr="00022A72">
        <w:rPr>
          <w:rFonts w:cs="David" w:hint="cs"/>
          <w:sz w:val="18"/>
          <w:rtl/>
        </w:rPr>
        <w:t>אנומה אליש</w:t>
      </w:r>
      <w:r>
        <w:rPr>
          <w:rFonts w:cs="David" w:hint="cs"/>
          <w:sz w:val="18"/>
          <w:rtl/>
        </w:rPr>
        <w:t>'</w:t>
      </w:r>
      <w:r w:rsidRPr="00022A72">
        <w:rPr>
          <w:rFonts w:cs="David" w:hint="cs"/>
          <w:sz w:val="18"/>
          <w:rtl/>
        </w:rPr>
        <w:t xml:space="preserve"> (א 47</w:t>
      </w:r>
      <w:r w:rsidRPr="00022A72">
        <w:rPr>
          <w:rFonts w:cs="David" w:hint="eastAsia"/>
          <w:sz w:val="18"/>
          <w:rtl/>
        </w:rPr>
        <w:t>–</w:t>
      </w:r>
      <w:r>
        <w:rPr>
          <w:rFonts w:cs="David" w:hint="cs"/>
          <w:sz w:val="18"/>
          <w:rtl/>
        </w:rPr>
        <w:t>50),</w:t>
      </w:r>
      <w:r w:rsidRPr="00022A72">
        <w:rPr>
          <w:rFonts w:cs="David" w:hint="cs"/>
          <w:sz w:val="18"/>
          <w:rtl/>
        </w:rPr>
        <w:t xml:space="preserve"> בקטע המושפע מ</w:t>
      </w:r>
      <w:r>
        <w:rPr>
          <w:rFonts w:cs="David" w:hint="cs"/>
          <w:sz w:val="18"/>
          <w:rtl/>
        </w:rPr>
        <w:t>'</w:t>
      </w:r>
      <w:r w:rsidRPr="00022A72">
        <w:rPr>
          <w:rFonts w:cs="David" w:hint="cs"/>
          <w:sz w:val="18"/>
          <w:rtl/>
        </w:rPr>
        <w:t>אתרח'סיס</w:t>
      </w:r>
      <w:r>
        <w:rPr>
          <w:rFonts w:cs="David" w:hint="cs"/>
          <w:sz w:val="18"/>
          <w:rtl/>
        </w:rPr>
        <w:t>'</w:t>
      </w:r>
      <w:r w:rsidRPr="00022A72">
        <w:rPr>
          <w:rFonts w:cs="David" w:hint="cs"/>
          <w:sz w:val="18"/>
          <w:rtl/>
        </w:rPr>
        <w:t>, כמי שיעץ לאַפְּסוּ להשמיד את האלים הזוטרים שהקימו שאון ביקום. על מֻמֻ בספרות המסופוטמית ראו קרברניק 1993,</w:t>
      </w:r>
      <w:r>
        <w:rPr>
          <w:rFonts w:cs="David" w:hint="cs"/>
          <w:sz w:val="18"/>
          <w:rtl/>
        </w:rPr>
        <w:t xml:space="preserve"> עמ'</w:t>
      </w:r>
      <w:r w:rsidRPr="00022A72">
        <w:rPr>
          <w:rFonts w:cs="David" w:hint="cs"/>
          <w:sz w:val="18"/>
          <w:rtl/>
        </w:rPr>
        <w:t xml:space="preserve"> 415</w:t>
      </w:r>
      <w:r w:rsidRPr="00022A72">
        <w:rPr>
          <w:rFonts w:cs="David" w:hint="eastAsia"/>
          <w:sz w:val="18"/>
          <w:rtl/>
        </w:rPr>
        <w:t>–</w:t>
      </w:r>
      <w:r w:rsidRPr="00022A72">
        <w:rPr>
          <w:rFonts w:cs="David" w:hint="cs"/>
          <w:sz w:val="18"/>
          <w:rtl/>
        </w:rPr>
        <w:t>416; טלון 2001,</w:t>
      </w:r>
      <w:r>
        <w:rPr>
          <w:rFonts w:cs="David" w:hint="cs"/>
          <w:sz w:val="18"/>
          <w:rtl/>
        </w:rPr>
        <w:t xml:space="preserve"> עמ'</w:t>
      </w:r>
      <w:r w:rsidRPr="00022A72">
        <w:rPr>
          <w:rFonts w:cs="David" w:hint="cs"/>
          <w:sz w:val="18"/>
          <w:rtl/>
        </w:rPr>
        <w:t xml:space="preserve"> 265</w:t>
      </w:r>
      <w:r w:rsidRPr="00022A72">
        <w:rPr>
          <w:rFonts w:cs="David" w:hint="eastAsia"/>
          <w:sz w:val="18"/>
          <w:rtl/>
        </w:rPr>
        <w:t>–</w:t>
      </w:r>
      <w:r w:rsidRPr="00022A72">
        <w:rPr>
          <w:rFonts w:cs="David" w:hint="cs"/>
          <w:sz w:val="18"/>
          <w:rtl/>
        </w:rPr>
        <w:t>277. טלון, שדן באזכורים של מֻמֻ אצל דמסקיוס, לא הזכיר את ה</w:t>
      </w:r>
      <w:r>
        <w:rPr>
          <w:rFonts w:cs="David" w:hint="cs"/>
          <w:sz w:val="18"/>
          <w:rtl/>
        </w:rPr>
        <w:t>'</w:t>
      </w:r>
      <w:r w:rsidRPr="00022A72">
        <w:rPr>
          <w:rFonts w:cs="David" w:hint="cs"/>
          <w:sz w:val="18"/>
          <w:rtl/>
        </w:rPr>
        <w:t>סכוליה</w:t>
      </w:r>
      <w:r>
        <w:rPr>
          <w:rFonts w:cs="David" w:hint="cs"/>
          <w:sz w:val="18"/>
          <w:rtl/>
        </w:rPr>
        <w:t>'</w:t>
      </w:r>
      <w:r w:rsidRPr="00022A72">
        <w:rPr>
          <w:rFonts w:cs="David" w:hint="cs"/>
          <w:sz w:val="18"/>
          <w:rtl/>
        </w:rPr>
        <w:t>.</w:t>
      </w:r>
    </w:p>
  </w:footnote>
  <w:footnote w:id="35">
    <w:p w:rsidR="00295974" w:rsidRPr="00022A72" w:rsidRDefault="00295974" w:rsidP="000A4696">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hint="cs"/>
          <w:sz w:val="18"/>
          <w:rtl/>
        </w:rPr>
        <w:t xml:space="preserve"> </w:t>
      </w:r>
      <w:r>
        <w:rPr>
          <w:rFonts w:cs="David"/>
          <w:sz w:val="18"/>
          <w:rtl/>
        </w:rPr>
        <w:tab/>
      </w:r>
      <w:r w:rsidRPr="00022A72">
        <w:rPr>
          <w:rFonts w:cs="David" w:hint="cs"/>
          <w:sz w:val="18"/>
          <w:rtl/>
        </w:rPr>
        <w:t>על סטסינוס ראו את ההערה של בורקרט 1992, עמ' 207 הערה 10</w:t>
      </w:r>
      <w:r>
        <w:rPr>
          <w:rFonts w:cs="David" w:hint="cs"/>
          <w:sz w:val="18"/>
          <w:rtl/>
        </w:rPr>
        <w:t>;</w:t>
      </w:r>
      <w:r w:rsidRPr="00022A72">
        <w:rPr>
          <w:rFonts w:cs="David" w:hint="cs"/>
          <w:sz w:val="18"/>
          <w:rtl/>
        </w:rPr>
        <w:t xml:space="preserve"> והשוו בורגס 2002,</w:t>
      </w:r>
      <w:r>
        <w:rPr>
          <w:rFonts w:cs="David" w:hint="cs"/>
          <w:sz w:val="18"/>
          <w:rtl/>
        </w:rPr>
        <w:t xml:space="preserve"> עמ'</w:t>
      </w:r>
      <w:r w:rsidRPr="00022A72">
        <w:rPr>
          <w:rFonts w:cs="David" w:hint="cs"/>
          <w:sz w:val="18"/>
          <w:rtl/>
        </w:rPr>
        <w:t xml:space="preserve"> 234</w:t>
      </w:r>
      <w:r w:rsidRPr="00022A72">
        <w:rPr>
          <w:rFonts w:cs="David" w:hint="eastAsia"/>
          <w:sz w:val="18"/>
          <w:rtl/>
        </w:rPr>
        <w:t>–</w:t>
      </w:r>
      <w:r w:rsidRPr="00022A72">
        <w:rPr>
          <w:rFonts w:cs="David" w:hint="cs"/>
          <w:sz w:val="18"/>
          <w:rtl/>
        </w:rPr>
        <w:t>245. לגבי שם החיבור הוצעו שני הסברים. ההסבר הרווח יותר הוא שהיצירה קרויה על שם מקום מוצאו של סטסינוס, שיוחס לו חיבור היצירה. ההסבר השני כי היצירה קרויה על שם אפרודיטה, הקיפרית, מגיבורות החיבור. בורקרט (1992,</w:t>
      </w:r>
      <w:r>
        <w:rPr>
          <w:rFonts w:cs="David" w:hint="cs"/>
          <w:sz w:val="18"/>
          <w:rtl/>
        </w:rPr>
        <w:t xml:space="preserve"> עמ'</w:t>
      </w:r>
      <w:r w:rsidRPr="00022A72">
        <w:rPr>
          <w:rFonts w:cs="David" w:hint="cs"/>
          <w:sz w:val="18"/>
          <w:rtl/>
        </w:rPr>
        <w:t xml:space="preserve"> 103 ו</w:t>
      </w:r>
      <w:r w:rsidR="000A4696">
        <w:rPr>
          <w:rFonts w:cs="David" w:hint="cs"/>
          <w:sz w:val="18"/>
          <w:rtl/>
        </w:rPr>
        <w:t>הערה 10 ב</w:t>
      </w:r>
      <w:r w:rsidRPr="00022A72">
        <w:rPr>
          <w:rFonts w:cs="David" w:hint="cs"/>
          <w:sz w:val="18"/>
          <w:rtl/>
        </w:rPr>
        <w:t>עמ' 207) דוחה את האפשרות שהיצירה קרויה על שם אפרודיטה (קיפריס) שהרי אז ניתן היה לצפות לצורה 'קיפרידיה'. שאלה זו עלתה שוב לדיון בשנים האחרונות בעקבות גילוי של כתובת מאזור הליקרנסוס המזכירה מחבר בשם קיפריאס (</w:t>
      </w:r>
      <w:proofErr w:type="spellStart"/>
      <w:r w:rsidRPr="00022A72">
        <w:rPr>
          <w:rFonts w:cs="David"/>
          <w:sz w:val="18"/>
        </w:rPr>
        <w:t>Κυπρίας</w:t>
      </w:r>
      <w:proofErr w:type="spellEnd"/>
      <w:r w:rsidRPr="00022A72">
        <w:rPr>
          <w:rFonts w:cs="David" w:hint="cs"/>
          <w:sz w:val="18"/>
          <w:rtl/>
        </w:rPr>
        <w:t>). ראו בורגס 2002,</w:t>
      </w:r>
      <w:r>
        <w:rPr>
          <w:rFonts w:cs="David" w:hint="cs"/>
          <w:sz w:val="18"/>
          <w:rtl/>
        </w:rPr>
        <w:t xml:space="preserve"> עמ'</w:t>
      </w:r>
      <w:r w:rsidRPr="00022A72">
        <w:rPr>
          <w:rFonts w:cs="David" w:hint="cs"/>
          <w:sz w:val="18"/>
          <w:rtl/>
        </w:rPr>
        <w:t xml:space="preserve"> 234–245. אם נכון הדבר כי היצירה יצאה מידי מחבר קפריסאי מאוד מתקבל על הדעת כי יימצאו בה השפעות המזרח.</w:t>
      </w:r>
    </w:p>
  </w:footnote>
  <w:footnote w:id="36">
    <w:p w:rsidR="00295974" w:rsidRPr="00022A72" w:rsidRDefault="00295974" w:rsidP="00BC6A5E">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 xml:space="preserve">ראו למשל </w:t>
      </w:r>
      <w:r w:rsidRPr="00022A72">
        <w:rPr>
          <w:rFonts w:cs="David" w:hint="cs"/>
          <w:sz w:val="18"/>
          <w:rtl/>
        </w:rPr>
        <w:t>את הסקירה אצל סקודל 1982,</w:t>
      </w:r>
      <w:r>
        <w:rPr>
          <w:rFonts w:cs="David" w:hint="cs"/>
          <w:sz w:val="18"/>
          <w:rtl/>
        </w:rPr>
        <w:t xml:space="preserve"> עמ'</w:t>
      </w:r>
      <w:r w:rsidRPr="00022A72">
        <w:rPr>
          <w:rFonts w:cs="David" w:hint="cs"/>
          <w:sz w:val="18"/>
          <w:rtl/>
        </w:rPr>
        <w:t xml:space="preserve"> 33 הערות 1</w:t>
      </w:r>
      <w:r w:rsidRPr="00022A72">
        <w:rPr>
          <w:rFonts w:cs="David"/>
          <w:sz w:val="18"/>
          <w:rtl/>
        </w:rPr>
        <w:softHyphen/>
      </w:r>
      <w:r w:rsidRPr="00022A72">
        <w:rPr>
          <w:rFonts w:cs="David" w:hint="cs"/>
          <w:sz w:val="18"/>
          <w:rtl/>
        </w:rPr>
        <w:t>–2; וסט 2011,</w:t>
      </w:r>
      <w:r>
        <w:rPr>
          <w:rFonts w:cs="David" w:hint="cs"/>
          <w:sz w:val="18"/>
          <w:rtl/>
        </w:rPr>
        <w:t xml:space="preserve"> עמ'</w:t>
      </w:r>
      <w:r w:rsidR="00E831B6">
        <w:rPr>
          <w:rFonts w:cs="David" w:hint="cs"/>
          <w:sz w:val="18"/>
          <w:rtl/>
        </w:rPr>
        <w:t xml:space="preserve"> 197, 263–264.</w:t>
      </w:r>
    </w:p>
  </w:footnote>
  <w:footnote w:id="37">
    <w:p w:rsidR="00295974" w:rsidRPr="00022A72" w:rsidRDefault="00295974" w:rsidP="00BC6A5E">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על חריגה זו ראו למשל וסט 2011, 263.</w:t>
      </w:r>
    </w:p>
  </w:footnote>
  <w:footnote w:id="38">
    <w:p w:rsidR="00660FF4" w:rsidRPr="00F529AD" w:rsidRDefault="00660FF4" w:rsidP="00660FF4">
      <w:pPr>
        <w:pStyle w:val="FootnoteText"/>
        <w:spacing w:line="480" w:lineRule="auto"/>
        <w:ind w:left="-284" w:hanging="680"/>
        <w:rPr>
          <w:sz w:val="18"/>
          <w:szCs w:val="18"/>
        </w:rPr>
      </w:pPr>
      <w:r w:rsidRPr="00F529AD">
        <w:rPr>
          <w:rStyle w:val="FootnoteReference"/>
          <w:sz w:val="18"/>
          <w:szCs w:val="18"/>
        </w:rPr>
        <w:footnoteRef/>
      </w:r>
      <w:r w:rsidRPr="00F529AD">
        <w:rPr>
          <w:sz w:val="18"/>
          <w:szCs w:val="18"/>
        </w:rPr>
        <w:tab/>
      </w:r>
      <w:proofErr w:type="spellStart"/>
      <w:r w:rsidRPr="00F529AD">
        <w:rPr>
          <w:rFonts w:eastAsia="Times New Roman"/>
          <w:sz w:val="18"/>
          <w:szCs w:val="18"/>
        </w:rPr>
        <w:t>ὡς</w:t>
      </w:r>
      <w:proofErr w:type="spellEnd"/>
      <w:r w:rsidRPr="00F529AD">
        <w:rPr>
          <w:rFonts w:eastAsia="Times New Roman"/>
          <w:sz w:val="18"/>
          <w:szCs w:val="18"/>
        </w:rPr>
        <w:t xml:space="preserve"> </w:t>
      </w:r>
      <w:proofErr w:type="spellStart"/>
      <w:r w:rsidRPr="00F529AD">
        <w:rPr>
          <w:rFonts w:eastAsia="Times New Roman"/>
          <w:sz w:val="18"/>
          <w:szCs w:val="18"/>
        </w:rPr>
        <w:t>ὅτε</w:t>
      </w:r>
      <w:proofErr w:type="spellEnd"/>
      <w:r w:rsidRPr="00F529AD">
        <w:rPr>
          <w:rFonts w:eastAsia="Times New Roman"/>
          <w:sz w:val="18"/>
          <w:szCs w:val="18"/>
        </w:rPr>
        <w:t xml:space="preserve"> </w:t>
      </w:r>
      <w:proofErr w:type="spellStart"/>
      <w:r w:rsidRPr="00F529AD">
        <w:rPr>
          <w:rFonts w:eastAsia="Times New Roman"/>
          <w:sz w:val="18"/>
          <w:szCs w:val="18"/>
        </w:rPr>
        <w:t>τις</w:t>
      </w:r>
      <w:proofErr w:type="spellEnd"/>
      <w:r w:rsidRPr="00F529AD">
        <w:rPr>
          <w:rFonts w:eastAsia="Times New Roman"/>
          <w:sz w:val="18"/>
          <w:szCs w:val="18"/>
        </w:rPr>
        <w:t xml:space="preserve"> </w:t>
      </w:r>
      <w:proofErr w:type="spellStart"/>
      <w:r w:rsidRPr="00F529AD">
        <w:rPr>
          <w:rFonts w:eastAsia="Times New Roman"/>
          <w:sz w:val="18"/>
          <w:szCs w:val="18"/>
        </w:rPr>
        <w:t>ψάμαθον</w:t>
      </w:r>
      <w:proofErr w:type="spellEnd"/>
      <w:r w:rsidRPr="00F529AD">
        <w:rPr>
          <w:rFonts w:eastAsia="Times New Roman"/>
          <w:sz w:val="18"/>
          <w:szCs w:val="18"/>
        </w:rPr>
        <w:t xml:space="preserve"> </w:t>
      </w:r>
      <w:proofErr w:type="spellStart"/>
      <w:r w:rsidRPr="00F529AD">
        <w:rPr>
          <w:rFonts w:eastAsia="Times New Roman"/>
          <w:sz w:val="18"/>
          <w:szCs w:val="18"/>
        </w:rPr>
        <w:t>πάϊς</w:t>
      </w:r>
      <w:proofErr w:type="spellEnd"/>
      <w:r w:rsidRPr="00F529AD">
        <w:rPr>
          <w:rFonts w:eastAsia="Times New Roman"/>
          <w:sz w:val="18"/>
          <w:szCs w:val="18"/>
        </w:rPr>
        <w:t xml:space="preserve"> </w:t>
      </w:r>
      <w:proofErr w:type="spellStart"/>
      <w:r w:rsidRPr="00F529AD">
        <w:rPr>
          <w:rFonts w:eastAsia="Times New Roman"/>
          <w:sz w:val="18"/>
          <w:szCs w:val="18"/>
        </w:rPr>
        <w:t>ἄγχι</w:t>
      </w:r>
      <w:proofErr w:type="spellEnd"/>
      <w:r w:rsidRPr="00F529AD">
        <w:rPr>
          <w:rFonts w:eastAsia="Times New Roman"/>
          <w:sz w:val="18"/>
          <w:szCs w:val="18"/>
        </w:rPr>
        <w:t xml:space="preserve"> </w:t>
      </w:r>
      <w:proofErr w:type="spellStart"/>
      <w:r w:rsidRPr="00F529AD">
        <w:rPr>
          <w:rFonts w:eastAsia="Times New Roman"/>
          <w:sz w:val="18"/>
          <w:szCs w:val="18"/>
        </w:rPr>
        <w:t>θαλάσσης</w:t>
      </w:r>
      <w:proofErr w:type="spellEnd"/>
      <w:r w:rsidRPr="00F529AD">
        <w:rPr>
          <w:rFonts w:eastAsia="Times New Roman"/>
          <w:sz w:val="18"/>
          <w:szCs w:val="18"/>
        </w:rPr>
        <w:t xml:space="preserve">, </w:t>
      </w:r>
      <w:proofErr w:type="spellStart"/>
      <w:r w:rsidRPr="00F529AD">
        <w:rPr>
          <w:rFonts w:eastAsia="Times New Roman"/>
          <w:sz w:val="18"/>
          <w:szCs w:val="18"/>
        </w:rPr>
        <w:t>ὅς</w:t>
      </w:r>
      <w:proofErr w:type="spellEnd"/>
      <w:r w:rsidRPr="00F529AD">
        <w:rPr>
          <w:rFonts w:eastAsia="Times New Roman"/>
          <w:sz w:val="18"/>
          <w:szCs w:val="18"/>
        </w:rPr>
        <w:t xml:space="preserve"> τ’ </w:t>
      </w:r>
      <w:proofErr w:type="spellStart"/>
      <w:r w:rsidRPr="00F529AD">
        <w:rPr>
          <w:rFonts w:eastAsia="Times New Roman"/>
          <w:sz w:val="18"/>
          <w:szCs w:val="18"/>
        </w:rPr>
        <w:t>ἐπεὶ</w:t>
      </w:r>
      <w:proofErr w:type="spellEnd"/>
      <w:r w:rsidRPr="00F529AD">
        <w:rPr>
          <w:rFonts w:eastAsia="Times New Roman"/>
          <w:sz w:val="18"/>
          <w:szCs w:val="18"/>
        </w:rPr>
        <w:t xml:space="preserve"> </w:t>
      </w:r>
      <w:proofErr w:type="spellStart"/>
      <w:r w:rsidRPr="00F529AD">
        <w:rPr>
          <w:rFonts w:eastAsia="Times New Roman"/>
          <w:sz w:val="18"/>
          <w:szCs w:val="18"/>
        </w:rPr>
        <w:t>οὖν</w:t>
      </w:r>
      <w:proofErr w:type="spellEnd"/>
      <w:r w:rsidRPr="00F529AD">
        <w:rPr>
          <w:rFonts w:eastAsia="Times New Roman"/>
          <w:sz w:val="18"/>
          <w:szCs w:val="18"/>
        </w:rPr>
        <w:t xml:space="preserve"> </w:t>
      </w:r>
      <w:proofErr w:type="spellStart"/>
      <w:r w:rsidRPr="00F529AD">
        <w:rPr>
          <w:rFonts w:eastAsia="Times New Roman"/>
          <w:sz w:val="18"/>
          <w:szCs w:val="18"/>
        </w:rPr>
        <w:t>ποιήσῃ</w:t>
      </w:r>
      <w:proofErr w:type="spellEnd"/>
      <w:r w:rsidRPr="00F529AD">
        <w:rPr>
          <w:rFonts w:eastAsia="Times New Roman"/>
          <w:sz w:val="18"/>
          <w:szCs w:val="18"/>
        </w:rPr>
        <w:t xml:space="preserve"> </w:t>
      </w:r>
      <w:proofErr w:type="spellStart"/>
      <w:r w:rsidRPr="00F529AD">
        <w:rPr>
          <w:rFonts w:eastAsia="Times New Roman"/>
          <w:sz w:val="18"/>
          <w:szCs w:val="18"/>
        </w:rPr>
        <w:t>ἀθύρματα</w:t>
      </w:r>
      <w:proofErr w:type="spellEnd"/>
      <w:r w:rsidRPr="00F529AD">
        <w:rPr>
          <w:rFonts w:eastAsia="Times New Roman"/>
          <w:sz w:val="18"/>
          <w:szCs w:val="18"/>
        </w:rPr>
        <w:t xml:space="preserve"> </w:t>
      </w:r>
      <w:proofErr w:type="spellStart"/>
      <w:r w:rsidRPr="00F529AD">
        <w:rPr>
          <w:rFonts w:eastAsia="Times New Roman"/>
          <w:sz w:val="18"/>
          <w:szCs w:val="18"/>
        </w:rPr>
        <w:t>νηπιέῃσιν</w:t>
      </w:r>
      <w:proofErr w:type="spellEnd"/>
      <w:r w:rsidRPr="00F529AD">
        <w:rPr>
          <w:rFonts w:eastAsia="Times New Roman"/>
          <w:sz w:val="18"/>
          <w:szCs w:val="18"/>
        </w:rPr>
        <w:t xml:space="preserve"> </w:t>
      </w:r>
      <w:proofErr w:type="spellStart"/>
      <w:r w:rsidRPr="00F529AD">
        <w:rPr>
          <w:rFonts w:eastAsia="Times New Roman"/>
          <w:sz w:val="18"/>
          <w:szCs w:val="18"/>
        </w:rPr>
        <w:t>ἂψ</w:t>
      </w:r>
      <w:proofErr w:type="spellEnd"/>
      <w:r w:rsidRPr="00F529AD">
        <w:rPr>
          <w:rFonts w:eastAsia="Times New Roman"/>
          <w:sz w:val="18"/>
          <w:szCs w:val="18"/>
        </w:rPr>
        <w:t xml:space="preserve"> </w:t>
      </w:r>
      <w:proofErr w:type="spellStart"/>
      <w:r w:rsidRPr="00F529AD">
        <w:rPr>
          <w:rFonts w:eastAsia="Times New Roman"/>
          <w:sz w:val="18"/>
          <w:szCs w:val="18"/>
        </w:rPr>
        <w:t>αὖτις</w:t>
      </w:r>
      <w:proofErr w:type="spellEnd"/>
      <w:r w:rsidRPr="00F529AD">
        <w:rPr>
          <w:rFonts w:eastAsia="Times New Roman"/>
          <w:sz w:val="18"/>
          <w:szCs w:val="18"/>
        </w:rPr>
        <w:t xml:space="preserve"> </w:t>
      </w:r>
      <w:proofErr w:type="spellStart"/>
      <w:r w:rsidRPr="00F529AD">
        <w:rPr>
          <w:rFonts w:eastAsia="Times New Roman"/>
          <w:sz w:val="18"/>
          <w:szCs w:val="18"/>
        </w:rPr>
        <w:t>συνέχευε</w:t>
      </w:r>
      <w:proofErr w:type="spellEnd"/>
      <w:r w:rsidRPr="00F529AD">
        <w:rPr>
          <w:rFonts w:eastAsia="Times New Roman"/>
          <w:sz w:val="18"/>
          <w:szCs w:val="18"/>
        </w:rPr>
        <w:t xml:space="preserve"> </w:t>
      </w:r>
      <w:proofErr w:type="spellStart"/>
      <w:r w:rsidRPr="00F529AD">
        <w:rPr>
          <w:rFonts w:eastAsia="Times New Roman"/>
          <w:sz w:val="18"/>
          <w:szCs w:val="18"/>
        </w:rPr>
        <w:t>ποσὶν</w:t>
      </w:r>
      <w:proofErr w:type="spellEnd"/>
      <w:r w:rsidRPr="00F529AD">
        <w:rPr>
          <w:rFonts w:eastAsia="Times New Roman"/>
          <w:sz w:val="18"/>
          <w:szCs w:val="18"/>
        </w:rPr>
        <w:t xml:space="preserve"> </w:t>
      </w:r>
      <w:proofErr w:type="spellStart"/>
      <w:r w:rsidRPr="00F529AD">
        <w:rPr>
          <w:rFonts w:eastAsia="Times New Roman"/>
          <w:sz w:val="18"/>
          <w:szCs w:val="18"/>
        </w:rPr>
        <w:t>καὶ</w:t>
      </w:r>
      <w:proofErr w:type="spellEnd"/>
      <w:r w:rsidRPr="00F529AD">
        <w:rPr>
          <w:rFonts w:eastAsia="Times New Roman"/>
          <w:sz w:val="18"/>
          <w:szCs w:val="18"/>
        </w:rPr>
        <w:t xml:space="preserve"> </w:t>
      </w:r>
      <w:proofErr w:type="spellStart"/>
      <w:r w:rsidRPr="00F529AD">
        <w:rPr>
          <w:rFonts w:eastAsia="Times New Roman"/>
          <w:sz w:val="18"/>
          <w:szCs w:val="18"/>
        </w:rPr>
        <w:t>χερσὶν</w:t>
      </w:r>
      <w:proofErr w:type="spellEnd"/>
      <w:r w:rsidRPr="00F529AD">
        <w:rPr>
          <w:rFonts w:eastAsia="Times New Roman"/>
          <w:sz w:val="18"/>
          <w:szCs w:val="18"/>
        </w:rPr>
        <w:t xml:space="preserve"> </w:t>
      </w:r>
      <w:proofErr w:type="spellStart"/>
      <w:r w:rsidRPr="00F529AD">
        <w:rPr>
          <w:rFonts w:eastAsia="Times New Roman"/>
          <w:sz w:val="18"/>
          <w:szCs w:val="18"/>
        </w:rPr>
        <w:t>ἀθύρων</w:t>
      </w:r>
      <w:proofErr w:type="spellEnd"/>
    </w:p>
  </w:footnote>
  <w:footnote w:id="39">
    <w:p w:rsidR="00295974" w:rsidRPr="00022A72" w:rsidRDefault="00295974" w:rsidP="00BC6A5E">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סקודל 1982,</w:t>
      </w:r>
      <w:r>
        <w:rPr>
          <w:rFonts w:cs="David" w:hint="cs"/>
          <w:sz w:val="18"/>
          <w:rtl/>
        </w:rPr>
        <w:t xml:space="preserve"> עמ'</w:t>
      </w:r>
      <w:r w:rsidRPr="00022A72">
        <w:rPr>
          <w:rFonts w:cs="David" w:hint="cs"/>
          <w:sz w:val="18"/>
          <w:rtl/>
        </w:rPr>
        <w:t xml:space="preserve"> 33</w:t>
      </w:r>
      <w:r w:rsidRPr="00022A72">
        <w:rPr>
          <w:rFonts w:cs="David" w:hint="eastAsia"/>
          <w:sz w:val="18"/>
          <w:rtl/>
        </w:rPr>
        <w:t>–</w:t>
      </w:r>
      <w:r w:rsidRPr="00022A72">
        <w:rPr>
          <w:rFonts w:cs="David" w:hint="cs"/>
          <w:sz w:val="18"/>
          <w:rtl/>
        </w:rPr>
        <w:t>50; ובעקבותיה הלכו בין השאר סינגור 1992,</w:t>
      </w:r>
      <w:r>
        <w:rPr>
          <w:rFonts w:cs="David" w:hint="cs"/>
          <w:sz w:val="18"/>
          <w:rtl/>
        </w:rPr>
        <w:t xml:space="preserve"> עמ'</w:t>
      </w:r>
      <w:r w:rsidRPr="00022A72">
        <w:rPr>
          <w:rFonts w:cs="David" w:hint="cs"/>
          <w:sz w:val="18"/>
          <w:rtl/>
        </w:rPr>
        <w:t xml:space="preserve"> 402, 410</w:t>
      </w:r>
      <w:r w:rsidRPr="00022A72">
        <w:rPr>
          <w:rFonts w:cs="David" w:hint="eastAsia"/>
          <w:sz w:val="18"/>
          <w:rtl/>
        </w:rPr>
        <w:t>–</w:t>
      </w:r>
      <w:r w:rsidRPr="00022A72">
        <w:rPr>
          <w:rFonts w:cs="David" w:hint="cs"/>
          <w:sz w:val="18"/>
          <w:rtl/>
        </w:rPr>
        <w:t>411; וסט 1995,</w:t>
      </w:r>
      <w:r>
        <w:rPr>
          <w:rFonts w:cs="David" w:hint="cs"/>
          <w:sz w:val="18"/>
          <w:rtl/>
        </w:rPr>
        <w:t xml:space="preserve"> עמ'</w:t>
      </w:r>
      <w:r w:rsidRPr="00022A72">
        <w:rPr>
          <w:rFonts w:cs="David" w:hint="cs"/>
          <w:sz w:val="18"/>
          <w:rtl/>
        </w:rPr>
        <w:t xml:space="preserve"> 212</w:t>
      </w:r>
      <w:r w:rsidRPr="00022A72">
        <w:rPr>
          <w:rFonts w:cs="David" w:hint="eastAsia"/>
          <w:sz w:val="18"/>
          <w:rtl/>
        </w:rPr>
        <w:t>–</w:t>
      </w:r>
      <w:r w:rsidRPr="00022A72">
        <w:rPr>
          <w:rFonts w:cs="David" w:hint="cs"/>
          <w:sz w:val="18"/>
          <w:rtl/>
        </w:rPr>
        <w:t>213; וסט 2011,</w:t>
      </w:r>
      <w:r>
        <w:rPr>
          <w:rFonts w:cs="David" w:hint="cs"/>
          <w:sz w:val="18"/>
          <w:rtl/>
        </w:rPr>
        <w:t xml:space="preserve"> עמ'</w:t>
      </w:r>
      <w:r w:rsidRPr="00022A72">
        <w:rPr>
          <w:rFonts w:cs="David" w:hint="cs"/>
          <w:sz w:val="18"/>
          <w:rtl/>
        </w:rPr>
        <w:t xml:space="preserve"> 264</w:t>
      </w:r>
      <w:r>
        <w:rPr>
          <w:rFonts w:cs="David" w:hint="cs"/>
          <w:sz w:val="18"/>
          <w:rtl/>
        </w:rPr>
        <w:t>.</w:t>
      </w:r>
    </w:p>
  </w:footnote>
  <w:footnote w:id="40">
    <w:p w:rsidR="00295974" w:rsidRPr="00022A72" w:rsidRDefault="00295974" w:rsidP="00BC6A5E">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סקודל 1982,</w:t>
      </w:r>
      <w:r>
        <w:rPr>
          <w:rFonts w:cs="David" w:hint="cs"/>
          <w:sz w:val="18"/>
          <w:rtl/>
        </w:rPr>
        <w:t xml:space="preserve"> עמ'</w:t>
      </w:r>
      <w:r w:rsidRPr="00022A72">
        <w:rPr>
          <w:rFonts w:cs="David" w:hint="cs"/>
          <w:sz w:val="18"/>
          <w:rtl/>
        </w:rPr>
        <w:t xml:space="preserve"> 34. על המונח </w:t>
      </w:r>
      <w:proofErr w:type="spellStart"/>
      <w:r w:rsidRPr="00022A72">
        <w:rPr>
          <w:rFonts w:eastAsia="Times New Roman" w:cs="David"/>
          <w:sz w:val="18"/>
        </w:rPr>
        <w:t>ἡμίθεοι</w:t>
      </w:r>
      <w:proofErr w:type="spellEnd"/>
      <w:r w:rsidRPr="00022A72">
        <w:rPr>
          <w:rFonts w:cs="David" w:hint="cs"/>
          <w:sz w:val="18"/>
          <w:rtl/>
        </w:rPr>
        <w:t xml:space="preserve"> ראו גם נאג' 1979,</w:t>
      </w:r>
      <w:r>
        <w:rPr>
          <w:rFonts w:cs="David" w:hint="cs"/>
          <w:sz w:val="18"/>
          <w:rtl/>
        </w:rPr>
        <w:t xml:space="preserve"> עמ'</w:t>
      </w:r>
      <w:r w:rsidRPr="00022A72">
        <w:rPr>
          <w:rFonts w:cs="David" w:hint="cs"/>
          <w:sz w:val="18"/>
          <w:rtl/>
        </w:rPr>
        <w:t xml:space="preserve"> 159</w:t>
      </w:r>
      <w:r w:rsidRPr="00022A72">
        <w:rPr>
          <w:rFonts w:cs="David" w:hint="eastAsia"/>
          <w:sz w:val="18"/>
          <w:rtl/>
        </w:rPr>
        <w:t>–1</w:t>
      </w:r>
      <w:r w:rsidRPr="00022A72">
        <w:rPr>
          <w:rFonts w:cs="David" w:hint="cs"/>
          <w:sz w:val="18"/>
          <w:rtl/>
        </w:rPr>
        <w:t>61; וסט 1978,</w:t>
      </w:r>
      <w:r>
        <w:rPr>
          <w:rFonts w:cs="David" w:hint="cs"/>
          <w:sz w:val="18"/>
          <w:rtl/>
        </w:rPr>
        <w:t xml:space="preserve"> עמ'</w:t>
      </w:r>
      <w:r w:rsidRPr="00022A72">
        <w:rPr>
          <w:rFonts w:cs="David" w:hint="cs"/>
          <w:sz w:val="18"/>
          <w:rtl/>
        </w:rPr>
        <w:t xml:space="preserve"> 193; וסט 2011,</w:t>
      </w:r>
      <w:r>
        <w:rPr>
          <w:rFonts w:cs="David" w:hint="cs"/>
          <w:sz w:val="18"/>
          <w:rtl/>
        </w:rPr>
        <w:t xml:space="preserve"> עמ'</w:t>
      </w:r>
      <w:r w:rsidRPr="00022A72">
        <w:rPr>
          <w:rFonts w:cs="David" w:hint="cs"/>
          <w:sz w:val="18"/>
          <w:rtl/>
        </w:rPr>
        <w:t xml:space="preserve"> 264.</w:t>
      </w:r>
    </w:p>
  </w:footnote>
  <w:footnote w:id="41">
    <w:p w:rsidR="00295974" w:rsidRPr="00022A72" w:rsidRDefault="00295974" w:rsidP="00BC6A5E">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 xml:space="preserve">השוו </w:t>
      </w:r>
      <w:r w:rsidRPr="00022A72">
        <w:rPr>
          <w:rFonts w:cs="David" w:hint="cs"/>
          <w:sz w:val="18"/>
          <w:rtl/>
        </w:rPr>
        <w:t xml:space="preserve">גם </w:t>
      </w:r>
      <w:proofErr w:type="spellStart"/>
      <w:r w:rsidRPr="00022A72">
        <w:rPr>
          <w:rFonts w:cs="David"/>
          <w:i/>
          <w:iCs/>
          <w:sz w:val="18"/>
        </w:rPr>
        <w:t>Hom</w:t>
      </w:r>
      <w:proofErr w:type="spellEnd"/>
      <w:r w:rsidRPr="00022A72">
        <w:rPr>
          <w:rFonts w:cs="David"/>
          <w:sz w:val="18"/>
        </w:rPr>
        <w:t>.</w:t>
      </w:r>
      <w:r w:rsidRPr="00022A72">
        <w:rPr>
          <w:rFonts w:cs="David"/>
          <w:i/>
          <w:iCs/>
          <w:sz w:val="18"/>
        </w:rPr>
        <w:t xml:space="preserve"> </w:t>
      </w:r>
      <w:proofErr w:type="spellStart"/>
      <w:r w:rsidRPr="00022A72">
        <w:rPr>
          <w:rFonts w:cs="David"/>
          <w:i/>
          <w:iCs/>
          <w:sz w:val="18"/>
        </w:rPr>
        <w:t>Hym</w:t>
      </w:r>
      <w:proofErr w:type="spellEnd"/>
      <w:r w:rsidRPr="00022A72">
        <w:rPr>
          <w:rFonts w:cs="David"/>
          <w:sz w:val="18"/>
        </w:rPr>
        <w:t xml:space="preserve">. 31.19; Alcaeus F 42.13 L–P; Simonides F 523.2 PMG; </w:t>
      </w:r>
      <w:proofErr w:type="spellStart"/>
      <w:r w:rsidRPr="00022A72">
        <w:rPr>
          <w:rFonts w:cs="David"/>
          <w:sz w:val="18"/>
        </w:rPr>
        <w:t>Bacchylides</w:t>
      </w:r>
      <w:proofErr w:type="spellEnd"/>
      <w:r w:rsidRPr="00022A72">
        <w:rPr>
          <w:rFonts w:cs="David"/>
          <w:sz w:val="18"/>
        </w:rPr>
        <w:t xml:space="preserve"> </w:t>
      </w:r>
      <w:proofErr w:type="spellStart"/>
      <w:proofErr w:type="gramStart"/>
      <w:r w:rsidRPr="00022A72">
        <w:rPr>
          <w:rFonts w:cs="David"/>
          <w:i/>
          <w:iCs/>
          <w:sz w:val="18"/>
        </w:rPr>
        <w:t>Od</w:t>
      </w:r>
      <w:proofErr w:type="spellEnd"/>
      <w:proofErr w:type="gramEnd"/>
      <w:r w:rsidRPr="00022A72">
        <w:rPr>
          <w:rFonts w:cs="David"/>
          <w:i/>
          <w:iCs/>
          <w:sz w:val="18"/>
        </w:rPr>
        <w:t>.</w:t>
      </w:r>
      <w:r w:rsidRPr="00022A72">
        <w:rPr>
          <w:rFonts w:cs="David"/>
          <w:sz w:val="18"/>
        </w:rPr>
        <w:t xml:space="preserve"> 9.10, 13.155</w:t>
      </w:r>
    </w:p>
  </w:footnote>
  <w:footnote w:id="42">
    <w:p w:rsidR="00F020CA" w:rsidRPr="00F020CA" w:rsidRDefault="00F020CA" w:rsidP="00F020CA">
      <w:pPr>
        <w:pStyle w:val="FootnoteText"/>
        <w:widowControl w:val="0"/>
        <w:spacing w:line="480" w:lineRule="auto"/>
        <w:ind w:left="-283" w:hanging="680"/>
        <w:rPr>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ל</w:t>
      </w:r>
      <w:r>
        <w:rPr>
          <w:rFonts w:cs="David" w:hint="cs"/>
          <w:sz w:val="18"/>
          <w:rtl/>
        </w:rPr>
        <w:t>השלמה</w:t>
      </w:r>
      <w:r w:rsidRPr="00022A72">
        <w:rPr>
          <w:rFonts w:cs="David" w:hint="cs"/>
          <w:sz w:val="18"/>
          <w:rtl/>
        </w:rPr>
        <w:t xml:space="preserve"> ראו מוסט 2006, עמ' 236.</w:t>
      </w:r>
    </w:p>
  </w:footnote>
  <w:footnote w:id="43">
    <w:p w:rsidR="006F0513" w:rsidRPr="00F529AD" w:rsidRDefault="006F0513" w:rsidP="00016BA5">
      <w:pPr>
        <w:widowControl w:val="0"/>
        <w:spacing w:line="480" w:lineRule="auto"/>
        <w:ind w:left="-284" w:hanging="680"/>
        <w:rPr>
          <w:sz w:val="18"/>
          <w:szCs w:val="18"/>
          <w:rtl/>
        </w:rPr>
      </w:pPr>
      <w:r w:rsidRPr="00F529AD">
        <w:rPr>
          <w:rStyle w:val="FootnoteReference"/>
          <w:rFonts w:cs="Times New Roman"/>
          <w:sz w:val="18"/>
          <w:szCs w:val="18"/>
        </w:rPr>
        <w:footnoteRef/>
      </w:r>
      <w:r w:rsidRPr="00F529AD">
        <w:rPr>
          <w:rFonts w:cs="Times New Roman"/>
          <w:sz w:val="18"/>
          <w:szCs w:val="18"/>
          <w:rtl/>
        </w:rPr>
        <w:t xml:space="preserve"> </w:t>
      </w:r>
      <w:r w:rsidRPr="00F529AD">
        <w:rPr>
          <w:rFonts w:cs="Times New Roman"/>
          <w:sz w:val="18"/>
          <w:szCs w:val="18"/>
          <w:rtl/>
        </w:rPr>
        <w:tab/>
      </w:r>
      <w:proofErr w:type="spellStart"/>
      <w:r w:rsidRPr="00F529AD">
        <w:rPr>
          <w:rFonts w:eastAsia="Times New Roman" w:cs="Times New Roman"/>
          <w:sz w:val="18"/>
          <w:szCs w:val="18"/>
        </w:rPr>
        <w:t>πο</w:t>
      </w:r>
      <w:r w:rsidRPr="00F529AD">
        <w:rPr>
          <w:rFonts w:ascii="Cambria Math" w:eastAsia="Times New Roman" w:hAnsi="Cambria Math" w:cs="Times New Roman"/>
          <w:sz w:val="18"/>
          <w:szCs w:val="18"/>
        </w:rPr>
        <w:t>⌋</w:t>
      </w:r>
      <w:r w:rsidRPr="00F529AD">
        <w:rPr>
          <w:rFonts w:eastAsia="Times New Roman" w:cs="Times New Roman"/>
          <w:sz w:val="18"/>
          <w:szCs w:val="18"/>
        </w:rPr>
        <w:t>λλὰ</w:t>
      </w:r>
      <w:proofErr w:type="spellEnd"/>
      <w:r w:rsidRPr="00F529AD">
        <w:rPr>
          <w:rFonts w:eastAsia="Times New Roman" w:cs="Times New Roman"/>
          <w:sz w:val="18"/>
          <w:szCs w:val="18"/>
        </w:rPr>
        <w:t xml:space="preserve"> δ’ </w:t>
      </w:r>
      <w:proofErr w:type="spellStart"/>
      <w:r w:rsidRPr="00F529AD">
        <w:rPr>
          <w:rFonts w:eastAsia="Times New Roman" w:cs="Times New Roman"/>
          <w:sz w:val="18"/>
          <w:szCs w:val="18"/>
        </w:rPr>
        <w:t>ἀπὸ</w:t>
      </w:r>
      <w:proofErr w:type="spellEnd"/>
      <w:r w:rsidRPr="00F529AD">
        <w:rPr>
          <w:rFonts w:eastAsia="Times New Roman" w:cs="Times New Roman"/>
          <w:sz w:val="18"/>
          <w:szCs w:val="18"/>
        </w:rPr>
        <w:t xml:space="preserve"> </w:t>
      </w:r>
      <w:proofErr w:type="spellStart"/>
      <w:r w:rsidRPr="00F529AD">
        <w:rPr>
          <w:rFonts w:eastAsia="Times New Roman" w:cs="Times New Roman"/>
          <w:sz w:val="18"/>
          <w:szCs w:val="18"/>
        </w:rPr>
        <w:t>γλωθρῶν</w:t>
      </w:r>
      <w:proofErr w:type="spellEnd"/>
      <w:r w:rsidRPr="00F529AD">
        <w:rPr>
          <w:rFonts w:eastAsia="Times New Roman" w:cs="Times New Roman"/>
          <w:sz w:val="18"/>
          <w:szCs w:val="18"/>
        </w:rPr>
        <w:t xml:space="preserve"> </w:t>
      </w:r>
      <w:proofErr w:type="spellStart"/>
      <w:r w:rsidRPr="00F529AD">
        <w:rPr>
          <w:rFonts w:eastAsia="Times New Roman" w:cs="Times New Roman"/>
          <w:sz w:val="18"/>
          <w:szCs w:val="18"/>
        </w:rPr>
        <w:t>δενδρέων</w:t>
      </w:r>
      <w:proofErr w:type="spellEnd"/>
      <w:r w:rsidRPr="00F529AD">
        <w:rPr>
          <w:rFonts w:eastAsia="Times New Roman" w:cs="Times New Roman"/>
          <w:sz w:val="18"/>
          <w:szCs w:val="18"/>
        </w:rPr>
        <w:t xml:space="preserve"> </w:t>
      </w:r>
      <w:proofErr w:type="spellStart"/>
      <w:r w:rsidRPr="00F529AD">
        <w:rPr>
          <w:rFonts w:eastAsia="Times New Roman" w:cs="Times New Roman"/>
          <w:sz w:val="18"/>
          <w:szCs w:val="18"/>
        </w:rPr>
        <w:t>ἀμύοντα</w:t>
      </w:r>
      <w:proofErr w:type="spellEnd"/>
      <w:r w:rsidRPr="00F529AD">
        <w:rPr>
          <w:rFonts w:eastAsia="Times New Roman" w:cs="Times New Roman"/>
          <w:sz w:val="18"/>
          <w:szCs w:val="18"/>
        </w:rPr>
        <w:t xml:space="preserve"> </w:t>
      </w:r>
      <w:proofErr w:type="spellStart"/>
      <w:r w:rsidRPr="00F529AD">
        <w:rPr>
          <w:rFonts w:eastAsia="Times New Roman" w:cs="Times New Roman"/>
          <w:sz w:val="18"/>
          <w:szCs w:val="18"/>
        </w:rPr>
        <w:t>χαμᾶζε</w:t>
      </w:r>
      <w:proofErr w:type="spellEnd"/>
      <w:r w:rsidR="00016BA5">
        <w:rPr>
          <w:rFonts w:eastAsia="Times New Roman" w:cs="Times New Roman"/>
          <w:sz w:val="18"/>
          <w:szCs w:val="18"/>
        </w:rPr>
        <w:t xml:space="preserve"> / </w:t>
      </w:r>
      <w:r w:rsidRPr="00F529AD">
        <w:rPr>
          <w:rFonts w:eastAsia="Times New Roman" w:cs="Times New Roman"/>
          <w:sz w:val="18"/>
          <w:szCs w:val="18"/>
          <w:vertAlign w:val="subscript"/>
        </w:rPr>
        <w:t>(125)</w:t>
      </w:r>
      <w:r w:rsidRPr="00F529AD">
        <w:rPr>
          <w:rFonts w:eastAsia="Times New Roman" w:cs="Times New Roman"/>
          <w:sz w:val="18"/>
          <w:szCs w:val="18"/>
        </w:rPr>
        <w:t xml:space="preserve"> </w:t>
      </w:r>
      <w:proofErr w:type="spellStart"/>
      <w:r w:rsidRPr="00F529AD">
        <w:rPr>
          <w:rFonts w:eastAsia="Times New Roman" w:cs="Times New Roman"/>
          <w:sz w:val="18"/>
          <w:szCs w:val="18"/>
        </w:rPr>
        <w:t>χ̣ε̣ύετο</w:t>
      </w:r>
      <w:proofErr w:type="spellEnd"/>
      <w:r w:rsidRPr="00F529AD">
        <w:rPr>
          <w:rFonts w:eastAsia="Times New Roman" w:cs="Times New Roman"/>
          <w:sz w:val="18"/>
          <w:szCs w:val="18"/>
        </w:rPr>
        <w:t xml:space="preserve"> </w:t>
      </w:r>
      <w:proofErr w:type="spellStart"/>
      <w:r w:rsidRPr="00F529AD">
        <w:rPr>
          <w:rFonts w:eastAsia="Times New Roman" w:cs="Times New Roman"/>
          <w:sz w:val="18"/>
          <w:szCs w:val="18"/>
        </w:rPr>
        <w:t>καλὰ</w:t>
      </w:r>
      <w:proofErr w:type="spellEnd"/>
      <w:r w:rsidRPr="00F529AD">
        <w:rPr>
          <w:rFonts w:eastAsia="Times New Roman" w:cs="Times New Roman"/>
          <w:sz w:val="18"/>
          <w:szCs w:val="18"/>
        </w:rPr>
        <w:t xml:space="preserve"> </w:t>
      </w:r>
      <w:proofErr w:type="spellStart"/>
      <w:r w:rsidRPr="00F529AD">
        <w:rPr>
          <w:rFonts w:eastAsia="Times New Roman" w:cs="Times New Roman"/>
          <w:sz w:val="18"/>
          <w:szCs w:val="18"/>
        </w:rPr>
        <w:t>πέτηλα</w:t>
      </w:r>
      <w:proofErr w:type="spellEnd"/>
      <w:r w:rsidRPr="00F529AD">
        <w:rPr>
          <w:rFonts w:eastAsia="Times New Roman" w:cs="Times New Roman"/>
          <w:sz w:val="18"/>
          <w:szCs w:val="18"/>
        </w:rPr>
        <w:t xml:space="preserve">, </w:t>
      </w:r>
      <w:proofErr w:type="spellStart"/>
      <w:r w:rsidRPr="00F529AD">
        <w:rPr>
          <w:rFonts w:eastAsia="Times New Roman" w:cs="Times New Roman"/>
          <w:sz w:val="18"/>
          <w:szCs w:val="18"/>
        </w:rPr>
        <w:t>ῥέεσκε</w:t>
      </w:r>
      <w:proofErr w:type="spellEnd"/>
      <w:r w:rsidRPr="00F529AD">
        <w:rPr>
          <w:rFonts w:eastAsia="Times New Roman" w:cs="Times New Roman"/>
          <w:sz w:val="18"/>
          <w:szCs w:val="18"/>
        </w:rPr>
        <w:t xml:space="preserve"> </w:t>
      </w:r>
      <w:proofErr w:type="spellStart"/>
      <w:r w:rsidRPr="00F529AD">
        <w:rPr>
          <w:rFonts w:eastAsia="Times New Roman" w:cs="Times New Roman"/>
          <w:sz w:val="18"/>
          <w:szCs w:val="18"/>
        </w:rPr>
        <w:t>δὲ</w:t>
      </w:r>
      <w:proofErr w:type="spellEnd"/>
      <w:r w:rsidRPr="00F529AD">
        <w:rPr>
          <w:rFonts w:eastAsia="Times New Roman" w:cs="Times New Roman"/>
          <w:sz w:val="18"/>
          <w:szCs w:val="18"/>
        </w:rPr>
        <w:t xml:space="preserve"> </w:t>
      </w:r>
      <w:proofErr w:type="spellStart"/>
      <w:r w:rsidRPr="00F529AD">
        <w:rPr>
          <w:rFonts w:eastAsia="Times New Roman" w:cs="Times New Roman"/>
          <w:sz w:val="18"/>
          <w:szCs w:val="18"/>
        </w:rPr>
        <w:t>καρπὸς</w:t>
      </w:r>
      <w:proofErr w:type="spellEnd"/>
      <w:r w:rsidRPr="00F529AD">
        <w:rPr>
          <w:rFonts w:eastAsia="Times New Roman" w:cs="Times New Roman"/>
          <w:sz w:val="18"/>
          <w:szCs w:val="18"/>
        </w:rPr>
        <w:t xml:space="preserve"> </w:t>
      </w:r>
      <w:proofErr w:type="spellStart"/>
      <w:r w:rsidRPr="00F529AD">
        <w:rPr>
          <w:rFonts w:eastAsia="Times New Roman" w:cs="Times New Roman"/>
          <w:sz w:val="18"/>
          <w:szCs w:val="18"/>
        </w:rPr>
        <w:t>ἔραζε</w:t>
      </w:r>
      <w:proofErr w:type="spellEnd"/>
      <w:r w:rsidR="00016BA5">
        <w:rPr>
          <w:rFonts w:eastAsia="Times New Roman" w:cs="Times New Roman"/>
          <w:sz w:val="18"/>
          <w:szCs w:val="18"/>
        </w:rPr>
        <w:t xml:space="preserve"> / </w:t>
      </w:r>
      <w:r w:rsidRPr="00F529AD">
        <w:rPr>
          <w:rFonts w:eastAsia="Times New Roman" w:cs="Times New Roman"/>
          <w:sz w:val="18"/>
          <w:szCs w:val="18"/>
        </w:rPr>
        <w:t>π]</w:t>
      </w:r>
      <w:proofErr w:type="spellStart"/>
      <w:r w:rsidRPr="00F529AD">
        <w:rPr>
          <w:rFonts w:eastAsia="Times New Roman" w:cs="Times New Roman"/>
          <w:sz w:val="18"/>
          <w:szCs w:val="18"/>
        </w:rPr>
        <w:t>ν̣είο̣ν̣τος</w:t>
      </w:r>
      <w:proofErr w:type="spellEnd"/>
      <w:r w:rsidRPr="00F529AD">
        <w:rPr>
          <w:rFonts w:eastAsia="Times New Roman" w:cs="Times New Roman"/>
          <w:sz w:val="18"/>
          <w:szCs w:val="18"/>
        </w:rPr>
        <w:t xml:space="preserve"> </w:t>
      </w:r>
      <w:proofErr w:type="spellStart"/>
      <w:r w:rsidRPr="00F529AD">
        <w:rPr>
          <w:rFonts w:eastAsia="Times New Roman" w:cs="Times New Roman"/>
          <w:sz w:val="18"/>
          <w:szCs w:val="18"/>
        </w:rPr>
        <w:t>Βορέαο</w:t>
      </w:r>
      <w:proofErr w:type="spellEnd"/>
      <w:r w:rsidRPr="00F529AD">
        <w:rPr>
          <w:rFonts w:eastAsia="Times New Roman" w:cs="Times New Roman"/>
          <w:sz w:val="18"/>
          <w:szCs w:val="18"/>
        </w:rPr>
        <w:t xml:space="preserve"> </w:t>
      </w:r>
      <w:proofErr w:type="spellStart"/>
      <w:r w:rsidRPr="00F529AD">
        <w:rPr>
          <w:rFonts w:eastAsia="Times New Roman" w:cs="Times New Roman"/>
          <w:sz w:val="18"/>
          <w:szCs w:val="18"/>
        </w:rPr>
        <w:t>περιζαμενὲς</w:t>
      </w:r>
      <w:proofErr w:type="spellEnd"/>
      <w:r w:rsidRPr="00F529AD">
        <w:rPr>
          <w:rFonts w:eastAsia="Times New Roman" w:cs="Times New Roman"/>
          <w:sz w:val="18"/>
          <w:szCs w:val="18"/>
        </w:rPr>
        <w:t xml:space="preserve"> </w:t>
      </w:r>
      <w:proofErr w:type="spellStart"/>
      <w:r w:rsidRPr="00F529AD">
        <w:rPr>
          <w:rFonts w:eastAsia="Times New Roman" w:cs="Times New Roman"/>
          <w:sz w:val="18"/>
          <w:szCs w:val="18"/>
        </w:rPr>
        <w:t>Διὸς</w:t>
      </w:r>
      <w:proofErr w:type="spellEnd"/>
      <w:r w:rsidRPr="00F529AD">
        <w:rPr>
          <w:rFonts w:eastAsia="Times New Roman" w:cs="Times New Roman"/>
          <w:sz w:val="18"/>
          <w:szCs w:val="18"/>
        </w:rPr>
        <w:t xml:space="preserve"> </w:t>
      </w:r>
      <w:proofErr w:type="spellStart"/>
      <w:r w:rsidRPr="00F529AD">
        <w:rPr>
          <w:rFonts w:eastAsia="Times New Roman" w:cs="Times New Roman"/>
          <w:sz w:val="18"/>
          <w:szCs w:val="18"/>
        </w:rPr>
        <w:t>αἴσηι</w:t>
      </w:r>
      <w:proofErr w:type="spellEnd"/>
      <w:r w:rsidRPr="00F529AD">
        <w:rPr>
          <w:rFonts w:eastAsia="Times New Roman" w:cs="Times New Roman"/>
          <w:sz w:val="18"/>
          <w:szCs w:val="18"/>
        </w:rPr>
        <w:t>,</w:t>
      </w:r>
      <w:r w:rsidR="00016BA5">
        <w:rPr>
          <w:rFonts w:eastAsia="Times New Roman" w:cs="Times New Roman"/>
          <w:sz w:val="18"/>
          <w:szCs w:val="18"/>
        </w:rPr>
        <w:t xml:space="preserve"> / </w:t>
      </w:r>
      <w:r w:rsidRPr="00F529AD">
        <w:rPr>
          <w:rFonts w:eastAsia="Times New Roman" w:cs="Times New Roman"/>
          <w:sz w:val="18"/>
          <w:szCs w:val="18"/>
        </w:rPr>
        <w:t>ο]</w:t>
      </w:r>
      <w:proofErr w:type="spellStart"/>
      <w:r w:rsidRPr="00F529AD">
        <w:rPr>
          <w:rFonts w:eastAsia="Times New Roman" w:cs="Times New Roman"/>
          <w:sz w:val="18"/>
          <w:szCs w:val="18"/>
        </w:rPr>
        <w:t>ἴδεσκεν</w:t>
      </w:r>
      <w:proofErr w:type="spellEnd"/>
      <w:r w:rsidRPr="00F529AD">
        <w:rPr>
          <w:rFonts w:eastAsia="Times New Roman" w:cs="Times New Roman"/>
          <w:sz w:val="18"/>
          <w:szCs w:val="18"/>
        </w:rPr>
        <w:t xml:space="preserve"> </w:t>
      </w:r>
      <w:proofErr w:type="spellStart"/>
      <w:r w:rsidRPr="00F529AD">
        <w:rPr>
          <w:rFonts w:eastAsia="Times New Roman" w:cs="Times New Roman"/>
          <w:sz w:val="18"/>
          <w:szCs w:val="18"/>
        </w:rPr>
        <w:t>δὲ</w:t>
      </w:r>
      <w:proofErr w:type="spellEnd"/>
      <w:r w:rsidRPr="00F529AD">
        <w:rPr>
          <w:rFonts w:eastAsia="Times New Roman" w:cs="Times New Roman"/>
          <w:sz w:val="18"/>
          <w:szCs w:val="18"/>
        </w:rPr>
        <w:t xml:space="preserve"> </w:t>
      </w:r>
      <w:proofErr w:type="spellStart"/>
      <w:r w:rsidRPr="00F529AD">
        <w:rPr>
          <w:rFonts w:eastAsia="Times New Roman" w:cs="Times New Roman"/>
          <w:sz w:val="18"/>
          <w:szCs w:val="18"/>
        </w:rPr>
        <w:t>θάλασσα</w:t>
      </w:r>
      <w:proofErr w:type="spellEnd"/>
      <w:r w:rsidRPr="00F529AD">
        <w:rPr>
          <w:rFonts w:eastAsia="Times New Roman" w:cs="Times New Roman"/>
          <w:sz w:val="18"/>
          <w:szCs w:val="18"/>
        </w:rPr>
        <w:t xml:space="preserve">, </w:t>
      </w:r>
      <w:proofErr w:type="spellStart"/>
      <w:r w:rsidRPr="00F529AD">
        <w:rPr>
          <w:rFonts w:eastAsia="Times New Roman" w:cs="Times New Roman"/>
          <w:sz w:val="18"/>
          <w:szCs w:val="18"/>
        </w:rPr>
        <w:t>τρόμ</w:t>
      </w:r>
      <w:proofErr w:type="spellEnd"/>
      <w:r w:rsidRPr="00F529AD">
        <w:rPr>
          <w:rFonts w:eastAsia="Times New Roman" w:cs="Times New Roman"/>
          <w:sz w:val="18"/>
          <w:szCs w:val="18"/>
        </w:rPr>
        <w:t>{ε}</w:t>
      </w:r>
      <w:proofErr w:type="spellStart"/>
      <w:r w:rsidRPr="00F529AD">
        <w:rPr>
          <w:rFonts w:eastAsia="Times New Roman" w:cs="Times New Roman"/>
          <w:sz w:val="18"/>
          <w:szCs w:val="18"/>
        </w:rPr>
        <w:t>εσκε</w:t>
      </w:r>
      <w:proofErr w:type="spellEnd"/>
      <w:r w:rsidRPr="00F529AD">
        <w:rPr>
          <w:rFonts w:eastAsia="Times New Roman" w:cs="Times New Roman"/>
          <w:sz w:val="18"/>
          <w:szCs w:val="18"/>
        </w:rPr>
        <w:t xml:space="preserve"> </w:t>
      </w:r>
      <w:proofErr w:type="spellStart"/>
      <w:r w:rsidRPr="00F529AD">
        <w:rPr>
          <w:rFonts w:eastAsia="Times New Roman" w:cs="Times New Roman"/>
          <w:sz w:val="18"/>
          <w:szCs w:val="18"/>
        </w:rPr>
        <w:t>δὲ</w:t>
      </w:r>
      <w:proofErr w:type="spellEnd"/>
      <w:r w:rsidRPr="00F529AD">
        <w:rPr>
          <w:rFonts w:eastAsia="Times New Roman" w:cs="Times New Roman"/>
          <w:sz w:val="18"/>
          <w:szCs w:val="18"/>
        </w:rPr>
        <w:t xml:space="preserve"> </w:t>
      </w:r>
      <w:proofErr w:type="spellStart"/>
      <w:r w:rsidRPr="00F529AD">
        <w:rPr>
          <w:rFonts w:eastAsia="Times New Roman" w:cs="Times New Roman"/>
          <w:sz w:val="18"/>
          <w:szCs w:val="18"/>
        </w:rPr>
        <w:t>πάντ</w:t>
      </w:r>
      <w:proofErr w:type="spellEnd"/>
      <w:r w:rsidRPr="00F529AD">
        <w:rPr>
          <w:rFonts w:eastAsia="Times New Roman" w:cs="Times New Roman"/>
          <w:sz w:val="18"/>
          <w:szCs w:val="18"/>
        </w:rPr>
        <w:t xml:space="preserve">’ </w:t>
      </w:r>
      <w:proofErr w:type="spellStart"/>
      <w:r w:rsidRPr="00F529AD">
        <w:rPr>
          <w:rFonts w:eastAsia="Times New Roman" w:cs="Times New Roman"/>
          <w:sz w:val="18"/>
          <w:szCs w:val="18"/>
        </w:rPr>
        <w:t>ἀπὸ</w:t>
      </w:r>
      <w:proofErr w:type="spellEnd"/>
      <w:r w:rsidRPr="00F529AD">
        <w:rPr>
          <w:rFonts w:eastAsia="Times New Roman" w:cs="Times New Roman"/>
          <w:sz w:val="18"/>
          <w:szCs w:val="18"/>
        </w:rPr>
        <w:t xml:space="preserve"> </w:t>
      </w:r>
      <w:proofErr w:type="spellStart"/>
      <w:r w:rsidRPr="00F529AD">
        <w:rPr>
          <w:rFonts w:eastAsia="Times New Roman" w:cs="Times New Roman"/>
          <w:sz w:val="18"/>
          <w:szCs w:val="18"/>
        </w:rPr>
        <w:t>τοῖο</w:t>
      </w:r>
      <w:proofErr w:type="spellEnd"/>
      <w:r w:rsidRPr="00F529AD">
        <w:rPr>
          <w:rFonts w:eastAsia="Times New Roman" w:cs="Times New Roman"/>
          <w:sz w:val="18"/>
          <w:szCs w:val="18"/>
        </w:rPr>
        <w:t>,</w:t>
      </w:r>
      <w:r w:rsidR="00016BA5">
        <w:rPr>
          <w:rFonts w:eastAsia="Times New Roman" w:cs="Times New Roman"/>
          <w:sz w:val="18"/>
          <w:szCs w:val="18"/>
        </w:rPr>
        <w:t xml:space="preserve"> / </w:t>
      </w:r>
      <w:proofErr w:type="spellStart"/>
      <w:r w:rsidRPr="00F529AD">
        <w:rPr>
          <w:rFonts w:eastAsia="Times New Roman"/>
          <w:sz w:val="18"/>
          <w:szCs w:val="18"/>
        </w:rPr>
        <w:t>τ̣ρ̣ύ̣χ̣ε̣σ̣κεν</w:t>
      </w:r>
      <w:proofErr w:type="spellEnd"/>
      <w:r w:rsidRPr="00F529AD">
        <w:rPr>
          <w:rFonts w:eastAsia="Times New Roman"/>
          <w:sz w:val="18"/>
          <w:szCs w:val="18"/>
        </w:rPr>
        <w:t xml:space="preserve"> </w:t>
      </w:r>
      <w:proofErr w:type="spellStart"/>
      <w:r w:rsidRPr="00F529AD">
        <w:rPr>
          <w:rFonts w:eastAsia="Times New Roman"/>
          <w:sz w:val="18"/>
          <w:szCs w:val="18"/>
        </w:rPr>
        <w:t>δὲ</w:t>
      </w:r>
      <w:proofErr w:type="spellEnd"/>
      <w:r w:rsidRPr="00F529AD">
        <w:rPr>
          <w:rFonts w:eastAsia="Times New Roman"/>
          <w:sz w:val="18"/>
          <w:szCs w:val="18"/>
        </w:rPr>
        <w:t xml:space="preserve"> </w:t>
      </w:r>
      <w:proofErr w:type="spellStart"/>
      <w:r w:rsidRPr="00F529AD">
        <w:rPr>
          <w:rFonts w:eastAsia="Times New Roman"/>
          <w:sz w:val="18"/>
          <w:szCs w:val="18"/>
        </w:rPr>
        <w:t>μένος</w:t>
      </w:r>
      <w:proofErr w:type="spellEnd"/>
      <w:r w:rsidRPr="00F529AD">
        <w:rPr>
          <w:rFonts w:eastAsia="Times New Roman"/>
          <w:sz w:val="18"/>
          <w:szCs w:val="18"/>
        </w:rPr>
        <w:t xml:space="preserve"> </w:t>
      </w:r>
      <w:proofErr w:type="spellStart"/>
      <w:r w:rsidRPr="00F529AD">
        <w:rPr>
          <w:rFonts w:eastAsia="Times New Roman"/>
          <w:sz w:val="18"/>
          <w:szCs w:val="18"/>
        </w:rPr>
        <w:t>βρότεον</w:t>
      </w:r>
      <w:proofErr w:type="spellEnd"/>
      <w:r w:rsidRPr="00F529AD">
        <w:rPr>
          <w:rFonts w:eastAsia="Times New Roman"/>
          <w:sz w:val="18"/>
          <w:szCs w:val="18"/>
        </w:rPr>
        <w:t xml:space="preserve">, </w:t>
      </w:r>
      <w:proofErr w:type="spellStart"/>
      <w:r w:rsidRPr="00F529AD">
        <w:rPr>
          <w:rFonts w:eastAsia="Times New Roman"/>
          <w:sz w:val="18"/>
          <w:szCs w:val="18"/>
        </w:rPr>
        <w:t>μινύθεσκε</w:t>
      </w:r>
      <w:proofErr w:type="spellEnd"/>
      <w:r w:rsidRPr="00F529AD">
        <w:rPr>
          <w:rFonts w:eastAsia="Times New Roman"/>
          <w:sz w:val="18"/>
          <w:szCs w:val="18"/>
        </w:rPr>
        <w:t xml:space="preserve"> </w:t>
      </w:r>
      <w:proofErr w:type="spellStart"/>
      <w:r w:rsidRPr="00F529AD">
        <w:rPr>
          <w:rFonts w:eastAsia="Times New Roman"/>
          <w:sz w:val="18"/>
          <w:szCs w:val="18"/>
        </w:rPr>
        <w:t>δὲ</w:t>
      </w:r>
      <w:proofErr w:type="spellEnd"/>
      <w:r w:rsidRPr="00F529AD">
        <w:rPr>
          <w:rFonts w:eastAsia="Times New Roman"/>
          <w:sz w:val="18"/>
          <w:szCs w:val="18"/>
        </w:rPr>
        <w:t xml:space="preserve"> </w:t>
      </w:r>
      <w:proofErr w:type="spellStart"/>
      <w:r w:rsidRPr="00F529AD">
        <w:rPr>
          <w:rFonts w:eastAsia="Times New Roman"/>
          <w:sz w:val="18"/>
          <w:szCs w:val="18"/>
        </w:rPr>
        <w:t>καρπός</w:t>
      </w:r>
      <w:proofErr w:type="spellEnd"/>
    </w:p>
  </w:footnote>
  <w:footnote w:id="44">
    <w:p w:rsidR="00295974" w:rsidRPr="00022A72" w:rsidRDefault="00295974" w:rsidP="00BC6A5E">
      <w:pPr>
        <w:pStyle w:val="FootnoteText"/>
        <w:widowControl w:val="0"/>
        <w:spacing w:line="480" w:lineRule="auto"/>
        <w:ind w:left="-283" w:hanging="680"/>
        <w:rPr>
          <w:rFonts w:cs="David"/>
          <w:sz w:val="18"/>
          <w:rtl/>
        </w:rPr>
      </w:pPr>
      <w:r w:rsidRPr="00022A72">
        <w:rPr>
          <w:rFonts w:cs="David"/>
          <w:sz w:val="18"/>
        </w:rPr>
        <w:t xml:space="preserve"> </w:t>
      </w:r>
      <w:r w:rsidRPr="00022A72">
        <w:rPr>
          <w:rStyle w:val="FootnoteReference"/>
          <w:rFonts w:cs="David"/>
          <w:sz w:val="18"/>
        </w:rPr>
        <w:footnoteRef/>
      </w:r>
      <w:r>
        <w:rPr>
          <w:rFonts w:cs="David"/>
          <w:sz w:val="18"/>
          <w:rtl/>
        </w:rPr>
        <w:tab/>
      </w:r>
      <w:r w:rsidRPr="00022A72">
        <w:rPr>
          <w:rFonts w:cs="David" w:hint="cs"/>
          <w:sz w:val="18"/>
          <w:rtl/>
        </w:rPr>
        <w:t xml:space="preserve">וסט </w:t>
      </w:r>
      <w:r w:rsidRPr="00022A72">
        <w:rPr>
          <w:rFonts w:cs="David" w:hint="cs"/>
          <w:sz w:val="18"/>
          <w:rtl/>
        </w:rPr>
        <w:t>1961,</w:t>
      </w:r>
      <w:r>
        <w:rPr>
          <w:rFonts w:cs="David" w:hint="cs"/>
          <w:sz w:val="18"/>
          <w:rtl/>
        </w:rPr>
        <w:t xml:space="preserve"> עמ'</w:t>
      </w:r>
      <w:r w:rsidRPr="00022A72">
        <w:rPr>
          <w:rFonts w:cs="David" w:hint="cs"/>
          <w:sz w:val="18"/>
          <w:rtl/>
        </w:rPr>
        <w:t xml:space="preserve"> 133; הירשברגר 2004,</w:t>
      </w:r>
      <w:r>
        <w:rPr>
          <w:rFonts w:cs="David" w:hint="cs"/>
          <w:sz w:val="18"/>
          <w:rtl/>
        </w:rPr>
        <w:t xml:space="preserve"> עמ'</w:t>
      </w:r>
      <w:r w:rsidRPr="00022A72">
        <w:rPr>
          <w:rFonts w:cs="David" w:hint="cs"/>
          <w:sz w:val="18"/>
          <w:rtl/>
        </w:rPr>
        <w:t xml:space="preserve"> 420</w:t>
      </w:r>
      <w:r w:rsidRPr="00022A72">
        <w:rPr>
          <w:rFonts w:cs="David" w:hint="eastAsia"/>
          <w:sz w:val="18"/>
          <w:rtl/>
        </w:rPr>
        <w:t>–</w:t>
      </w:r>
      <w:r w:rsidRPr="00022A72">
        <w:rPr>
          <w:rFonts w:cs="David" w:hint="cs"/>
          <w:sz w:val="18"/>
          <w:rtl/>
        </w:rPr>
        <w:t>421, סברו כי מדובר כאן ברמז להפסקת תקופת אביב תמידי עם סיום דור הגיבורים. אך לדעת מוסט 2008,</w:t>
      </w:r>
      <w:r>
        <w:rPr>
          <w:rFonts w:cs="David" w:hint="cs"/>
          <w:sz w:val="18"/>
          <w:rtl/>
        </w:rPr>
        <w:t xml:space="preserve"> עמ'</w:t>
      </w:r>
      <w:r w:rsidRPr="00022A72">
        <w:rPr>
          <w:rFonts w:cs="David" w:hint="cs"/>
          <w:sz w:val="18"/>
          <w:rtl/>
        </w:rPr>
        <w:t xml:space="preserve"> 58</w:t>
      </w:r>
      <w:r w:rsidRPr="00022A72">
        <w:rPr>
          <w:rFonts w:cs="David" w:hint="eastAsia"/>
          <w:sz w:val="18"/>
          <w:rtl/>
        </w:rPr>
        <w:t>–</w:t>
      </w:r>
      <w:r w:rsidRPr="00022A72">
        <w:rPr>
          <w:rFonts w:cs="David" w:hint="cs"/>
          <w:sz w:val="18"/>
          <w:rtl/>
        </w:rPr>
        <w:t>61, מדובר בסערת רעמים פתאומית ביום אביב, המסמלת את ההחלטה הקשה של זאוס. השוו בורגס 2001,</w:t>
      </w:r>
      <w:r>
        <w:rPr>
          <w:rFonts w:cs="David" w:hint="cs"/>
          <w:sz w:val="18"/>
          <w:rtl/>
        </w:rPr>
        <w:t xml:space="preserve"> עמ'</w:t>
      </w:r>
      <w:r w:rsidRPr="00022A72">
        <w:rPr>
          <w:rFonts w:cs="David" w:hint="cs"/>
          <w:sz w:val="18"/>
          <w:rtl/>
        </w:rPr>
        <w:t xml:space="preserve"> 117</w:t>
      </w:r>
      <w:r w:rsidRPr="00022A72">
        <w:rPr>
          <w:rFonts w:cs="David" w:hint="eastAsia"/>
          <w:sz w:val="18"/>
          <w:rtl/>
        </w:rPr>
        <w:t>–</w:t>
      </w:r>
      <w:r w:rsidRPr="00022A72">
        <w:rPr>
          <w:rFonts w:cs="David" w:hint="cs"/>
          <w:sz w:val="18"/>
          <w:rtl/>
        </w:rPr>
        <w:t>126.</w:t>
      </w:r>
    </w:p>
  </w:footnote>
  <w:footnote w:id="45">
    <w:p w:rsidR="00295974" w:rsidRPr="00022A72" w:rsidRDefault="00295974" w:rsidP="00B24E41">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hint="cs"/>
          <w:sz w:val="18"/>
          <w:rtl/>
        </w:rPr>
        <w:t xml:space="preserve"> </w:t>
      </w:r>
      <w:r>
        <w:rPr>
          <w:rFonts w:cs="David"/>
          <w:sz w:val="18"/>
          <w:rtl/>
        </w:rPr>
        <w:tab/>
      </w:r>
      <w:r w:rsidRPr="00022A72">
        <w:rPr>
          <w:rFonts w:cs="David" w:hint="cs"/>
          <w:sz w:val="18"/>
          <w:rtl/>
        </w:rPr>
        <w:t xml:space="preserve">בעקבות ספרות בית שני המציגה את בני האלוהים כמלאכים שסרחו או מרדו בה'. </w:t>
      </w:r>
      <w:r w:rsidRPr="00022A72">
        <w:rPr>
          <w:rFonts w:cs="David" w:hint="cs"/>
          <w:sz w:val="18"/>
          <w:rtl/>
        </w:rPr>
        <w:t>ראו למשל בן סירא טז 7; ספר ברוך ג 26; חנוך א' ו–יא; יובלים ה 1–5; מקבים ג ב 4. ולמעשה קדם להם במידה מסוימת כבר תרגום השבעים</w:t>
      </w:r>
      <w:r>
        <w:rPr>
          <w:rFonts w:cs="David" w:hint="cs"/>
          <w:sz w:val="18"/>
          <w:rtl/>
        </w:rPr>
        <w:t>, שתרגם את המ</w:t>
      </w:r>
      <w:r w:rsidRPr="00022A72">
        <w:rPr>
          <w:rFonts w:cs="David" w:hint="cs"/>
          <w:sz w:val="18"/>
          <w:rtl/>
        </w:rPr>
        <w:t>לה '</w:t>
      </w:r>
      <w:r w:rsidRPr="00022A72">
        <w:rPr>
          <w:rFonts w:cs="David"/>
          <w:sz w:val="18"/>
          <w:rtl/>
        </w:rPr>
        <w:t>הַנְּפִלִים</w:t>
      </w:r>
      <w:r w:rsidRPr="00022A72">
        <w:rPr>
          <w:rFonts w:cs="David" w:hint="cs"/>
          <w:sz w:val="18"/>
          <w:rtl/>
        </w:rPr>
        <w:t xml:space="preserve">' (בר' ו 4) במלה היוונית </w:t>
      </w:r>
      <w:proofErr w:type="spellStart"/>
      <w:r w:rsidRPr="00022A72">
        <w:rPr>
          <w:rStyle w:val="txt"/>
          <w:rFonts w:cs="David"/>
          <w:sz w:val="18"/>
        </w:rPr>
        <w:t>γίγαντες</w:t>
      </w:r>
      <w:proofErr w:type="spellEnd"/>
      <w:r w:rsidRPr="00022A72">
        <w:rPr>
          <w:rStyle w:val="txt"/>
          <w:rFonts w:cs="David" w:hint="cs"/>
          <w:sz w:val="18"/>
          <w:rtl/>
        </w:rPr>
        <w:t xml:space="preserve"> </w:t>
      </w:r>
      <w:r w:rsidRPr="00022A72">
        <w:rPr>
          <w:rFonts w:cs="David" w:hint="cs"/>
          <w:sz w:val="18"/>
          <w:rtl/>
        </w:rPr>
        <w:t>על משמעויותיה. ראו למשל בלנקינסופ 2011,</w:t>
      </w:r>
      <w:r>
        <w:rPr>
          <w:rFonts w:cs="David" w:hint="cs"/>
          <w:sz w:val="18"/>
          <w:rtl/>
        </w:rPr>
        <w:t xml:space="preserve"> עמ'</w:t>
      </w:r>
      <w:r w:rsidRPr="00022A72">
        <w:rPr>
          <w:rFonts w:cs="David" w:hint="cs"/>
          <w:sz w:val="18"/>
          <w:rtl/>
        </w:rPr>
        <w:t xml:space="preserve"> 121–127. על פיתוחה של מסורת זו בספרות הבית השני ראו למשל שטוקנברוק 2004; ורייט 2005, והספרות הנזכרת אצלם.</w:t>
      </w:r>
    </w:p>
  </w:footnote>
  <w:footnote w:id="46">
    <w:p w:rsidR="00295974" w:rsidRPr="00022A72" w:rsidRDefault="00295974" w:rsidP="008E51CA">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 xml:space="preserve">ראו </w:t>
      </w:r>
      <w:r w:rsidRPr="00022A72">
        <w:rPr>
          <w:rFonts w:cs="David" w:hint="cs"/>
          <w:sz w:val="18"/>
          <w:rtl/>
        </w:rPr>
        <w:t xml:space="preserve">למשל </w:t>
      </w:r>
      <w:r w:rsidRPr="003B51CD">
        <w:rPr>
          <w:rFonts w:cs="David" w:hint="cs"/>
          <w:sz w:val="18"/>
          <w:rtl/>
        </w:rPr>
        <w:t xml:space="preserve">צימרלי </w:t>
      </w:r>
      <w:r w:rsidR="008E51CA" w:rsidRPr="003B51CD">
        <w:rPr>
          <w:rFonts w:cs="David" w:hint="cs"/>
          <w:sz w:val="18"/>
          <w:rtl/>
        </w:rPr>
        <w:t>1969</w:t>
      </w:r>
      <w:r w:rsidR="004B201B" w:rsidRPr="003B51CD">
        <w:rPr>
          <w:rFonts w:cs="David" w:hint="cs"/>
          <w:sz w:val="18"/>
          <w:rtl/>
        </w:rPr>
        <w:t>, עמ'</w:t>
      </w:r>
      <w:r w:rsidRPr="00022A72">
        <w:rPr>
          <w:rFonts w:cs="David" w:hint="cs"/>
          <w:sz w:val="18"/>
          <w:rtl/>
        </w:rPr>
        <w:t xml:space="preserve"> 168, 176; בלוק 1998,</w:t>
      </w:r>
      <w:r>
        <w:rPr>
          <w:rFonts w:cs="David" w:hint="cs"/>
          <w:sz w:val="18"/>
          <w:rtl/>
        </w:rPr>
        <w:t xml:space="preserve"> עמ'</w:t>
      </w:r>
      <w:r w:rsidRPr="00022A72">
        <w:rPr>
          <w:rFonts w:cs="David" w:hint="cs"/>
          <w:sz w:val="18"/>
          <w:rtl/>
        </w:rPr>
        <w:t xml:space="preserve"> 227</w:t>
      </w:r>
      <w:r w:rsidRPr="00022A72">
        <w:rPr>
          <w:rFonts w:cs="David" w:hint="eastAsia"/>
          <w:sz w:val="18"/>
          <w:rtl/>
        </w:rPr>
        <w:t>–</w:t>
      </w:r>
      <w:r w:rsidRPr="00022A72">
        <w:rPr>
          <w:rFonts w:cs="David" w:hint="cs"/>
          <w:sz w:val="18"/>
          <w:rtl/>
        </w:rPr>
        <w:t xml:space="preserve">229. אפשר שביטוי קרוב נזכר במקום נוסף ביחזקאל; כבר קורניל ורבים בעקבותיו הציעו לתקן את </w:t>
      </w:r>
      <w:r>
        <w:rPr>
          <w:rFonts w:cs="David" w:hint="cs"/>
          <w:sz w:val="18"/>
          <w:rtl/>
        </w:rPr>
        <w:t>"</w:t>
      </w:r>
      <w:r w:rsidRPr="00022A72">
        <w:rPr>
          <w:rFonts w:cs="David"/>
          <w:sz w:val="18"/>
          <w:rtl/>
        </w:rPr>
        <w:t>וְלֹא יִשְׁכְּבוּ אֶת-גִּבּוֹרִים נֹפְלִים מֵעֲרֵלִים</w:t>
      </w:r>
      <w:r>
        <w:rPr>
          <w:rFonts w:cs="David" w:hint="cs"/>
          <w:sz w:val="18"/>
          <w:rtl/>
        </w:rPr>
        <w:t>"</w:t>
      </w:r>
      <w:r w:rsidRPr="00022A72">
        <w:rPr>
          <w:rFonts w:cs="David" w:hint="cs"/>
          <w:sz w:val="18"/>
          <w:rtl/>
        </w:rPr>
        <w:t xml:space="preserve"> ביח' לב 27 למעין </w:t>
      </w:r>
      <w:r w:rsidR="004B201B">
        <w:rPr>
          <w:rFonts w:cs="David" w:hint="cs"/>
          <w:sz w:val="18"/>
          <w:rtl/>
        </w:rPr>
        <w:t>"גבורים נְפִלים מעולם"</w:t>
      </w:r>
      <w:r w:rsidRPr="00022A72">
        <w:rPr>
          <w:rFonts w:cs="David" w:hint="cs"/>
          <w:sz w:val="18"/>
          <w:rtl/>
        </w:rPr>
        <w:t>. ראו קורניל 1886,</w:t>
      </w:r>
      <w:r>
        <w:rPr>
          <w:rFonts w:cs="David" w:hint="cs"/>
          <w:sz w:val="18"/>
          <w:rtl/>
        </w:rPr>
        <w:t xml:space="preserve"> עמ'</w:t>
      </w:r>
      <w:r w:rsidRPr="00022A72">
        <w:rPr>
          <w:rFonts w:cs="David" w:hint="cs"/>
          <w:sz w:val="18"/>
          <w:rtl/>
        </w:rPr>
        <w:t xml:space="preserve"> 390. הכתוב ביש' מד 7 אינו רלוונטי לענייננו.</w:t>
      </w:r>
    </w:p>
  </w:footnote>
  <w:footnote w:id="47">
    <w:p w:rsidR="00295974" w:rsidRPr="00022A72" w:rsidRDefault="00295974" w:rsidP="00BC6A5E">
      <w:pPr>
        <w:pStyle w:val="FootnoteText"/>
        <w:widowControl w:val="0"/>
        <w:spacing w:line="480" w:lineRule="auto"/>
        <w:ind w:left="-283" w:hanging="680"/>
        <w:rPr>
          <w:rFonts w:cs="David"/>
          <w:sz w:val="18"/>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 xml:space="preserve">קריילינג </w:t>
      </w:r>
      <w:r w:rsidRPr="00022A72">
        <w:rPr>
          <w:rFonts w:cs="David" w:hint="cs"/>
          <w:sz w:val="18"/>
          <w:rtl/>
        </w:rPr>
        <w:t>1947,</w:t>
      </w:r>
      <w:r>
        <w:rPr>
          <w:rFonts w:cs="David" w:hint="cs"/>
          <w:sz w:val="18"/>
          <w:rtl/>
        </w:rPr>
        <w:t xml:space="preserve"> עמ'</w:t>
      </w:r>
      <w:r w:rsidRPr="00022A72">
        <w:rPr>
          <w:rFonts w:cs="David" w:hint="cs"/>
          <w:sz w:val="18"/>
          <w:rtl/>
        </w:rPr>
        <w:t xml:space="preserve"> 196. ביח' לא 15–16 מתואר עונש הפוך לארז אשר בלבנון.</w:t>
      </w:r>
    </w:p>
  </w:footnote>
  <w:footnote w:id="48">
    <w:p w:rsidR="00295974" w:rsidRPr="00022A72" w:rsidRDefault="00295974" w:rsidP="004B201B">
      <w:pPr>
        <w:widowControl w:val="0"/>
        <w:spacing w:line="480" w:lineRule="auto"/>
        <w:ind w:left="-283" w:hanging="680"/>
        <w:rPr>
          <w:sz w:val="18"/>
          <w:szCs w:val="20"/>
          <w:rtl/>
        </w:rPr>
      </w:pPr>
      <w:r w:rsidRPr="00022A72">
        <w:rPr>
          <w:rStyle w:val="FootnoteReference"/>
          <w:sz w:val="18"/>
          <w:szCs w:val="20"/>
        </w:rPr>
        <w:footnoteRef/>
      </w:r>
      <w:r w:rsidRPr="00022A72">
        <w:rPr>
          <w:sz w:val="18"/>
          <w:szCs w:val="20"/>
          <w:rtl/>
        </w:rPr>
        <w:t xml:space="preserve"> </w:t>
      </w:r>
      <w:r>
        <w:rPr>
          <w:sz w:val="18"/>
          <w:szCs w:val="20"/>
          <w:rtl/>
        </w:rPr>
        <w:tab/>
      </w:r>
      <w:r w:rsidRPr="00022A72">
        <w:rPr>
          <w:rFonts w:hint="cs"/>
          <w:sz w:val="18"/>
          <w:szCs w:val="20"/>
          <w:rtl/>
        </w:rPr>
        <w:t xml:space="preserve">על הפסוק </w:t>
      </w:r>
      <w:r w:rsidRPr="00022A72">
        <w:rPr>
          <w:rFonts w:hint="cs"/>
          <w:sz w:val="18"/>
          <w:szCs w:val="20"/>
          <w:rtl/>
        </w:rPr>
        <w:t>ראו למשל דרייבר וגריי 1921,</w:t>
      </w:r>
      <w:r>
        <w:rPr>
          <w:rFonts w:hint="cs"/>
          <w:sz w:val="18"/>
          <w:szCs w:val="20"/>
          <w:rtl/>
        </w:rPr>
        <w:t xml:space="preserve"> עמ'</w:t>
      </w:r>
      <w:r w:rsidRPr="00022A72">
        <w:rPr>
          <w:rFonts w:hint="cs"/>
          <w:sz w:val="18"/>
          <w:szCs w:val="20"/>
          <w:rtl/>
        </w:rPr>
        <w:t xml:space="preserve"> 218</w:t>
      </w:r>
      <w:r w:rsidRPr="00022A72">
        <w:rPr>
          <w:rFonts w:hint="eastAsia"/>
          <w:sz w:val="18"/>
          <w:szCs w:val="20"/>
          <w:rtl/>
        </w:rPr>
        <w:t>–</w:t>
      </w:r>
      <w:r w:rsidRPr="00022A72">
        <w:rPr>
          <w:rFonts w:hint="cs"/>
          <w:sz w:val="18"/>
          <w:szCs w:val="20"/>
          <w:rtl/>
        </w:rPr>
        <w:t>219; טור-סיני תש"א,</w:t>
      </w:r>
      <w:r>
        <w:rPr>
          <w:rFonts w:hint="cs"/>
          <w:sz w:val="18"/>
          <w:szCs w:val="20"/>
          <w:rtl/>
        </w:rPr>
        <w:t xml:space="preserve"> עמ'</w:t>
      </w:r>
      <w:r w:rsidRPr="00022A72">
        <w:rPr>
          <w:rFonts w:hint="cs"/>
          <w:sz w:val="18"/>
          <w:szCs w:val="20"/>
          <w:rtl/>
        </w:rPr>
        <w:t xml:space="preserve"> 311; דורמה 1984,</w:t>
      </w:r>
      <w:r>
        <w:rPr>
          <w:rFonts w:hint="cs"/>
          <w:sz w:val="18"/>
          <w:szCs w:val="20"/>
          <w:rtl/>
        </w:rPr>
        <w:t xml:space="preserve"> עמ'</w:t>
      </w:r>
      <w:r w:rsidRPr="00022A72">
        <w:rPr>
          <w:rFonts w:hint="cs"/>
          <w:sz w:val="18"/>
          <w:szCs w:val="20"/>
          <w:rtl/>
        </w:rPr>
        <w:t xml:space="preserve"> 370</w:t>
      </w:r>
      <w:r w:rsidRPr="00022A72">
        <w:rPr>
          <w:rFonts w:hint="eastAsia"/>
          <w:sz w:val="18"/>
          <w:szCs w:val="20"/>
          <w:rtl/>
        </w:rPr>
        <w:t>–</w:t>
      </w:r>
      <w:r w:rsidRPr="00022A72">
        <w:rPr>
          <w:rFonts w:hint="cs"/>
          <w:sz w:val="18"/>
          <w:szCs w:val="20"/>
          <w:rtl/>
        </w:rPr>
        <w:t>371; הרטלי 1988,</w:t>
      </w:r>
      <w:r>
        <w:rPr>
          <w:rFonts w:hint="cs"/>
          <w:sz w:val="18"/>
          <w:szCs w:val="20"/>
          <w:rtl/>
        </w:rPr>
        <w:t xml:space="preserve"> עמ'</w:t>
      </w:r>
      <w:r w:rsidRPr="00022A72">
        <w:rPr>
          <w:rFonts w:hint="cs"/>
          <w:sz w:val="18"/>
          <w:szCs w:val="20"/>
          <w:rtl/>
        </w:rPr>
        <w:t xml:space="preserve"> 365. ראו גם גרינשטיין תשע"א,</w:t>
      </w:r>
      <w:r>
        <w:rPr>
          <w:rFonts w:hint="cs"/>
          <w:sz w:val="18"/>
          <w:szCs w:val="20"/>
          <w:rtl/>
        </w:rPr>
        <w:t xml:space="preserve"> עמ'</w:t>
      </w:r>
      <w:r w:rsidRPr="00022A72">
        <w:rPr>
          <w:rFonts w:hint="cs"/>
          <w:sz w:val="18"/>
          <w:szCs w:val="20"/>
          <w:rtl/>
        </w:rPr>
        <w:t xml:space="preserve"> 508 הע</w:t>
      </w:r>
      <w:r>
        <w:rPr>
          <w:rFonts w:hint="cs"/>
          <w:sz w:val="18"/>
          <w:szCs w:val="20"/>
          <w:rtl/>
        </w:rPr>
        <w:t>רה</w:t>
      </w:r>
      <w:r w:rsidRPr="00022A72">
        <w:rPr>
          <w:rFonts w:hint="cs"/>
          <w:sz w:val="18"/>
          <w:szCs w:val="20"/>
          <w:rtl/>
        </w:rPr>
        <w:t xml:space="preserve"> 77. גם אם נקבל את הצעת התי</w:t>
      </w:r>
      <w:r>
        <w:rPr>
          <w:rFonts w:hint="cs"/>
          <w:sz w:val="18"/>
          <w:szCs w:val="20"/>
          <w:rtl/>
        </w:rPr>
        <w:t>קון המשכנעת, להוסיף לפסוק את המ</w:t>
      </w:r>
      <w:r w:rsidRPr="00022A72">
        <w:rPr>
          <w:rFonts w:hint="cs"/>
          <w:sz w:val="18"/>
          <w:szCs w:val="20"/>
          <w:rtl/>
        </w:rPr>
        <w:t>לה 'יֵחַתוּ' אחרי '</w:t>
      </w:r>
      <w:r w:rsidRPr="00022A72">
        <w:rPr>
          <w:sz w:val="18"/>
          <w:szCs w:val="20"/>
          <w:rtl/>
        </w:rPr>
        <w:t>מִתּ</w:t>
      </w:r>
      <w:r w:rsidRPr="00022A72">
        <w:rPr>
          <w:rFonts w:hint="cs"/>
          <w:sz w:val="18"/>
          <w:szCs w:val="20"/>
          <w:rtl/>
        </w:rPr>
        <w:t>ָ</w:t>
      </w:r>
      <w:r w:rsidRPr="00022A72">
        <w:rPr>
          <w:sz w:val="18"/>
          <w:szCs w:val="20"/>
          <w:rtl/>
        </w:rPr>
        <w:t>חַת</w:t>
      </w:r>
      <w:r w:rsidRPr="00022A72">
        <w:rPr>
          <w:rFonts w:hint="cs"/>
          <w:sz w:val="18"/>
          <w:szCs w:val="20"/>
          <w:rtl/>
        </w:rPr>
        <w:t xml:space="preserve">' ולגרוס מעין: </w:t>
      </w:r>
      <w:r w:rsidR="004B201B">
        <w:rPr>
          <w:rFonts w:hint="cs"/>
          <w:sz w:val="18"/>
          <w:szCs w:val="20"/>
          <w:rtl/>
        </w:rPr>
        <w:t>"</w:t>
      </w:r>
      <w:r w:rsidRPr="00022A72">
        <w:rPr>
          <w:sz w:val="18"/>
          <w:szCs w:val="20"/>
          <w:rtl/>
        </w:rPr>
        <w:t>הָרְפָאִים יְחוֹלָלוּ</w:t>
      </w:r>
      <w:r w:rsidRPr="00022A72">
        <w:rPr>
          <w:rFonts w:hint="cs"/>
          <w:sz w:val="18"/>
          <w:szCs w:val="20"/>
          <w:rtl/>
        </w:rPr>
        <w:t xml:space="preserve"> </w:t>
      </w:r>
      <w:r w:rsidRPr="00022A72">
        <w:rPr>
          <w:sz w:val="18"/>
          <w:szCs w:val="20"/>
          <w:rtl/>
        </w:rPr>
        <w:t>מִתּ</w:t>
      </w:r>
      <w:r w:rsidRPr="00022A72">
        <w:rPr>
          <w:rFonts w:hint="cs"/>
          <w:sz w:val="18"/>
          <w:szCs w:val="20"/>
          <w:rtl/>
        </w:rPr>
        <w:t>ָ</w:t>
      </w:r>
      <w:r w:rsidRPr="00022A72">
        <w:rPr>
          <w:sz w:val="18"/>
          <w:szCs w:val="20"/>
          <w:rtl/>
        </w:rPr>
        <w:t>חַת</w:t>
      </w:r>
      <w:r w:rsidRPr="00022A72">
        <w:rPr>
          <w:rFonts w:hint="cs"/>
          <w:sz w:val="18"/>
          <w:szCs w:val="20"/>
          <w:rtl/>
        </w:rPr>
        <w:t xml:space="preserve">+יֵחַתוּ+ </w:t>
      </w:r>
      <w:r w:rsidRPr="00022A72">
        <w:rPr>
          <w:sz w:val="18"/>
          <w:szCs w:val="20"/>
          <w:rtl/>
        </w:rPr>
        <w:t>מַיִם וְשֹׁכְנֵיהֶ</w:t>
      </w:r>
      <w:r w:rsidRPr="00022A72">
        <w:rPr>
          <w:rFonts w:hint="cs"/>
          <w:sz w:val="18"/>
          <w:szCs w:val="20"/>
          <w:rtl/>
        </w:rPr>
        <w:t>ם</w:t>
      </w:r>
      <w:r w:rsidR="004B201B">
        <w:rPr>
          <w:rFonts w:hint="cs"/>
          <w:sz w:val="18"/>
          <w:szCs w:val="20"/>
          <w:rtl/>
        </w:rPr>
        <w:t>"</w:t>
      </w:r>
      <w:r>
        <w:rPr>
          <w:rFonts w:hint="cs"/>
          <w:sz w:val="18"/>
          <w:szCs w:val="20"/>
          <w:rtl/>
        </w:rPr>
        <w:t>,</w:t>
      </w:r>
      <w:r w:rsidRPr="00022A72">
        <w:rPr>
          <w:rFonts w:hint="cs"/>
          <w:sz w:val="18"/>
          <w:szCs w:val="20"/>
          <w:rtl/>
        </w:rPr>
        <w:t xml:space="preserve"> עדיין יוזכרו הרפאים כמקבילים לשוכני המים. לתיקון ראו למשל דרייבר וגריי 1921,</w:t>
      </w:r>
      <w:r>
        <w:rPr>
          <w:rFonts w:hint="cs"/>
          <w:sz w:val="18"/>
          <w:szCs w:val="20"/>
          <w:rtl/>
        </w:rPr>
        <w:t xml:space="preserve"> עמ'</w:t>
      </w:r>
      <w:r w:rsidRPr="00022A72">
        <w:rPr>
          <w:rFonts w:hint="cs"/>
          <w:sz w:val="18"/>
          <w:szCs w:val="20"/>
          <w:rtl/>
        </w:rPr>
        <w:t xml:space="preserve"> 218; דורמה 1984,</w:t>
      </w:r>
      <w:r>
        <w:rPr>
          <w:rFonts w:hint="cs"/>
          <w:sz w:val="18"/>
          <w:szCs w:val="20"/>
          <w:rtl/>
        </w:rPr>
        <w:t xml:space="preserve"> עמ'</w:t>
      </w:r>
      <w:r w:rsidRPr="00022A72">
        <w:rPr>
          <w:rFonts w:hint="cs"/>
          <w:sz w:val="18"/>
          <w:szCs w:val="20"/>
          <w:rtl/>
        </w:rPr>
        <w:t xml:space="preserve"> 370</w:t>
      </w:r>
      <w:r w:rsidRPr="00022A72">
        <w:rPr>
          <w:rFonts w:hint="eastAsia"/>
          <w:sz w:val="18"/>
          <w:szCs w:val="20"/>
          <w:rtl/>
        </w:rPr>
        <w:t>–</w:t>
      </w:r>
      <w:r w:rsidRPr="00022A72">
        <w:rPr>
          <w:rFonts w:hint="cs"/>
          <w:sz w:val="18"/>
          <w:szCs w:val="20"/>
          <w:rtl/>
        </w:rPr>
        <w:t>371; קלינס 2006,</w:t>
      </w:r>
      <w:r>
        <w:rPr>
          <w:rFonts w:hint="cs"/>
          <w:sz w:val="18"/>
          <w:szCs w:val="20"/>
          <w:rtl/>
        </w:rPr>
        <w:t xml:space="preserve"> עמ'</w:t>
      </w:r>
      <w:r w:rsidRPr="00022A72">
        <w:rPr>
          <w:rFonts w:hint="cs"/>
          <w:sz w:val="18"/>
          <w:szCs w:val="20"/>
          <w:rtl/>
        </w:rPr>
        <w:t xml:space="preserve"> 622. על משמעות המושג רפאים ראו למשל רולארד 1999,</w:t>
      </w:r>
      <w:r>
        <w:rPr>
          <w:rFonts w:hint="cs"/>
          <w:sz w:val="18"/>
          <w:szCs w:val="20"/>
          <w:rtl/>
        </w:rPr>
        <w:t xml:space="preserve"> עמ'</w:t>
      </w:r>
      <w:r w:rsidRPr="00022A72">
        <w:rPr>
          <w:rFonts w:hint="cs"/>
          <w:sz w:val="18"/>
          <w:szCs w:val="20"/>
          <w:rtl/>
        </w:rPr>
        <w:t xml:space="preserve"> 696; סמית 1992,</w:t>
      </w:r>
      <w:r>
        <w:rPr>
          <w:rFonts w:hint="cs"/>
          <w:sz w:val="18"/>
          <w:szCs w:val="20"/>
          <w:rtl/>
        </w:rPr>
        <w:t xml:space="preserve"> עמ'</w:t>
      </w:r>
      <w:r w:rsidRPr="00022A72">
        <w:rPr>
          <w:rFonts w:hint="cs"/>
          <w:sz w:val="18"/>
          <w:szCs w:val="20"/>
          <w:rtl/>
        </w:rPr>
        <w:t xml:space="preserve"> 674</w:t>
      </w:r>
      <w:r w:rsidRPr="00022A72">
        <w:rPr>
          <w:rFonts w:hint="eastAsia"/>
          <w:sz w:val="18"/>
          <w:szCs w:val="20"/>
          <w:rtl/>
        </w:rPr>
        <w:t>–</w:t>
      </w:r>
      <w:r w:rsidRPr="00022A72">
        <w:rPr>
          <w:rFonts w:hint="cs"/>
          <w:sz w:val="18"/>
          <w:szCs w:val="20"/>
          <w:rtl/>
        </w:rPr>
        <w:t>676</w:t>
      </w:r>
      <w:r>
        <w:rPr>
          <w:rFonts w:hint="cs"/>
          <w:sz w:val="18"/>
          <w:szCs w:val="20"/>
          <w:rtl/>
        </w:rPr>
        <w:t>.</w:t>
      </w:r>
    </w:p>
  </w:footnote>
  <w:footnote w:id="49">
    <w:p w:rsidR="00295974" w:rsidRPr="00022A72" w:rsidRDefault="00295974" w:rsidP="00BC6A5E">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sidRPr="00022A72">
        <w:rPr>
          <w:rFonts w:cs="David"/>
          <w:sz w:val="18"/>
          <w:rtl/>
        </w:rPr>
        <w:tab/>
      </w:r>
      <w:r w:rsidRPr="00022A72">
        <w:rPr>
          <w:rFonts w:cs="David" w:hint="cs"/>
          <w:sz w:val="18"/>
          <w:rtl/>
        </w:rPr>
        <w:t xml:space="preserve">ראו למשל חכמת שלמה יד 6; מקבים ג ב 4. </w:t>
      </w:r>
      <w:r w:rsidRPr="00022A72">
        <w:rPr>
          <w:rFonts w:cs="David" w:hint="cs"/>
          <w:sz w:val="18"/>
          <w:rtl/>
        </w:rPr>
        <w:t>השוו בן סירא טז 7; חנוך א 6</w:t>
      </w:r>
      <w:r w:rsidRPr="00022A72">
        <w:rPr>
          <w:rFonts w:cs="David" w:hint="eastAsia"/>
          <w:sz w:val="18"/>
          <w:rtl/>
        </w:rPr>
        <w:t>–11</w:t>
      </w:r>
      <w:r w:rsidRPr="00022A72">
        <w:rPr>
          <w:rFonts w:cs="David" w:hint="cs"/>
          <w:sz w:val="18"/>
          <w:rtl/>
        </w:rPr>
        <w:t>; יובלים ה 1–5. ההתייחסות במסורות אלו למרד או ליהירותם של המלאכים (בני האלוהים) היא כנראה פיתוח מאוחר. אפשר שפיתוח זה התהווה כתוצאה מהשפעה הלניסטית, כ'בומרנג' מסיפורי הגיגנטים היווניים על ספרות בית שני. על מסורות אלו ראו למשל שטוקנברוק 2004,</w:t>
      </w:r>
      <w:r>
        <w:rPr>
          <w:rFonts w:cs="David" w:hint="cs"/>
          <w:sz w:val="18"/>
          <w:rtl/>
        </w:rPr>
        <w:t xml:space="preserve"> עמ'</w:t>
      </w:r>
      <w:r w:rsidRPr="00022A72">
        <w:rPr>
          <w:rFonts w:cs="David" w:hint="cs"/>
          <w:sz w:val="18"/>
          <w:rtl/>
        </w:rPr>
        <w:t xml:space="preserve"> 87</w:t>
      </w:r>
      <w:r w:rsidRPr="00022A72">
        <w:rPr>
          <w:rFonts w:cs="David" w:hint="eastAsia"/>
          <w:sz w:val="18"/>
          <w:rtl/>
        </w:rPr>
        <w:t>–</w:t>
      </w:r>
      <w:r w:rsidRPr="00022A72">
        <w:rPr>
          <w:rFonts w:cs="David" w:hint="cs"/>
          <w:sz w:val="18"/>
          <w:rtl/>
        </w:rPr>
        <w:t>118; ורייט 2005.</w:t>
      </w:r>
    </w:p>
  </w:footnote>
  <w:footnote w:id="50">
    <w:p w:rsidR="00295974" w:rsidRPr="00022A72" w:rsidRDefault="00295974" w:rsidP="00385333">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למסורות על עוג בספרות חז"ל ראו למשל קוסמן 2002,</w:t>
      </w:r>
      <w:r>
        <w:rPr>
          <w:rFonts w:cs="David" w:hint="cs"/>
          <w:sz w:val="18"/>
          <w:rtl/>
        </w:rPr>
        <w:t xml:space="preserve"> עמ'</w:t>
      </w:r>
      <w:r w:rsidRPr="00022A72">
        <w:rPr>
          <w:rFonts w:cs="David" w:hint="cs"/>
          <w:sz w:val="18"/>
          <w:rtl/>
        </w:rPr>
        <w:t xml:space="preserve"> 166</w:t>
      </w:r>
      <w:r w:rsidRPr="00022A72">
        <w:rPr>
          <w:rFonts w:cs="David" w:hint="eastAsia"/>
          <w:sz w:val="18"/>
          <w:rtl/>
        </w:rPr>
        <w:t>–</w:t>
      </w:r>
      <w:r w:rsidRPr="00022A72">
        <w:rPr>
          <w:rFonts w:cs="David" w:hint="cs"/>
          <w:sz w:val="18"/>
          <w:rtl/>
        </w:rPr>
        <w:t>167</w:t>
      </w:r>
      <w:r>
        <w:rPr>
          <w:rFonts w:cs="David" w:hint="cs"/>
          <w:sz w:val="18"/>
          <w:rtl/>
        </w:rPr>
        <w:t>;</w:t>
      </w:r>
      <w:r w:rsidRPr="00022A72">
        <w:rPr>
          <w:rFonts w:cs="David" w:hint="cs"/>
          <w:sz w:val="18"/>
          <w:rtl/>
        </w:rPr>
        <w:t xml:space="preserve"> והפניות נוספות אצל גינצברג תשס"ט</w:t>
      </w:r>
      <w:r>
        <w:rPr>
          <w:rFonts w:cs="David" w:hint="cs"/>
          <w:sz w:val="18"/>
          <w:rtl/>
        </w:rPr>
        <w:t>, עמ'</w:t>
      </w:r>
      <w:r w:rsidRPr="00022A72">
        <w:rPr>
          <w:rFonts w:cs="David" w:hint="cs"/>
          <w:sz w:val="18"/>
          <w:rtl/>
        </w:rPr>
        <w:t xml:space="preserve"> 344 הע</w:t>
      </w:r>
      <w:r>
        <w:rPr>
          <w:rFonts w:cs="David" w:hint="cs"/>
          <w:sz w:val="18"/>
          <w:rtl/>
        </w:rPr>
        <w:t>רה</w:t>
      </w:r>
      <w:r w:rsidRPr="00022A72">
        <w:rPr>
          <w:rFonts w:cs="David" w:hint="cs"/>
          <w:sz w:val="18"/>
          <w:rtl/>
        </w:rPr>
        <w:t xml:space="preserve"> 697. קשה להאמין שהמסורות אצל חז"ל על עוג הושפעו </w:t>
      </w:r>
      <w:r w:rsidRPr="00022A72">
        <w:rPr>
          <w:rFonts w:cs="David" w:hint="cs"/>
          <w:sz w:val="18"/>
          <w:rtl/>
        </w:rPr>
        <w:t xml:space="preserve">מן הדמות היוונית אוגיגוס, שגם הוא כמו דאוקליון זוהה כנראה </w:t>
      </w:r>
      <w:r>
        <w:rPr>
          <w:rFonts w:cs="David" w:hint="cs"/>
          <w:sz w:val="18"/>
          <w:rtl/>
        </w:rPr>
        <w:t xml:space="preserve">עם </w:t>
      </w:r>
      <w:r w:rsidRPr="00022A72">
        <w:rPr>
          <w:rFonts w:cs="David" w:hint="cs"/>
          <w:sz w:val="18"/>
          <w:rtl/>
        </w:rPr>
        <w:t xml:space="preserve">גיבור מבול בעולם היווני, אך לא הפך לגיבור מבול מרכזי כמו דאוקליון והיה דמות שולית למדי בספרות היוונית. על אוגיגוס ראו למשל יקובי בפירושו לפילוכורוס </w:t>
      </w:r>
      <w:proofErr w:type="spellStart"/>
      <w:r w:rsidRPr="00022A72">
        <w:rPr>
          <w:rFonts w:cs="David" w:hint="cs"/>
          <w:i/>
          <w:iCs/>
          <w:sz w:val="18"/>
        </w:rPr>
        <w:t>F</w:t>
      </w:r>
      <w:r w:rsidRPr="00022A72">
        <w:rPr>
          <w:rFonts w:cs="David"/>
          <w:i/>
          <w:iCs/>
          <w:sz w:val="18"/>
        </w:rPr>
        <w:t>GrH</w:t>
      </w:r>
      <w:proofErr w:type="spellEnd"/>
      <w:r w:rsidRPr="00022A72">
        <w:rPr>
          <w:rFonts w:cs="David"/>
          <w:sz w:val="18"/>
        </w:rPr>
        <w:t xml:space="preserve"> 328 F 92</w:t>
      </w:r>
      <w:r w:rsidRPr="00022A72">
        <w:rPr>
          <w:rFonts w:cs="David" w:hint="cs"/>
          <w:sz w:val="18"/>
          <w:rtl/>
        </w:rPr>
        <w:t>; סקודל 1982,</w:t>
      </w:r>
      <w:r>
        <w:rPr>
          <w:rFonts w:cs="David" w:hint="cs"/>
          <w:sz w:val="18"/>
          <w:rtl/>
        </w:rPr>
        <w:t xml:space="preserve"> עמ'</w:t>
      </w:r>
      <w:r w:rsidRPr="00022A72">
        <w:rPr>
          <w:rFonts w:cs="David" w:hint="cs"/>
          <w:sz w:val="18"/>
          <w:rtl/>
        </w:rPr>
        <w:t xml:space="preserve"> 44–45; הרדינג 2008,</w:t>
      </w:r>
      <w:r>
        <w:rPr>
          <w:rFonts w:cs="David" w:hint="cs"/>
          <w:sz w:val="18"/>
          <w:rtl/>
        </w:rPr>
        <w:t xml:space="preserve"> עמ'</w:t>
      </w:r>
      <w:r w:rsidRPr="00022A72">
        <w:rPr>
          <w:rFonts w:cs="David" w:hint="cs"/>
          <w:sz w:val="18"/>
          <w:rtl/>
        </w:rPr>
        <w:t xml:space="preserve"> 18–20. ואולם היו מי שהציעו בעבר כי הדמות היוונית אוגיגוס ועוג המוכר מן המקרא תלויים באותן מסורות. ראו למשל וסט 1971,</w:t>
      </w:r>
      <w:r>
        <w:rPr>
          <w:rFonts w:cs="David" w:hint="cs"/>
          <w:sz w:val="18"/>
          <w:rtl/>
        </w:rPr>
        <w:t xml:space="preserve"> עמ'</w:t>
      </w:r>
      <w:r w:rsidRPr="00022A72">
        <w:rPr>
          <w:rFonts w:cs="David" w:hint="cs"/>
          <w:sz w:val="18"/>
          <w:rtl/>
        </w:rPr>
        <w:t xml:space="preserve"> 43</w:t>
      </w:r>
      <w:r w:rsidRPr="00022A72">
        <w:rPr>
          <w:rFonts w:cs="David"/>
          <w:sz w:val="18"/>
          <w:rtl/>
        </w:rPr>
        <w:softHyphen/>
      </w:r>
      <w:r w:rsidRPr="00022A72">
        <w:rPr>
          <w:rFonts w:cs="David" w:hint="eastAsia"/>
          <w:sz w:val="18"/>
          <w:rtl/>
        </w:rPr>
        <w:t>–</w:t>
      </w:r>
      <w:r w:rsidRPr="00022A72">
        <w:rPr>
          <w:rFonts w:cs="David" w:hint="cs"/>
          <w:sz w:val="18"/>
          <w:rtl/>
        </w:rPr>
        <w:t>44 ואצלו הפניות קודמות</w:t>
      </w:r>
      <w:r>
        <w:rPr>
          <w:rFonts w:cs="David" w:hint="cs"/>
          <w:sz w:val="18"/>
          <w:rtl/>
        </w:rPr>
        <w:t>;</w:t>
      </w:r>
      <w:r w:rsidRPr="00022A72">
        <w:rPr>
          <w:rFonts w:cs="David" w:hint="cs"/>
          <w:sz w:val="18"/>
          <w:rtl/>
        </w:rPr>
        <w:t xml:space="preserve"> וכן נויג'ל 1998.</w:t>
      </w:r>
    </w:p>
  </w:footnote>
  <w:footnote w:id="51">
    <w:p w:rsidR="00295974" w:rsidRPr="00022A72" w:rsidRDefault="00295974" w:rsidP="00BC6A5E">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 xml:space="preserve">לעותקים </w:t>
      </w:r>
      <w:r w:rsidRPr="00022A72">
        <w:rPr>
          <w:rFonts w:cs="David" w:hint="cs"/>
          <w:sz w:val="18"/>
          <w:rtl/>
        </w:rPr>
        <w:t xml:space="preserve">של </w:t>
      </w:r>
      <w:r>
        <w:rPr>
          <w:rFonts w:cs="David" w:hint="cs"/>
          <w:sz w:val="18"/>
          <w:rtl/>
        </w:rPr>
        <w:t>'</w:t>
      </w:r>
      <w:r w:rsidRPr="00022A72">
        <w:rPr>
          <w:rFonts w:cs="David" w:hint="cs"/>
          <w:sz w:val="18"/>
          <w:rtl/>
        </w:rPr>
        <w:t>אתרח'סיס</w:t>
      </w:r>
      <w:r>
        <w:rPr>
          <w:rFonts w:cs="David" w:hint="cs"/>
          <w:sz w:val="18"/>
          <w:rtl/>
        </w:rPr>
        <w:t>'</w:t>
      </w:r>
      <w:r w:rsidRPr="00022A72">
        <w:rPr>
          <w:rFonts w:cs="David" w:hint="cs"/>
          <w:sz w:val="18"/>
          <w:rtl/>
        </w:rPr>
        <w:t xml:space="preserve"> </w:t>
      </w:r>
      <w:r>
        <w:rPr>
          <w:rFonts w:cs="David" w:hint="cs"/>
          <w:sz w:val="18"/>
          <w:rtl/>
        </w:rPr>
        <w:t>ו'עלילות גלגמש' מ</w:t>
      </w:r>
      <w:r w:rsidRPr="00022A72">
        <w:rPr>
          <w:rFonts w:cs="David" w:hint="cs"/>
          <w:sz w:val="18"/>
          <w:rtl/>
        </w:rPr>
        <w:t>אוגרית</w:t>
      </w:r>
      <w:r>
        <w:rPr>
          <w:rFonts w:cs="David" w:hint="cs"/>
          <w:sz w:val="18"/>
          <w:rtl/>
        </w:rPr>
        <w:t xml:space="preserve">, חתושה, </w:t>
      </w:r>
      <w:r w:rsidRPr="00022A72">
        <w:rPr>
          <w:rFonts w:cs="David" w:hint="cs"/>
          <w:sz w:val="18"/>
          <w:rtl/>
        </w:rPr>
        <w:t xml:space="preserve">אֶמַר </w:t>
      </w:r>
      <w:r>
        <w:rPr>
          <w:rFonts w:cs="David" w:hint="cs"/>
          <w:sz w:val="18"/>
          <w:rtl/>
        </w:rPr>
        <w:t>ומגידו,</w:t>
      </w:r>
      <w:r w:rsidRPr="00022A72">
        <w:rPr>
          <w:rFonts w:cs="David" w:hint="cs"/>
          <w:sz w:val="18"/>
          <w:rtl/>
        </w:rPr>
        <w:t xml:space="preserve"> </w:t>
      </w:r>
      <w:r>
        <w:rPr>
          <w:rFonts w:cs="David" w:hint="cs"/>
          <w:sz w:val="18"/>
          <w:rtl/>
        </w:rPr>
        <w:t>ראו פרק ב</w:t>
      </w:r>
      <w:r w:rsidR="00EF3517">
        <w:rPr>
          <w:rFonts w:cs="David" w:hint="cs"/>
          <w:sz w:val="18"/>
          <w:rtl/>
        </w:rPr>
        <w:t>,</w:t>
      </w:r>
      <w:r>
        <w:rPr>
          <w:rFonts w:cs="David" w:hint="cs"/>
          <w:sz w:val="18"/>
          <w:rtl/>
        </w:rPr>
        <w:t xml:space="preserve"> הערה 25.</w:t>
      </w:r>
    </w:p>
  </w:footnote>
  <w:footnote w:id="52">
    <w:p w:rsidR="00295974" w:rsidRPr="00022A72" w:rsidRDefault="00295974" w:rsidP="00BC6A5E">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hint="cs"/>
          <w:sz w:val="18"/>
          <w:rtl/>
        </w:rPr>
        <w:t xml:space="preserve"> </w:t>
      </w:r>
      <w:r>
        <w:rPr>
          <w:rFonts w:cs="David"/>
          <w:sz w:val="18"/>
          <w:rtl/>
        </w:rPr>
        <w:tab/>
      </w:r>
      <w:r w:rsidRPr="00022A72">
        <w:rPr>
          <w:rFonts w:cs="David" w:hint="cs"/>
          <w:sz w:val="18"/>
          <w:rtl/>
        </w:rPr>
        <w:t xml:space="preserve">במהלך התקופה הארכאית, בין סוף מאה ח' למאה ו' לפסה"נ, במשך תקופת חיבורם </w:t>
      </w:r>
      <w:r w:rsidRPr="00022A72">
        <w:rPr>
          <w:rFonts w:cs="David" w:hint="cs"/>
          <w:sz w:val="18"/>
          <w:rtl/>
        </w:rPr>
        <w:t xml:space="preserve">של </w:t>
      </w:r>
      <w:r>
        <w:rPr>
          <w:rFonts w:cs="David" w:hint="cs"/>
          <w:sz w:val="18"/>
          <w:rtl/>
        </w:rPr>
        <w:t>'</w:t>
      </w:r>
      <w:r w:rsidRPr="00022A72">
        <w:rPr>
          <w:rFonts w:cs="David" w:hint="cs"/>
          <w:sz w:val="18"/>
          <w:rtl/>
        </w:rPr>
        <w:t>קטלוג הנשים</w:t>
      </w:r>
      <w:r>
        <w:rPr>
          <w:rFonts w:cs="David" w:hint="cs"/>
          <w:sz w:val="18"/>
          <w:rtl/>
        </w:rPr>
        <w:t>'</w:t>
      </w:r>
      <w:r w:rsidRPr="00022A72">
        <w:rPr>
          <w:rFonts w:cs="David" w:hint="cs"/>
          <w:sz w:val="18"/>
          <w:rtl/>
        </w:rPr>
        <w:t xml:space="preserve"> ו</w:t>
      </w:r>
      <w:r>
        <w:rPr>
          <w:rFonts w:cs="David" w:hint="cs"/>
          <w:sz w:val="18"/>
          <w:rtl/>
        </w:rPr>
        <w:t>'</w:t>
      </w:r>
      <w:r w:rsidRPr="00022A72">
        <w:rPr>
          <w:rFonts w:cs="David" w:hint="cs"/>
          <w:sz w:val="18"/>
          <w:rtl/>
        </w:rPr>
        <w:t>הקיפריה</w:t>
      </w:r>
      <w:r>
        <w:rPr>
          <w:rFonts w:cs="David" w:hint="cs"/>
          <w:sz w:val="18"/>
          <w:rtl/>
        </w:rPr>
        <w:t>'</w:t>
      </w:r>
      <w:r w:rsidRPr="00022A72">
        <w:rPr>
          <w:rFonts w:cs="David" w:hint="cs"/>
          <w:sz w:val="18"/>
          <w:rtl/>
        </w:rPr>
        <w:t>, נכון היה העולם היווני לאמץ קווים אמנותיים ותרבותיים רבים מן הלבנט והמרחב הסורי. באמנות החזותית סימני ההשפעה בתקופה זו כה בולטים עד שפרק זמן זה בתולדות יוון זכה לכינוי 'תקופת ההתמזרחות' (</w:t>
      </w:r>
      <w:r w:rsidRPr="00022A72">
        <w:rPr>
          <w:rFonts w:cs="David"/>
          <w:sz w:val="18"/>
        </w:rPr>
        <w:t>Orientalizing period</w:t>
      </w:r>
      <w:r w:rsidRPr="00022A72">
        <w:rPr>
          <w:rFonts w:cs="David" w:hint="cs"/>
          <w:sz w:val="18"/>
          <w:rtl/>
        </w:rPr>
        <w:t>). ראו במיוחד בורקרט 1992,</w:t>
      </w:r>
      <w:r>
        <w:rPr>
          <w:rFonts w:cs="David" w:hint="cs"/>
          <w:sz w:val="18"/>
          <w:rtl/>
        </w:rPr>
        <w:t xml:space="preserve"> עמ'</w:t>
      </w:r>
      <w:r w:rsidRPr="00022A72">
        <w:rPr>
          <w:rFonts w:cs="David" w:hint="cs"/>
          <w:sz w:val="18"/>
          <w:rtl/>
        </w:rPr>
        <w:t xml:space="preserve"> 1–25; הרוויט 1985,</w:t>
      </w:r>
      <w:r>
        <w:rPr>
          <w:rFonts w:cs="David" w:hint="cs"/>
          <w:sz w:val="18"/>
          <w:rtl/>
        </w:rPr>
        <w:t xml:space="preserve"> עמ'</w:t>
      </w:r>
      <w:r w:rsidRPr="00022A72">
        <w:rPr>
          <w:rFonts w:cs="David" w:hint="cs"/>
          <w:sz w:val="18"/>
          <w:rtl/>
        </w:rPr>
        <w:t xml:space="preserve"> 125–135; מרקוי 1996,</w:t>
      </w:r>
      <w:r>
        <w:rPr>
          <w:rFonts w:cs="David" w:hint="cs"/>
          <w:sz w:val="18"/>
          <w:rtl/>
        </w:rPr>
        <w:t xml:space="preserve"> עמ'</w:t>
      </w:r>
      <w:r w:rsidRPr="00022A72">
        <w:rPr>
          <w:rFonts w:cs="David" w:hint="cs"/>
          <w:sz w:val="18"/>
          <w:rtl/>
        </w:rPr>
        <w:t xml:space="preserve"> 47–67; קוק 1997,</w:t>
      </w:r>
      <w:r>
        <w:rPr>
          <w:rFonts w:cs="David" w:hint="cs"/>
          <w:sz w:val="18"/>
          <w:rtl/>
        </w:rPr>
        <w:t xml:space="preserve"> עמ'</w:t>
      </w:r>
      <w:r w:rsidRPr="00022A72">
        <w:rPr>
          <w:rFonts w:cs="David" w:hint="cs"/>
          <w:sz w:val="18"/>
          <w:rtl/>
        </w:rPr>
        <w:t xml:space="preserve"> 41–153; בורדמן 1998,</w:t>
      </w:r>
      <w:r>
        <w:rPr>
          <w:rFonts w:cs="David" w:hint="cs"/>
          <w:sz w:val="18"/>
          <w:rtl/>
        </w:rPr>
        <w:t xml:space="preserve"> עמ'</w:t>
      </w:r>
      <w:r w:rsidRPr="00022A72">
        <w:rPr>
          <w:rFonts w:cs="David" w:hint="cs"/>
          <w:sz w:val="18"/>
          <w:rtl/>
        </w:rPr>
        <w:t xml:space="preserve"> 83–151; ויטלי 2001,</w:t>
      </w:r>
      <w:r>
        <w:rPr>
          <w:rFonts w:cs="David" w:hint="cs"/>
          <w:sz w:val="18"/>
          <w:rtl/>
        </w:rPr>
        <w:t xml:space="preserve"> עמ'</w:t>
      </w:r>
      <w:r w:rsidRPr="00022A72">
        <w:rPr>
          <w:rFonts w:cs="David" w:hint="cs"/>
          <w:sz w:val="18"/>
          <w:rtl/>
        </w:rPr>
        <w:t xml:space="preserve"> 103</w:t>
      </w:r>
      <w:r w:rsidRPr="00022A72">
        <w:rPr>
          <w:rFonts w:cs="David" w:hint="eastAsia"/>
          <w:sz w:val="18"/>
          <w:rtl/>
        </w:rPr>
        <w:t>–133.</w:t>
      </w:r>
      <w:r w:rsidRPr="00022A72">
        <w:rPr>
          <w:rFonts w:cs="David" w:hint="cs"/>
          <w:sz w:val="18"/>
          <w:rtl/>
        </w:rPr>
        <w:t xml:space="preserve"> לזווית הספרותית ראו גם וסט 1997; לופז-רואיז 2010.</w:t>
      </w:r>
    </w:p>
  </w:footnote>
  <w:footnote w:id="53">
    <w:p w:rsidR="00295974" w:rsidRPr="00022A72" w:rsidRDefault="00295974" w:rsidP="000A4EA7">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 xml:space="preserve">בזיקה שבין בר' </w:t>
      </w:r>
      <w:r w:rsidRPr="00022A72">
        <w:rPr>
          <w:rFonts w:cs="David" w:hint="cs"/>
          <w:sz w:val="18"/>
          <w:rtl/>
        </w:rPr>
        <w:t xml:space="preserve">ו 1 לבין </w:t>
      </w:r>
      <w:r>
        <w:rPr>
          <w:rFonts w:cs="David" w:hint="cs"/>
          <w:sz w:val="18"/>
          <w:rtl/>
        </w:rPr>
        <w:t>'</w:t>
      </w:r>
      <w:r w:rsidRPr="00022A72">
        <w:rPr>
          <w:rFonts w:cs="David" w:hint="cs"/>
          <w:sz w:val="18"/>
          <w:rtl/>
        </w:rPr>
        <w:t>אתרח'סיס</w:t>
      </w:r>
      <w:r>
        <w:rPr>
          <w:rFonts w:cs="David" w:hint="cs"/>
          <w:sz w:val="18"/>
          <w:rtl/>
        </w:rPr>
        <w:t>'</w:t>
      </w:r>
      <w:r w:rsidR="006E388B">
        <w:rPr>
          <w:rFonts w:cs="David" w:hint="cs"/>
          <w:sz w:val="18"/>
          <w:rtl/>
        </w:rPr>
        <w:t xml:space="preserve"> </w:t>
      </w:r>
      <w:r w:rsidRPr="00022A72">
        <w:rPr>
          <w:rFonts w:cs="David" w:hint="cs"/>
          <w:sz w:val="18"/>
          <w:rtl/>
        </w:rPr>
        <w:t>הבחינו רבים. ראו למשל ראו למשל היידל 1949,</w:t>
      </w:r>
      <w:r>
        <w:rPr>
          <w:rFonts w:cs="David" w:hint="cs"/>
          <w:sz w:val="18"/>
          <w:rtl/>
        </w:rPr>
        <w:t xml:space="preserve"> עמ'</w:t>
      </w:r>
      <w:r w:rsidRPr="00022A72">
        <w:rPr>
          <w:rFonts w:cs="David" w:hint="cs"/>
          <w:sz w:val="18"/>
          <w:rtl/>
        </w:rPr>
        <w:t xml:space="preserve"> 225</w:t>
      </w:r>
      <w:r w:rsidRPr="00022A72">
        <w:rPr>
          <w:rFonts w:cs="David"/>
          <w:sz w:val="18"/>
          <w:rtl/>
        </w:rPr>
        <w:softHyphen/>
      </w:r>
      <w:r w:rsidRPr="00022A72">
        <w:rPr>
          <w:rFonts w:cs="David" w:hint="cs"/>
          <w:sz w:val="18"/>
          <w:rtl/>
        </w:rPr>
        <w:t>–226; מילארד 1967,</w:t>
      </w:r>
      <w:r>
        <w:rPr>
          <w:rFonts w:cs="David" w:hint="cs"/>
          <w:sz w:val="18"/>
          <w:rtl/>
        </w:rPr>
        <w:t xml:space="preserve"> עמ'</w:t>
      </w:r>
      <w:r w:rsidRPr="00022A72">
        <w:rPr>
          <w:rFonts w:cs="David" w:hint="cs"/>
          <w:sz w:val="18"/>
          <w:rtl/>
        </w:rPr>
        <w:t xml:space="preserve"> 11</w:t>
      </w:r>
      <w:r w:rsidRPr="00022A72">
        <w:rPr>
          <w:rFonts w:cs="David" w:hint="eastAsia"/>
          <w:sz w:val="18"/>
          <w:rtl/>
        </w:rPr>
        <w:t>–</w:t>
      </w:r>
      <w:r w:rsidRPr="00022A72">
        <w:rPr>
          <w:rFonts w:cs="David" w:hint="cs"/>
          <w:sz w:val="18"/>
          <w:rtl/>
        </w:rPr>
        <w:t>12; וסטרמן 1976,</w:t>
      </w:r>
      <w:r>
        <w:rPr>
          <w:rFonts w:cs="David" w:hint="cs"/>
          <w:sz w:val="18"/>
          <w:rtl/>
        </w:rPr>
        <w:t xml:space="preserve"> עמ'</w:t>
      </w:r>
      <w:r w:rsidRPr="00022A72">
        <w:rPr>
          <w:rFonts w:cs="David" w:hint="cs"/>
          <w:sz w:val="18"/>
          <w:rtl/>
        </w:rPr>
        <w:t xml:space="preserve"> 370. נראה שרעיון ריבוי האוכלוסין בארץ היה ידוע גם למחברי סיפור המבול הכוהני והיהוויסטי, אלא שהוא משמש אצלם בדרך שונה. לא ריבוי האנשים הוא הסיבה למבול אלא ריבו</w:t>
      </w:r>
      <w:r>
        <w:rPr>
          <w:rFonts w:cs="David" w:hint="cs"/>
          <w:sz w:val="18"/>
          <w:rtl/>
        </w:rPr>
        <w:t>י הרעה בארץ; לפי דברי היהוויסט "</w:t>
      </w:r>
      <w:r w:rsidRPr="00022A72">
        <w:rPr>
          <w:rFonts w:cs="David"/>
          <w:sz w:val="18"/>
          <w:rtl/>
        </w:rPr>
        <w:t xml:space="preserve">וַיַּרְא </w:t>
      </w:r>
      <w:r w:rsidRPr="00022A72">
        <w:rPr>
          <w:rFonts w:cs="David" w:hint="cs"/>
          <w:sz w:val="18"/>
          <w:rtl/>
        </w:rPr>
        <w:t>ה'</w:t>
      </w:r>
      <w:r w:rsidRPr="00022A72">
        <w:rPr>
          <w:rFonts w:cs="David"/>
          <w:sz w:val="18"/>
          <w:rtl/>
        </w:rPr>
        <w:t xml:space="preserve"> כִּי רַבָּה רָעַת הָאָדָם בָּאָרֶץ</w:t>
      </w:r>
      <w:r>
        <w:rPr>
          <w:rFonts w:cs="David" w:hint="cs"/>
          <w:sz w:val="18"/>
          <w:rtl/>
        </w:rPr>
        <w:t>"</w:t>
      </w:r>
      <w:r w:rsidRPr="00022A72">
        <w:rPr>
          <w:rFonts w:cs="David" w:hint="cs"/>
          <w:sz w:val="18"/>
          <w:rtl/>
        </w:rPr>
        <w:t xml:space="preserve"> (ב</w:t>
      </w:r>
      <w:r>
        <w:rPr>
          <w:rFonts w:cs="David" w:hint="cs"/>
          <w:sz w:val="18"/>
          <w:rtl/>
        </w:rPr>
        <w:t>ר' ו 5), ולפי דברי המחבר כוהני "</w:t>
      </w:r>
      <w:r w:rsidRPr="00022A72">
        <w:rPr>
          <w:rFonts w:cs="David"/>
          <w:sz w:val="18"/>
          <w:rtl/>
        </w:rPr>
        <w:t>וַתִּמָּלֵא הָאָרֶץ חָמָס</w:t>
      </w:r>
      <w:r>
        <w:rPr>
          <w:rFonts w:cs="David" w:hint="cs"/>
          <w:sz w:val="18"/>
          <w:rtl/>
        </w:rPr>
        <w:t>"</w:t>
      </w:r>
      <w:r w:rsidRPr="00022A72">
        <w:rPr>
          <w:rFonts w:cs="David" w:hint="cs"/>
          <w:sz w:val="18"/>
          <w:rtl/>
        </w:rPr>
        <w:t xml:space="preserve"> (</w:t>
      </w:r>
      <w:r w:rsidR="000A4EA7">
        <w:rPr>
          <w:rFonts w:cs="David" w:hint="cs"/>
          <w:sz w:val="18"/>
          <w:rtl/>
        </w:rPr>
        <w:t>שם, 11;</w:t>
      </w:r>
      <w:r w:rsidRPr="00022A72">
        <w:rPr>
          <w:rFonts w:cs="David" w:hint="cs"/>
          <w:sz w:val="18"/>
          <w:rtl/>
        </w:rPr>
        <w:t xml:space="preserve"> השוו 13).</w:t>
      </w:r>
    </w:p>
  </w:footnote>
  <w:footnote w:id="54">
    <w:p w:rsidR="00295974" w:rsidRPr="00022A72" w:rsidRDefault="00295974" w:rsidP="0090205E">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hint="cs"/>
          <w:sz w:val="18"/>
          <w:rtl/>
        </w:rPr>
        <w:t xml:space="preserve"> </w:t>
      </w:r>
      <w:r>
        <w:rPr>
          <w:rFonts w:cs="David"/>
          <w:sz w:val="18"/>
          <w:rtl/>
        </w:rPr>
        <w:tab/>
      </w:r>
      <w:r w:rsidRPr="00022A72">
        <w:rPr>
          <w:rFonts w:cs="David" w:hint="cs"/>
          <w:sz w:val="18"/>
          <w:rtl/>
        </w:rPr>
        <w:t>בודה 1883,</w:t>
      </w:r>
      <w:r>
        <w:rPr>
          <w:rFonts w:cs="David" w:hint="cs"/>
          <w:sz w:val="18"/>
          <w:rtl/>
        </w:rPr>
        <w:t xml:space="preserve"> עמ'</w:t>
      </w:r>
      <w:r w:rsidRPr="00022A72">
        <w:rPr>
          <w:rFonts w:cs="David" w:hint="cs"/>
          <w:sz w:val="18"/>
          <w:rtl/>
        </w:rPr>
        <w:t xml:space="preserve"> 46–65. </w:t>
      </w:r>
      <w:r w:rsidRPr="00022A72">
        <w:rPr>
          <w:rFonts w:cs="David" w:hint="cs"/>
          <w:sz w:val="18"/>
          <w:rtl/>
        </w:rPr>
        <w:t>השוו וסטרמן 1976,</w:t>
      </w:r>
      <w:r>
        <w:rPr>
          <w:rFonts w:cs="David" w:hint="cs"/>
          <w:sz w:val="18"/>
          <w:rtl/>
        </w:rPr>
        <w:t xml:space="preserve"> עמ'</w:t>
      </w:r>
      <w:r w:rsidRPr="00022A72">
        <w:rPr>
          <w:rFonts w:cs="David" w:hint="cs"/>
          <w:sz w:val="18"/>
          <w:rtl/>
        </w:rPr>
        <w:t xml:space="preserve"> 374, המתקשה לקבל את הסברה אך מודה שהתוכן בבר' ו 3 מקביל לבר' ג 22.</w:t>
      </w:r>
    </w:p>
  </w:footnote>
  <w:footnote w:id="55">
    <w:p w:rsidR="00295974" w:rsidRPr="00022A72" w:rsidRDefault="00295974" w:rsidP="00506E73">
      <w:pPr>
        <w:widowControl w:val="0"/>
        <w:spacing w:line="480" w:lineRule="auto"/>
        <w:ind w:left="-283" w:hanging="680"/>
        <w:rPr>
          <w:sz w:val="18"/>
          <w:szCs w:val="20"/>
          <w:rtl/>
        </w:rPr>
      </w:pPr>
      <w:r w:rsidRPr="00022A72">
        <w:rPr>
          <w:rStyle w:val="FootnoteReference"/>
          <w:sz w:val="18"/>
          <w:szCs w:val="20"/>
        </w:rPr>
        <w:footnoteRef/>
      </w:r>
      <w:r w:rsidRPr="00022A72">
        <w:rPr>
          <w:sz w:val="18"/>
          <w:szCs w:val="20"/>
          <w:rtl/>
        </w:rPr>
        <w:t xml:space="preserve"> </w:t>
      </w:r>
      <w:r>
        <w:rPr>
          <w:sz w:val="18"/>
          <w:szCs w:val="20"/>
          <w:rtl/>
        </w:rPr>
        <w:tab/>
      </w:r>
      <w:r w:rsidRPr="00022A72">
        <w:rPr>
          <w:rFonts w:hint="cs"/>
          <w:sz w:val="18"/>
          <w:szCs w:val="20"/>
          <w:rtl/>
        </w:rPr>
        <w:t>מכל מקום, כעת ידוע בבירור כי המחבר המקראי שאב את רעיון מאה ועשרים שנה כתוחלת חייו של אד</w:t>
      </w:r>
      <w:r>
        <w:rPr>
          <w:rFonts w:hint="cs"/>
          <w:sz w:val="18"/>
          <w:szCs w:val="20"/>
          <w:rtl/>
        </w:rPr>
        <w:t>ם מעולם הרעיונות והמוטיבים השמי-</w:t>
      </w:r>
      <w:r w:rsidRPr="00022A72">
        <w:rPr>
          <w:rFonts w:hint="cs"/>
          <w:sz w:val="18"/>
          <w:szCs w:val="20"/>
          <w:rtl/>
        </w:rPr>
        <w:t xml:space="preserve">מערבי. </w:t>
      </w:r>
      <w:r w:rsidRPr="00022A72">
        <w:rPr>
          <w:rFonts w:hint="cs"/>
          <w:sz w:val="18"/>
          <w:szCs w:val="20"/>
          <w:rtl/>
        </w:rPr>
        <w:t>קליין (1990,</w:t>
      </w:r>
      <w:r>
        <w:rPr>
          <w:rFonts w:hint="cs"/>
          <w:sz w:val="18"/>
          <w:szCs w:val="20"/>
          <w:rtl/>
        </w:rPr>
        <w:t xml:space="preserve"> עמ'</w:t>
      </w:r>
      <w:r w:rsidRPr="00022A72">
        <w:rPr>
          <w:rFonts w:hint="cs"/>
          <w:sz w:val="18"/>
          <w:szCs w:val="20"/>
          <w:rtl/>
        </w:rPr>
        <w:t xml:space="preserve"> 57–70) הראה כי רעיון זה </w:t>
      </w:r>
      <w:r w:rsidR="00506E73">
        <w:rPr>
          <w:rFonts w:hint="cs"/>
          <w:sz w:val="18"/>
          <w:szCs w:val="20"/>
          <w:rtl/>
        </w:rPr>
        <w:t>ישנו</w:t>
      </w:r>
      <w:r w:rsidRPr="00022A72">
        <w:rPr>
          <w:rFonts w:hint="cs"/>
          <w:sz w:val="18"/>
          <w:szCs w:val="20"/>
          <w:rtl/>
        </w:rPr>
        <w:t xml:space="preserve"> בתוך הרחבה בגרסה מקומית דו-לשונית (שומרית-אכדית) ליצירה השומרית 'אֶנְלִל ונַמְזִתַרַה' (או 'מעשה באֵנְלִל שנה</w:t>
      </w:r>
      <w:r>
        <w:rPr>
          <w:rFonts w:hint="cs"/>
          <w:sz w:val="18"/>
          <w:szCs w:val="20"/>
          <w:rtl/>
        </w:rPr>
        <w:t>פך לעורב') מהעיר הסורית אֶמַר: "</w:t>
      </w:r>
      <w:r w:rsidRPr="00022A72">
        <w:rPr>
          <w:rFonts w:hint="cs"/>
          <w:sz w:val="18"/>
          <w:szCs w:val="20"/>
          <w:rtl/>
        </w:rPr>
        <w:t>ימי האדם קרבים / מיום ליום ימעטו / מחודש לחודש ימעטו / משנה לשנה ימעטו / מאה ועשרים שנה ימי אדם, היא אכן הגְזרה (</w:t>
      </w:r>
      <w:r w:rsidRPr="00022A72">
        <w:rPr>
          <w:sz w:val="18"/>
          <w:szCs w:val="20"/>
          <w:lang w:val="de-DE"/>
        </w:rPr>
        <w:t xml:space="preserve">Sum.: mu 2 </w:t>
      </w:r>
      <w:r w:rsidRPr="00022A72">
        <w:rPr>
          <w:i/>
          <w:iCs/>
          <w:sz w:val="18"/>
          <w:szCs w:val="20"/>
          <w:lang w:val="de-DE"/>
        </w:rPr>
        <w:t>šu</w:t>
      </w:r>
      <w:r w:rsidRPr="00022A72">
        <w:rPr>
          <w:sz w:val="18"/>
          <w:szCs w:val="20"/>
          <w:lang w:val="de-DE"/>
        </w:rPr>
        <w:t>-</w:t>
      </w:r>
      <w:r w:rsidRPr="00022A72">
        <w:rPr>
          <w:i/>
          <w:iCs/>
          <w:sz w:val="18"/>
          <w:szCs w:val="20"/>
          <w:lang w:val="de-DE"/>
        </w:rPr>
        <w:t>ši</w:t>
      </w:r>
      <w:r w:rsidRPr="00022A72">
        <w:rPr>
          <w:sz w:val="18"/>
          <w:szCs w:val="20"/>
          <w:lang w:val="de-DE"/>
        </w:rPr>
        <w:t xml:space="preserve"> mu-me-eš nam-lú-u</w:t>
      </w:r>
      <w:r w:rsidRPr="00022A72">
        <w:rPr>
          <w:sz w:val="18"/>
          <w:szCs w:val="20"/>
          <w:vertAlign w:val="subscript"/>
          <w:lang w:val="de-DE"/>
        </w:rPr>
        <w:t>18</w:t>
      </w:r>
      <w:r w:rsidRPr="00022A72">
        <w:rPr>
          <w:sz w:val="18"/>
          <w:szCs w:val="20"/>
          <w:lang w:val="de-DE"/>
        </w:rPr>
        <w:t xml:space="preserve">-lu / níĝ-gig-bi ḫe-a, Akk.: 2 </w:t>
      </w:r>
      <w:r w:rsidRPr="00022A72">
        <w:rPr>
          <w:i/>
          <w:iCs/>
          <w:sz w:val="18"/>
          <w:szCs w:val="20"/>
          <w:lang w:val="de-DE"/>
        </w:rPr>
        <w:t>šūši</w:t>
      </w:r>
      <w:r w:rsidRPr="00022A72">
        <w:rPr>
          <w:sz w:val="18"/>
          <w:szCs w:val="20"/>
          <w:lang w:val="de-DE"/>
        </w:rPr>
        <w:t xml:space="preserve"> </w:t>
      </w:r>
      <w:r w:rsidRPr="00022A72">
        <w:rPr>
          <w:i/>
          <w:iCs/>
          <w:sz w:val="18"/>
          <w:szCs w:val="20"/>
          <w:lang w:val="de-DE"/>
        </w:rPr>
        <w:t>šanātu</w:t>
      </w:r>
      <w:r w:rsidRPr="00022A72">
        <w:rPr>
          <w:sz w:val="18"/>
          <w:szCs w:val="20"/>
          <w:lang w:val="de-DE"/>
        </w:rPr>
        <w:t xml:space="preserve"> </w:t>
      </w:r>
      <w:r w:rsidRPr="00022A72">
        <w:rPr>
          <w:i/>
          <w:iCs/>
          <w:sz w:val="18"/>
          <w:szCs w:val="20"/>
          <w:lang w:val="de-DE"/>
        </w:rPr>
        <w:t>lū ikkib amīlūti balā</w:t>
      </w:r>
      <w:r w:rsidRPr="00022A72">
        <w:rPr>
          <w:sz w:val="18"/>
          <w:szCs w:val="20"/>
          <w:lang w:val="de-DE"/>
        </w:rPr>
        <w:t>[</w:t>
      </w:r>
      <w:r w:rsidRPr="00022A72">
        <w:rPr>
          <w:i/>
          <w:iCs/>
          <w:sz w:val="18"/>
          <w:szCs w:val="20"/>
          <w:lang w:val="de-DE"/>
        </w:rPr>
        <w:t>ṭu</w:t>
      </w:r>
      <w:r w:rsidRPr="00022A72">
        <w:rPr>
          <w:sz w:val="18"/>
          <w:szCs w:val="20"/>
          <w:lang w:val="de-DE"/>
        </w:rPr>
        <w:t>]</w:t>
      </w:r>
      <w:r w:rsidRPr="00022A72">
        <w:rPr>
          <w:sz w:val="18"/>
          <w:szCs w:val="20"/>
          <w:rtl/>
          <w:lang w:val="de-DE"/>
        </w:rPr>
        <w:t>]</w:t>
      </w:r>
      <w:r w:rsidRPr="00022A72">
        <w:rPr>
          <w:rFonts w:hint="cs"/>
          <w:sz w:val="18"/>
          <w:szCs w:val="20"/>
          <w:rtl/>
        </w:rPr>
        <w:t>) / מיום אשר נברא אנוש ועד עתה!</w:t>
      </w:r>
      <w:r>
        <w:rPr>
          <w:rFonts w:hint="cs"/>
          <w:sz w:val="18"/>
          <w:szCs w:val="20"/>
          <w:rtl/>
        </w:rPr>
        <w:t>"</w:t>
      </w:r>
      <w:r w:rsidRPr="00022A72">
        <w:rPr>
          <w:rFonts w:hint="cs"/>
          <w:sz w:val="18"/>
          <w:szCs w:val="20"/>
          <w:rtl/>
        </w:rPr>
        <w:t>. התרגום על פי שפרה-קליין תשנ"ז,</w:t>
      </w:r>
      <w:r>
        <w:rPr>
          <w:rFonts w:hint="cs"/>
          <w:sz w:val="18"/>
          <w:szCs w:val="20"/>
          <w:rtl/>
        </w:rPr>
        <w:t xml:space="preserve"> עמ'</w:t>
      </w:r>
      <w:r w:rsidRPr="00022A72">
        <w:rPr>
          <w:rFonts w:hint="cs"/>
          <w:sz w:val="18"/>
          <w:szCs w:val="20"/>
          <w:rtl/>
        </w:rPr>
        <w:t xml:space="preserve"> 735. התוספת מצויה כפי הנראה גם בגרסה שנשתמרה באוגרית, אף שהשורות העוסקות ב</w:t>
      </w:r>
      <w:r w:rsidR="00506E73">
        <w:rPr>
          <w:rFonts w:hint="cs"/>
          <w:sz w:val="18"/>
          <w:szCs w:val="20"/>
          <w:rtl/>
        </w:rPr>
        <w:t>"</w:t>
      </w:r>
      <w:r w:rsidRPr="00022A72">
        <w:rPr>
          <w:rFonts w:hint="cs"/>
          <w:sz w:val="18"/>
          <w:szCs w:val="20"/>
          <w:rtl/>
        </w:rPr>
        <w:t>מאה עשרים שנה</w:t>
      </w:r>
      <w:r w:rsidR="00506E73">
        <w:rPr>
          <w:rFonts w:hint="cs"/>
          <w:sz w:val="18"/>
          <w:szCs w:val="20"/>
          <w:rtl/>
        </w:rPr>
        <w:t>"</w:t>
      </w:r>
      <w:r w:rsidRPr="00022A72">
        <w:rPr>
          <w:rFonts w:hint="cs"/>
          <w:sz w:val="18"/>
          <w:szCs w:val="20"/>
          <w:rtl/>
        </w:rPr>
        <w:t xml:space="preserve"> שבורות. ראו כהן 2010,</w:t>
      </w:r>
      <w:r>
        <w:rPr>
          <w:rFonts w:hint="cs"/>
          <w:sz w:val="18"/>
          <w:szCs w:val="20"/>
          <w:rtl/>
        </w:rPr>
        <w:t xml:space="preserve"> עמ'</w:t>
      </w:r>
      <w:r w:rsidRPr="00022A72">
        <w:rPr>
          <w:rFonts w:hint="cs"/>
          <w:sz w:val="18"/>
          <w:szCs w:val="20"/>
          <w:rtl/>
        </w:rPr>
        <w:t xml:space="preserve"> 87</w:t>
      </w:r>
      <w:r w:rsidRPr="00022A72">
        <w:rPr>
          <w:rFonts w:hint="eastAsia"/>
          <w:sz w:val="18"/>
          <w:szCs w:val="20"/>
          <w:rtl/>
        </w:rPr>
        <w:t>–</w:t>
      </w:r>
      <w:r w:rsidRPr="00022A72">
        <w:rPr>
          <w:rFonts w:hint="cs"/>
          <w:sz w:val="18"/>
          <w:szCs w:val="20"/>
          <w:rtl/>
        </w:rPr>
        <w:t>97. על ה</w:t>
      </w:r>
      <w:r w:rsidR="00DB7A08">
        <w:rPr>
          <w:rFonts w:hint="cs"/>
          <w:sz w:val="18"/>
          <w:szCs w:val="20"/>
          <w:rtl/>
        </w:rPr>
        <w:t>מלה</w:t>
      </w:r>
      <w:r w:rsidRPr="00022A72">
        <w:rPr>
          <w:rFonts w:hint="cs"/>
          <w:sz w:val="18"/>
          <w:szCs w:val="20"/>
          <w:rtl/>
        </w:rPr>
        <w:t xml:space="preserve"> </w:t>
      </w:r>
      <w:proofErr w:type="spellStart"/>
      <w:r w:rsidRPr="00022A72">
        <w:rPr>
          <w:sz w:val="18"/>
          <w:szCs w:val="20"/>
        </w:rPr>
        <w:t>níĝ</w:t>
      </w:r>
      <w:proofErr w:type="spellEnd"/>
      <w:r w:rsidRPr="00022A72">
        <w:rPr>
          <w:sz w:val="18"/>
          <w:szCs w:val="20"/>
        </w:rPr>
        <w:t>-gig</w:t>
      </w:r>
      <w:r w:rsidRPr="00022A72">
        <w:rPr>
          <w:rFonts w:hint="cs"/>
          <w:sz w:val="18"/>
          <w:szCs w:val="20"/>
          <w:rtl/>
        </w:rPr>
        <w:t xml:space="preserve"> בשומרית ו-</w:t>
      </w:r>
      <w:proofErr w:type="spellStart"/>
      <w:r w:rsidRPr="00022A72">
        <w:rPr>
          <w:i/>
          <w:iCs/>
          <w:sz w:val="18"/>
          <w:szCs w:val="20"/>
        </w:rPr>
        <w:t>ikkibu</w:t>
      </w:r>
      <w:proofErr w:type="spellEnd"/>
      <w:r w:rsidRPr="00022A72">
        <w:rPr>
          <w:rFonts w:hint="cs"/>
          <w:sz w:val="18"/>
          <w:szCs w:val="20"/>
          <w:rtl/>
        </w:rPr>
        <w:t xml:space="preserve"> באכדית ראו קליין 1990,</w:t>
      </w:r>
      <w:r>
        <w:rPr>
          <w:rFonts w:hint="cs"/>
          <w:sz w:val="18"/>
          <w:szCs w:val="20"/>
          <w:rtl/>
        </w:rPr>
        <w:t xml:space="preserve"> עמ'</w:t>
      </w:r>
      <w:r w:rsidRPr="00022A72">
        <w:rPr>
          <w:rFonts w:hint="cs"/>
          <w:sz w:val="18"/>
          <w:szCs w:val="20"/>
          <w:rtl/>
        </w:rPr>
        <w:t xml:space="preserve"> 64 הערה 15; גלר 1990,</w:t>
      </w:r>
      <w:r>
        <w:rPr>
          <w:rFonts w:hint="cs"/>
          <w:sz w:val="18"/>
          <w:szCs w:val="20"/>
          <w:rtl/>
        </w:rPr>
        <w:t xml:space="preserve"> עמ'</w:t>
      </w:r>
      <w:r w:rsidRPr="00022A72">
        <w:rPr>
          <w:rFonts w:hint="cs"/>
          <w:sz w:val="18"/>
          <w:szCs w:val="20"/>
          <w:rtl/>
        </w:rPr>
        <w:t xml:space="preserve"> 107</w:t>
      </w:r>
      <w:r w:rsidRPr="00022A72">
        <w:rPr>
          <w:rFonts w:hint="eastAsia"/>
          <w:sz w:val="18"/>
          <w:szCs w:val="20"/>
          <w:rtl/>
        </w:rPr>
        <w:t>–</w:t>
      </w:r>
      <w:r w:rsidRPr="00022A72">
        <w:rPr>
          <w:rFonts w:hint="cs"/>
          <w:sz w:val="18"/>
          <w:szCs w:val="20"/>
          <w:rtl/>
        </w:rPr>
        <w:t>108 והע</w:t>
      </w:r>
      <w:r>
        <w:rPr>
          <w:rFonts w:hint="cs"/>
          <w:sz w:val="18"/>
          <w:szCs w:val="20"/>
          <w:rtl/>
        </w:rPr>
        <w:t>רה</w:t>
      </w:r>
      <w:r w:rsidRPr="00022A72">
        <w:rPr>
          <w:rFonts w:hint="cs"/>
          <w:sz w:val="18"/>
          <w:szCs w:val="20"/>
          <w:rtl/>
        </w:rPr>
        <w:t xml:space="preserve"> 14. השוו כהן 2010,</w:t>
      </w:r>
      <w:r>
        <w:rPr>
          <w:rFonts w:hint="cs"/>
          <w:sz w:val="18"/>
          <w:szCs w:val="20"/>
          <w:rtl/>
        </w:rPr>
        <w:t xml:space="preserve"> עמ' 94 והספרות הנזכרת אצלו בהערה</w:t>
      </w:r>
      <w:r w:rsidRPr="00022A72">
        <w:rPr>
          <w:rFonts w:hint="cs"/>
          <w:sz w:val="18"/>
          <w:szCs w:val="20"/>
          <w:rtl/>
        </w:rPr>
        <w:t xml:space="preserve"> 13. עוד ראוי לציין כי המספר 120 שנה מציין גם במקרא (דב' לד 7) וגם בספרות היוונית (</w:t>
      </w:r>
      <w:proofErr w:type="spellStart"/>
      <w:r w:rsidRPr="00022A72">
        <w:rPr>
          <w:sz w:val="18"/>
          <w:szCs w:val="20"/>
        </w:rPr>
        <w:t>Hdt</w:t>
      </w:r>
      <w:proofErr w:type="spellEnd"/>
      <w:r w:rsidRPr="00022A72">
        <w:rPr>
          <w:sz w:val="18"/>
          <w:szCs w:val="20"/>
        </w:rPr>
        <w:t>. 1.163; 3.23</w:t>
      </w:r>
      <w:r w:rsidRPr="00022A72">
        <w:rPr>
          <w:rFonts w:hint="cs"/>
          <w:sz w:val="18"/>
          <w:szCs w:val="20"/>
          <w:rtl/>
        </w:rPr>
        <w:t>) את משך שנות חייהם של האנשים הנעלים ביותר, להבדיל מתפישה אחרת שרווחה במזרח הקדום בדבר 80 או 90 שנה או 110 שנה במצרים. על המספר 80 או 90 ראו למשל תה' צ 10; אבות ה, כא; בבלי, מועד קטן כ"ח ע"א; שם, שמחות ג ח. וכן, ויינפלד תשמ"א,</w:t>
      </w:r>
      <w:r>
        <w:rPr>
          <w:rFonts w:hint="cs"/>
          <w:sz w:val="18"/>
          <w:szCs w:val="20"/>
          <w:rtl/>
        </w:rPr>
        <w:t xml:space="preserve"> עמ'</w:t>
      </w:r>
      <w:r w:rsidRPr="00022A72">
        <w:rPr>
          <w:rFonts w:hint="cs"/>
          <w:sz w:val="18"/>
          <w:szCs w:val="20"/>
          <w:rtl/>
        </w:rPr>
        <w:t xml:space="preserve"> 312</w:t>
      </w:r>
      <w:r w:rsidRPr="00022A72">
        <w:rPr>
          <w:rFonts w:hint="eastAsia"/>
          <w:sz w:val="18"/>
          <w:szCs w:val="20"/>
          <w:rtl/>
        </w:rPr>
        <w:t>–</w:t>
      </w:r>
      <w:r w:rsidRPr="00022A72">
        <w:rPr>
          <w:rFonts w:hint="cs"/>
          <w:sz w:val="18"/>
          <w:szCs w:val="20"/>
          <w:rtl/>
        </w:rPr>
        <w:t>317; השוו מלמט תשמ"ב,</w:t>
      </w:r>
      <w:r>
        <w:rPr>
          <w:rFonts w:hint="cs"/>
          <w:sz w:val="18"/>
          <w:szCs w:val="20"/>
          <w:rtl/>
        </w:rPr>
        <w:t xml:space="preserve"> עמ'</w:t>
      </w:r>
      <w:r w:rsidRPr="00022A72">
        <w:rPr>
          <w:rFonts w:hint="cs"/>
          <w:sz w:val="18"/>
          <w:szCs w:val="20"/>
          <w:rtl/>
        </w:rPr>
        <w:t xml:space="preserve"> 146</w:t>
      </w:r>
      <w:r w:rsidRPr="00022A72">
        <w:rPr>
          <w:rFonts w:hint="eastAsia"/>
          <w:sz w:val="18"/>
          <w:szCs w:val="20"/>
          <w:rtl/>
        </w:rPr>
        <w:t>–</w:t>
      </w:r>
      <w:r w:rsidRPr="00022A72">
        <w:rPr>
          <w:rFonts w:hint="cs"/>
          <w:sz w:val="18"/>
          <w:szCs w:val="20"/>
          <w:rtl/>
        </w:rPr>
        <w:t>151; תדמור תשנ"ז,</w:t>
      </w:r>
      <w:r>
        <w:rPr>
          <w:rFonts w:hint="cs"/>
          <w:sz w:val="18"/>
          <w:szCs w:val="20"/>
          <w:rtl/>
        </w:rPr>
        <w:t xml:space="preserve"> עמ'</w:t>
      </w:r>
      <w:r w:rsidRPr="00022A72">
        <w:rPr>
          <w:rFonts w:hint="cs"/>
          <w:sz w:val="18"/>
          <w:szCs w:val="20"/>
          <w:rtl/>
        </w:rPr>
        <w:t xml:space="preserve"> 93</w:t>
      </w:r>
      <w:r w:rsidRPr="00022A72">
        <w:rPr>
          <w:rFonts w:hint="eastAsia"/>
          <w:sz w:val="18"/>
          <w:szCs w:val="20"/>
          <w:rtl/>
        </w:rPr>
        <w:t>–</w:t>
      </w:r>
      <w:r w:rsidRPr="00022A72">
        <w:rPr>
          <w:rFonts w:hint="cs"/>
          <w:sz w:val="18"/>
          <w:szCs w:val="20"/>
          <w:rtl/>
        </w:rPr>
        <w:t>97. על המספר 110 במצרים ראו למשל קיטצ'ן 2003,</w:t>
      </w:r>
      <w:r>
        <w:rPr>
          <w:rFonts w:hint="cs"/>
          <w:sz w:val="18"/>
          <w:szCs w:val="20"/>
          <w:rtl/>
        </w:rPr>
        <w:t xml:space="preserve"> עמ'</w:t>
      </w:r>
      <w:r w:rsidRPr="00022A72">
        <w:rPr>
          <w:rFonts w:hint="cs"/>
          <w:sz w:val="18"/>
          <w:szCs w:val="20"/>
          <w:rtl/>
        </w:rPr>
        <w:t xml:space="preserve"> 351.</w:t>
      </w:r>
    </w:p>
  </w:footnote>
  <w:footnote w:id="56">
    <w:p w:rsidR="00295974" w:rsidRPr="00022A72" w:rsidRDefault="00295974" w:rsidP="00BC6A5E">
      <w:pPr>
        <w:pStyle w:val="FootnoteText"/>
        <w:widowControl w:val="0"/>
        <w:spacing w:line="480" w:lineRule="auto"/>
        <w:ind w:left="-283" w:hanging="680"/>
        <w:rPr>
          <w:rFonts w:cs="David"/>
          <w:sz w:val="18"/>
          <w:rtl/>
        </w:rPr>
      </w:pPr>
      <w:r w:rsidRPr="00022A72">
        <w:rPr>
          <w:rStyle w:val="FootnoteReference"/>
          <w:rFonts w:cs="David"/>
          <w:sz w:val="18"/>
        </w:rPr>
        <w:footnoteRef/>
      </w:r>
      <w:r w:rsidRPr="00022A72">
        <w:rPr>
          <w:rFonts w:cs="David"/>
          <w:sz w:val="18"/>
          <w:rtl/>
        </w:rPr>
        <w:t xml:space="preserve"> </w:t>
      </w:r>
      <w:r>
        <w:rPr>
          <w:rFonts w:cs="David"/>
          <w:sz w:val="18"/>
          <w:rtl/>
        </w:rPr>
        <w:tab/>
      </w:r>
      <w:r w:rsidRPr="00022A72">
        <w:rPr>
          <w:rFonts w:cs="David" w:hint="cs"/>
          <w:sz w:val="18"/>
          <w:rtl/>
        </w:rPr>
        <w:t xml:space="preserve">אולי אין זה מקרי שהמלך הראשון אחרי המבול לפי רשימת המלכים השומרית מָלַך 1200 שנה, היינו 20 יחידות של 60 לעומת 2 יחידות של 60 כתוחלת חיים מרבית. ראו בעניין </w:t>
      </w:r>
      <w:r w:rsidRPr="00022A72">
        <w:rPr>
          <w:rFonts w:cs="David" w:hint="cs"/>
          <w:sz w:val="18"/>
          <w:rtl/>
        </w:rPr>
        <w:t>זה למשל קאסוטו תשכ"ג</w:t>
      </w:r>
      <w:r w:rsidRPr="00022A72">
        <w:rPr>
          <w:rFonts w:cs="David" w:hint="cs"/>
          <w:sz w:val="18"/>
          <w:vertAlign w:val="subscript"/>
          <w:rtl/>
        </w:rPr>
        <w:t>ג</w:t>
      </w:r>
      <w:r w:rsidRPr="00022A72">
        <w:rPr>
          <w:rFonts w:cs="David" w:hint="cs"/>
          <w:sz w:val="18"/>
          <w:rtl/>
        </w:rPr>
        <w:t>,</w:t>
      </w:r>
      <w:r>
        <w:rPr>
          <w:rFonts w:cs="David" w:hint="cs"/>
          <w:sz w:val="18"/>
          <w:rtl/>
        </w:rPr>
        <w:t xml:space="preserve"> עמ'</w:t>
      </w:r>
      <w:r w:rsidRPr="00022A72">
        <w:rPr>
          <w:rFonts w:cs="David" w:hint="cs"/>
          <w:sz w:val="18"/>
          <w:rtl/>
        </w:rPr>
        <w:t xml:space="preserve"> 204; הנדל 1987,</w:t>
      </w:r>
      <w:r>
        <w:rPr>
          <w:rFonts w:cs="David" w:hint="cs"/>
          <w:sz w:val="18"/>
          <w:rtl/>
        </w:rPr>
        <w:t xml:space="preserve"> עמ'</w:t>
      </w:r>
      <w:r w:rsidRPr="00022A72">
        <w:rPr>
          <w:rFonts w:cs="David" w:hint="cs"/>
          <w:sz w:val="18"/>
          <w:rtl/>
        </w:rPr>
        <w:t xml:space="preserve"> 24.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397"/>
  <w:characterSpacingControl w:val="doNotCompress"/>
  <w:footnotePr>
    <w:footnote w:id="-1"/>
    <w:footnote w:id="0"/>
  </w:footnotePr>
  <w:endnotePr>
    <w:endnote w:id="-1"/>
    <w:endnote w:id="0"/>
  </w:endnotePr>
  <w:compat/>
  <w:rsids>
    <w:rsidRoot w:val="00065C38"/>
    <w:rsid w:val="0000027E"/>
    <w:rsid w:val="0000192E"/>
    <w:rsid w:val="00002634"/>
    <w:rsid w:val="00002FF4"/>
    <w:rsid w:val="00003EAE"/>
    <w:rsid w:val="00005B59"/>
    <w:rsid w:val="0000600D"/>
    <w:rsid w:val="000066BF"/>
    <w:rsid w:val="000072FA"/>
    <w:rsid w:val="00010B7A"/>
    <w:rsid w:val="00011784"/>
    <w:rsid w:val="00013B8A"/>
    <w:rsid w:val="0001407C"/>
    <w:rsid w:val="0001550F"/>
    <w:rsid w:val="00016BA5"/>
    <w:rsid w:val="000200C7"/>
    <w:rsid w:val="0002048B"/>
    <w:rsid w:val="000205C3"/>
    <w:rsid w:val="00020F83"/>
    <w:rsid w:val="000223FA"/>
    <w:rsid w:val="000227D9"/>
    <w:rsid w:val="000228F9"/>
    <w:rsid w:val="00022A72"/>
    <w:rsid w:val="00024B17"/>
    <w:rsid w:val="00025198"/>
    <w:rsid w:val="00026EDE"/>
    <w:rsid w:val="0002710D"/>
    <w:rsid w:val="000305B7"/>
    <w:rsid w:val="0003142C"/>
    <w:rsid w:val="000324F5"/>
    <w:rsid w:val="00032573"/>
    <w:rsid w:val="00035433"/>
    <w:rsid w:val="000379A7"/>
    <w:rsid w:val="00040DB9"/>
    <w:rsid w:val="00040EB0"/>
    <w:rsid w:val="00041A4E"/>
    <w:rsid w:val="0004304E"/>
    <w:rsid w:val="0004405B"/>
    <w:rsid w:val="00047286"/>
    <w:rsid w:val="00047AA3"/>
    <w:rsid w:val="00047BA6"/>
    <w:rsid w:val="00050871"/>
    <w:rsid w:val="00050C12"/>
    <w:rsid w:val="0005333B"/>
    <w:rsid w:val="00061542"/>
    <w:rsid w:val="00064652"/>
    <w:rsid w:val="00064813"/>
    <w:rsid w:val="00065C38"/>
    <w:rsid w:val="00065FBB"/>
    <w:rsid w:val="000668B5"/>
    <w:rsid w:val="0006698B"/>
    <w:rsid w:val="000675A4"/>
    <w:rsid w:val="00071812"/>
    <w:rsid w:val="00072CA8"/>
    <w:rsid w:val="00073AF1"/>
    <w:rsid w:val="0007433E"/>
    <w:rsid w:val="000746D3"/>
    <w:rsid w:val="000754B1"/>
    <w:rsid w:val="00076438"/>
    <w:rsid w:val="000772B2"/>
    <w:rsid w:val="00077E1E"/>
    <w:rsid w:val="0008057C"/>
    <w:rsid w:val="00082E91"/>
    <w:rsid w:val="00083BD6"/>
    <w:rsid w:val="00083ED2"/>
    <w:rsid w:val="00084150"/>
    <w:rsid w:val="0008466F"/>
    <w:rsid w:val="000848D5"/>
    <w:rsid w:val="00084A08"/>
    <w:rsid w:val="00091F28"/>
    <w:rsid w:val="00092021"/>
    <w:rsid w:val="00093641"/>
    <w:rsid w:val="00096EDF"/>
    <w:rsid w:val="0009759C"/>
    <w:rsid w:val="000A3DD8"/>
    <w:rsid w:val="000A4696"/>
    <w:rsid w:val="000A4EA7"/>
    <w:rsid w:val="000A4ECA"/>
    <w:rsid w:val="000A5A34"/>
    <w:rsid w:val="000A6C8B"/>
    <w:rsid w:val="000A6CC2"/>
    <w:rsid w:val="000A7ECF"/>
    <w:rsid w:val="000B0081"/>
    <w:rsid w:val="000B0577"/>
    <w:rsid w:val="000B4991"/>
    <w:rsid w:val="000B4D1B"/>
    <w:rsid w:val="000B5DBE"/>
    <w:rsid w:val="000B6365"/>
    <w:rsid w:val="000B6D78"/>
    <w:rsid w:val="000C047D"/>
    <w:rsid w:val="000C0EF7"/>
    <w:rsid w:val="000C3E9F"/>
    <w:rsid w:val="000C57EA"/>
    <w:rsid w:val="000C5C7F"/>
    <w:rsid w:val="000C5E31"/>
    <w:rsid w:val="000C6272"/>
    <w:rsid w:val="000C75AB"/>
    <w:rsid w:val="000D63C9"/>
    <w:rsid w:val="000D75EE"/>
    <w:rsid w:val="000E0867"/>
    <w:rsid w:val="000E113C"/>
    <w:rsid w:val="000E1F28"/>
    <w:rsid w:val="000E3896"/>
    <w:rsid w:val="000E496D"/>
    <w:rsid w:val="000E5D17"/>
    <w:rsid w:val="000E6F8E"/>
    <w:rsid w:val="000E70D9"/>
    <w:rsid w:val="000E74F8"/>
    <w:rsid w:val="000F02AF"/>
    <w:rsid w:val="000F11A7"/>
    <w:rsid w:val="000F1936"/>
    <w:rsid w:val="000F4356"/>
    <w:rsid w:val="000F48EA"/>
    <w:rsid w:val="000F4AEA"/>
    <w:rsid w:val="000F7C32"/>
    <w:rsid w:val="00100471"/>
    <w:rsid w:val="00101CAD"/>
    <w:rsid w:val="00102F8C"/>
    <w:rsid w:val="00105734"/>
    <w:rsid w:val="001066FA"/>
    <w:rsid w:val="0010752E"/>
    <w:rsid w:val="0011028A"/>
    <w:rsid w:val="001105DF"/>
    <w:rsid w:val="001109EB"/>
    <w:rsid w:val="001148E7"/>
    <w:rsid w:val="00115822"/>
    <w:rsid w:val="00116468"/>
    <w:rsid w:val="00117BEA"/>
    <w:rsid w:val="001206B4"/>
    <w:rsid w:val="00120F8F"/>
    <w:rsid w:val="00121413"/>
    <w:rsid w:val="00121488"/>
    <w:rsid w:val="001221EB"/>
    <w:rsid w:val="00122E4F"/>
    <w:rsid w:val="00122F98"/>
    <w:rsid w:val="00122FEB"/>
    <w:rsid w:val="0012523E"/>
    <w:rsid w:val="00127311"/>
    <w:rsid w:val="00131B69"/>
    <w:rsid w:val="00132612"/>
    <w:rsid w:val="00135939"/>
    <w:rsid w:val="00135EE9"/>
    <w:rsid w:val="00136B81"/>
    <w:rsid w:val="00136CE8"/>
    <w:rsid w:val="00140874"/>
    <w:rsid w:val="00141584"/>
    <w:rsid w:val="00141C14"/>
    <w:rsid w:val="00142664"/>
    <w:rsid w:val="00142772"/>
    <w:rsid w:val="00142ED8"/>
    <w:rsid w:val="00146185"/>
    <w:rsid w:val="001501CC"/>
    <w:rsid w:val="001521E5"/>
    <w:rsid w:val="001523F0"/>
    <w:rsid w:val="00153299"/>
    <w:rsid w:val="00153B0B"/>
    <w:rsid w:val="00153F96"/>
    <w:rsid w:val="001553A1"/>
    <w:rsid w:val="00156278"/>
    <w:rsid w:val="00162D59"/>
    <w:rsid w:val="00164F89"/>
    <w:rsid w:val="001651CA"/>
    <w:rsid w:val="00170924"/>
    <w:rsid w:val="00170B03"/>
    <w:rsid w:val="00170CCE"/>
    <w:rsid w:val="00170F36"/>
    <w:rsid w:val="00172051"/>
    <w:rsid w:val="001732FB"/>
    <w:rsid w:val="00174AA4"/>
    <w:rsid w:val="00174DFF"/>
    <w:rsid w:val="00174F61"/>
    <w:rsid w:val="00175829"/>
    <w:rsid w:val="001763AD"/>
    <w:rsid w:val="001768A3"/>
    <w:rsid w:val="001823CF"/>
    <w:rsid w:val="00182442"/>
    <w:rsid w:val="00182801"/>
    <w:rsid w:val="00184C26"/>
    <w:rsid w:val="0018507A"/>
    <w:rsid w:val="00186B13"/>
    <w:rsid w:val="00187E89"/>
    <w:rsid w:val="00192A5E"/>
    <w:rsid w:val="00192FA4"/>
    <w:rsid w:val="0019310B"/>
    <w:rsid w:val="00196A2A"/>
    <w:rsid w:val="00196A3B"/>
    <w:rsid w:val="00197318"/>
    <w:rsid w:val="00197474"/>
    <w:rsid w:val="001A0ACE"/>
    <w:rsid w:val="001A1038"/>
    <w:rsid w:val="001A1AD7"/>
    <w:rsid w:val="001A1DD1"/>
    <w:rsid w:val="001A32CA"/>
    <w:rsid w:val="001A4182"/>
    <w:rsid w:val="001A444C"/>
    <w:rsid w:val="001A4D15"/>
    <w:rsid w:val="001A5E1C"/>
    <w:rsid w:val="001A600F"/>
    <w:rsid w:val="001A6E99"/>
    <w:rsid w:val="001B024A"/>
    <w:rsid w:val="001B0A22"/>
    <w:rsid w:val="001B0BEB"/>
    <w:rsid w:val="001B1851"/>
    <w:rsid w:val="001B2A15"/>
    <w:rsid w:val="001B32B3"/>
    <w:rsid w:val="001B396B"/>
    <w:rsid w:val="001B5A86"/>
    <w:rsid w:val="001C4371"/>
    <w:rsid w:val="001C5C8D"/>
    <w:rsid w:val="001D44CA"/>
    <w:rsid w:val="001D4CFF"/>
    <w:rsid w:val="001D5B9D"/>
    <w:rsid w:val="001D6227"/>
    <w:rsid w:val="001D6817"/>
    <w:rsid w:val="001D6A97"/>
    <w:rsid w:val="001D6F0C"/>
    <w:rsid w:val="001D7877"/>
    <w:rsid w:val="001E0042"/>
    <w:rsid w:val="001E01E0"/>
    <w:rsid w:val="001E08A9"/>
    <w:rsid w:val="001E10DA"/>
    <w:rsid w:val="001E17E2"/>
    <w:rsid w:val="001E2170"/>
    <w:rsid w:val="001E36A1"/>
    <w:rsid w:val="001E429B"/>
    <w:rsid w:val="001E52AA"/>
    <w:rsid w:val="001F24F8"/>
    <w:rsid w:val="001F2771"/>
    <w:rsid w:val="001F3677"/>
    <w:rsid w:val="001F460F"/>
    <w:rsid w:val="001F5868"/>
    <w:rsid w:val="001F615C"/>
    <w:rsid w:val="001F64B8"/>
    <w:rsid w:val="001F7E23"/>
    <w:rsid w:val="00200214"/>
    <w:rsid w:val="002006E5"/>
    <w:rsid w:val="00201AB6"/>
    <w:rsid w:val="00204366"/>
    <w:rsid w:val="0020507B"/>
    <w:rsid w:val="00205513"/>
    <w:rsid w:val="00207375"/>
    <w:rsid w:val="00207BFF"/>
    <w:rsid w:val="0021116B"/>
    <w:rsid w:val="0021324F"/>
    <w:rsid w:val="00213B9B"/>
    <w:rsid w:val="00213D9B"/>
    <w:rsid w:val="00214138"/>
    <w:rsid w:val="0021551A"/>
    <w:rsid w:val="00215D80"/>
    <w:rsid w:val="00216A69"/>
    <w:rsid w:val="00216AF2"/>
    <w:rsid w:val="00217185"/>
    <w:rsid w:val="002201C5"/>
    <w:rsid w:val="0022140D"/>
    <w:rsid w:val="00221632"/>
    <w:rsid w:val="00221917"/>
    <w:rsid w:val="002249B6"/>
    <w:rsid w:val="0022520C"/>
    <w:rsid w:val="00226BC2"/>
    <w:rsid w:val="00231478"/>
    <w:rsid w:val="00232A5B"/>
    <w:rsid w:val="00232D3A"/>
    <w:rsid w:val="00234F41"/>
    <w:rsid w:val="00236072"/>
    <w:rsid w:val="002363C3"/>
    <w:rsid w:val="002375E9"/>
    <w:rsid w:val="0023777C"/>
    <w:rsid w:val="00242149"/>
    <w:rsid w:val="00243FE9"/>
    <w:rsid w:val="0024419D"/>
    <w:rsid w:val="00244B64"/>
    <w:rsid w:val="00244BC0"/>
    <w:rsid w:val="002463D8"/>
    <w:rsid w:val="0024701A"/>
    <w:rsid w:val="002476B3"/>
    <w:rsid w:val="002477BA"/>
    <w:rsid w:val="00250D11"/>
    <w:rsid w:val="002511D1"/>
    <w:rsid w:val="002527C4"/>
    <w:rsid w:val="00253974"/>
    <w:rsid w:val="002549A0"/>
    <w:rsid w:val="00254F1B"/>
    <w:rsid w:val="002556F9"/>
    <w:rsid w:val="00256453"/>
    <w:rsid w:val="0025775D"/>
    <w:rsid w:val="0026230C"/>
    <w:rsid w:val="00263A09"/>
    <w:rsid w:val="00263E1A"/>
    <w:rsid w:val="002649F9"/>
    <w:rsid w:val="002662C3"/>
    <w:rsid w:val="002664F8"/>
    <w:rsid w:val="00266CDD"/>
    <w:rsid w:val="00270C87"/>
    <w:rsid w:val="00270EBA"/>
    <w:rsid w:val="00273580"/>
    <w:rsid w:val="00274ACD"/>
    <w:rsid w:val="002758E6"/>
    <w:rsid w:val="00280D4C"/>
    <w:rsid w:val="00280FB1"/>
    <w:rsid w:val="00281C7A"/>
    <w:rsid w:val="002821B4"/>
    <w:rsid w:val="002827E3"/>
    <w:rsid w:val="002835AB"/>
    <w:rsid w:val="00283BD4"/>
    <w:rsid w:val="00284E99"/>
    <w:rsid w:val="00285F21"/>
    <w:rsid w:val="00286A16"/>
    <w:rsid w:val="002872E2"/>
    <w:rsid w:val="00287622"/>
    <w:rsid w:val="002901E7"/>
    <w:rsid w:val="0029198F"/>
    <w:rsid w:val="00291E04"/>
    <w:rsid w:val="00291FE3"/>
    <w:rsid w:val="00295974"/>
    <w:rsid w:val="00295C54"/>
    <w:rsid w:val="002A09A6"/>
    <w:rsid w:val="002A0C18"/>
    <w:rsid w:val="002A1D88"/>
    <w:rsid w:val="002A24EB"/>
    <w:rsid w:val="002A393A"/>
    <w:rsid w:val="002A3B9C"/>
    <w:rsid w:val="002A3F4B"/>
    <w:rsid w:val="002A515F"/>
    <w:rsid w:val="002A62DC"/>
    <w:rsid w:val="002A6DFB"/>
    <w:rsid w:val="002A7748"/>
    <w:rsid w:val="002B0264"/>
    <w:rsid w:val="002B0EE3"/>
    <w:rsid w:val="002B14DA"/>
    <w:rsid w:val="002B18A1"/>
    <w:rsid w:val="002B3BA6"/>
    <w:rsid w:val="002B4383"/>
    <w:rsid w:val="002C109A"/>
    <w:rsid w:val="002C11B3"/>
    <w:rsid w:val="002C3730"/>
    <w:rsid w:val="002C613A"/>
    <w:rsid w:val="002C6615"/>
    <w:rsid w:val="002C7E6F"/>
    <w:rsid w:val="002C7F46"/>
    <w:rsid w:val="002D3BC5"/>
    <w:rsid w:val="002D4011"/>
    <w:rsid w:val="002D5B2D"/>
    <w:rsid w:val="002D654C"/>
    <w:rsid w:val="002D6C0E"/>
    <w:rsid w:val="002E1309"/>
    <w:rsid w:val="002E1542"/>
    <w:rsid w:val="002E4208"/>
    <w:rsid w:val="002E4539"/>
    <w:rsid w:val="002E48D1"/>
    <w:rsid w:val="002E5352"/>
    <w:rsid w:val="002E57AF"/>
    <w:rsid w:val="002E628F"/>
    <w:rsid w:val="002F027D"/>
    <w:rsid w:val="002F05DD"/>
    <w:rsid w:val="002F05E2"/>
    <w:rsid w:val="002F1B6C"/>
    <w:rsid w:val="002F2964"/>
    <w:rsid w:val="002F335E"/>
    <w:rsid w:val="002F336A"/>
    <w:rsid w:val="002F3D5F"/>
    <w:rsid w:val="002F5122"/>
    <w:rsid w:val="002F5835"/>
    <w:rsid w:val="002F5D26"/>
    <w:rsid w:val="002F637C"/>
    <w:rsid w:val="002F7438"/>
    <w:rsid w:val="00300CA1"/>
    <w:rsid w:val="00303E47"/>
    <w:rsid w:val="00304AFE"/>
    <w:rsid w:val="00307BB1"/>
    <w:rsid w:val="003104EA"/>
    <w:rsid w:val="003104FD"/>
    <w:rsid w:val="00310BFE"/>
    <w:rsid w:val="00310F91"/>
    <w:rsid w:val="00312408"/>
    <w:rsid w:val="00312629"/>
    <w:rsid w:val="003129FC"/>
    <w:rsid w:val="00313E2A"/>
    <w:rsid w:val="003150A3"/>
    <w:rsid w:val="0031571A"/>
    <w:rsid w:val="00317455"/>
    <w:rsid w:val="0032135D"/>
    <w:rsid w:val="00321B2A"/>
    <w:rsid w:val="003223EC"/>
    <w:rsid w:val="00324EA8"/>
    <w:rsid w:val="00326545"/>
    <w:rsid w:val="0033062C"/>
    <w:rsid w:val="003306A2"/>
    <w:rsid w:val="00331646"/>
    <w:rsid w:val="00332065"/>
    <w:rsid w:val="0033248B"/>
    <w:rsid w:val="00334B37"/>
    <w:rsid w:val="00335872"/>
    <w:rsid w:val="0033587D"/>
    <w:rsid w:val="00335DA8"/>
    <w:rsid w:val="003364A2"/>
    <w:rsid w:val="00336C2A"/>
    <w:rsid w:val="0033736F"/>
    <w:rsid w:val="00337ED2"/>
    <w:rsid w:val="003406C1"/>
    <w:rsid w:val="00340A5E"/>
    <w:rsid w:val="00340A6D"/>
    <w:rsid w:val="00340D07"/>
    <w:rsid w:val="00340ECE"/>
    <w:rsid w:val="00342FB8"/>
    <w:rsid w:val="0034399F"/>
    <w:rsid w:val="00343A71"/>
    <w:rsid w:val="003444AE"/>
    <w:rsid w:val="003449B6"/>
    <w:rsid w:val="00350AE2"/>
    <w:rsid w:val="00353121"/>
    <w:rsid w:val="00353457"/>
    <w:rsid w:val="003539C0"/>
    <w:rsid w:val="00353B03"/>
    <w:rsid w:val="00353C98"/>
    <w:rsid w:val="00354690"/>
    <w:rsid w:val="00354781"/>
    <w:rsid w:val="0035757B"/>
    <w:rsid w:val="00357D00"/>
    <w:rsid w:val="0036028B"/>
    <w:rsid w:val="00360A69"/>
    <w:rsid w:val="00362089"/>
    <w:rsid w:val="003635E8"/>
    <w:rsid w:val="00367C01"/>
    <w:rsid w:val="00367E17"/>
    <w:rsid w:val="003701ED"/>
    <w:rsid w:val="003714BB"/>
    <w:rsid w:val="00372B24"/>
    <w:rsid w:val="00373006"/>
    <w:rsid w:val="0037373A"/>
    <w:rsid w:val="00374681"/>
    <w:rsid w:val="003779E3"/>
    <w:rsid w:val="003812A5"/>
    <w:rsid w:val="003812A9"/>
    <w:rsid w:val="00382451"/>
    <w:rsid w:val="00385333"/>
    <w:rsid w:val="00385509"/>
    <w:rsid w:val="00387A93"/>
    <w:rsid w:val="003905EF"/>
    <w:rsid w:val="00392111"/>
    <w:rsid w:val="0039211F"/>
    <w:rsid w:val="00393365"/>
    <w:rsid w:val="00393E4D"/>
    <w:rsid w:val="003944D0"/>
    <w:rsid w:val="0039456E"/>
    <w:rsid w:val="003A1764"/>
    <w:rsid w:val="003A275B"/>
    <w:rsid w:val="003A42A0"/>
    <w:rsid w:val="003A45A3"/>
    <w:rsid w:val="003A4A18"/>
    <w:rsid w:val="003A4FFA"/>
    <w:rsid w:val="003A55DC"/>
    <w:rsid w:val="003A57DE"/>
    <w:rsid w:val="003A65BB"/>
    <w:rsid w:val="003A669D"/>
    <w:rsid w:val="003B24B9"/>
    <w:rsid w:val="003B51CD"/>
    <w:rsid w:val="003B6EB3"/>
    <w:rsid w:val="003B6EEB"/>
    <w:rsid w:val="003C00B0"/>
    <w:rsid w:val="003C3631"/>
    <w:rsid w:val="003C6005"/>
    <w:rsid w:val="003C60F3"/>
    <w:rsid w:val="003C6364"/>
    <w:rsid w:val="003D09B5"/>
    <w:rsid w:val="003D2B23"/>
    <w:rsid w:val="003D51EA"/>
    <w:rsid w:val="003D6602"/>
    <w:rsid w:val="003E0D44"/>
    <w:rsid w:val="003E1307"/>
    <w:rsid w:val="003E24D2"/>
    <w:rsid w:val="003E3BC1"/>
    <w:rsid w:val="003E3DB7"/>
    <w:rsid w:val="003E580C"/>
    <w:rsid w:val="003E5C05"/>
    <w:rsid w:val="003E652A"/>
    <w:rsid w:val="003E671D"/>
    <w:rsid w:val="003E6D24"/>
    <w:rsid w:val="003E6FD9"/>
    <w:rsid w:val="003F06CA"/>
    <w:rsid w:val="003F0D72"/>
    <w:rsid w:val="003F0E21"/>
    <w:rsid w:val="003F28CB"/>
    <w:rsid w:val="003F415E"/>
    <w:rsid w:val="003F575F"/>
    <w:rsid w:val="003F643F"/>
    <w:rsid w:val="003F77A8"/>
    <w:rsid w:val="00400131"/>
    <w:rsid w:val="004005D7"/>
    <w:rsid w:val="00401463"/>
    <w:rsid w:val="00401CBA"/>
    <w:rsid w:val="0040409F"/>
    <w:rsid w:val="004067BD"/>
    <w:rsid w:val="004074A2"/>
    <w:rsid w:val="00407E96"/>
    <w:rsid w:val="00411E63"/>
    <w:rsid w:val="004211F2"/>
    <w:rsid w:val="00423698"/>
    <w:rsid w:val="00424B4B"/>
    <w:rsid w:val="0042604A"/>
    <w:rsid w:val="004329EE"/>
    <w:rsid w:val="0043354E"/>
    <w:rsid w:val="004339CA"/>
    <w:rsid w:val="00434A08"/>
    <w:rsid w:val="00434A6C"/>
    <w:rsid w:val="00434FAA"/>
    <w:rsid w:val="00435155"/>
    <w:rsid w:val="00435989"/>
    <w:rsid w:val="00436507"/>
    <w:rsid w:val="00436BFB"/>
    <w:rsid w:val="00437070"/>
    <w:rsid w:val="00440AAB"/>
    <w:rsid w:val="0044116F"/>
    <w:rsid w:val="00441477"/>
    <w:rsid w:val="00441905"/>
    <w:rsid w:val="0044382E"/>
    <w:rsid w:val="00443F8B"/>
    <w:rsid w:val="00450CB0"/>
    <w:rsid w:val="004512F6"/>
    <w:rsid w:val="004519A9"/>
    <w:rsid w:val="00451C31"/>
    <w:rsid w:val="0045300F"/>
    <w:rsid w:val="00453040"/>
    <w:rsid w:val="004535E0"/>
    <w:rsid w:val="0045543F"/>
    <w:rsid w:val="00456399"/>
    <w:rsid w:val="004568DD"/>
    <w:rsid w:val="00456F4C"/>
    <w:rsid w:val="00460894"/>
    <w:rsid w:val="004611AB"/>
    <w:rsid w:val="0046138C"/>
    <w:rsid w:val="00461FFE"/>
    <w:rsid w:val="004633F5"/>
    <w:rsid w:val="00463E0A"/>
    <w:rsid w:val="00464F52"/>
    <w:rsid w:val="004658DD"/>
    <w:rsid w:val="0046631C"/>
    <w:rsid w:val="004664F4"/>
    <w:rsid w:val="00467414"/>
    <w:rsid w:val="00470356"/>
    <w:rsid w:val="00472AE6"/>
    <w:rsid w:val="00473BFD"/>
    <w:rsid w:val="00475812"/>
    <w:rsid w:val="00475F49"/>
    <w:rsid w:val="00476FD7"/>
    <w:rsid w:val="00477851"/>
    <w:rsid w:val="00481CCD"/>
    <w:rsid w:val="004820D8"/>
    <w:rsid w:val="00482A14"/>
    <w:rsid w:val="0048318B"/>
    <w:rsid w:val="00484FD5"/>
    <w:rsid w:val="004854C4"/>
    <w:rsid w:val="004862B5"/>
    <w:rsid w:val="004871E5"/>
    <w:rsid w:val="00487522"/>
    <w:rsid w:val="00487D8C"/>
    <w:rsid w:val="00490256"/>
    <w:rsid w:val="004909C3"/>
    <w:rsid w:val="00490F02"/>
    <w:rsid w:val="00491B7E"/>
    <w:rsid w:val="0049298F"/>
    <w:rsid w:val="00492B19"/>
    <w:rsid w:val="00492DE8"/>
    <w:rsid w:val="00492E19"/>
    <w:rsid w:val="004A178C"/>
    <w:rsid w:val="004A3EFA"/>
    <w:rsid w:val="004A40FD"/>
    <w:rsid w:val="004A489A"/>
    <w:rsid w:val="004A5397"/>
    <w:rsid w:val="004A57DD"/>
    <w:rsid w:val="004A7658"/>
    <w:rsid w:val="004B140D"/>
    <w:rsid w:val="004B18DC"/>
    <w:rsid w:val="004B201B"/>
    <w:rsid w:val="004B387A"/>
    <w:rsid w:val="004B46C7"/>
    <w:rsid w:val="004B48DB"/>
    <w:rsid w:val="004B4B0F"/>
    <w:rsid w:val="004B519D"/>
    <w:rsid w:val="004B6A1E"/>
    <w:rsid w:val="004B7A17"/>
    <w:rsid w:val="004C1079"/>
    <w:rsid w:val="004C16C5"/>
    <w:rsid w:val="004C1992"/>
    <w:rsid w:val="004C247C"/>
    <w:rsid w:val="004C604A"/>
    <w:rsid w:val="004C75E2"/>
    <w:rsid w:val="004C7CA8"/>
    <w:rsid w:val="004D16C5"/>
    <w:rsid w:val="004D214E"/>
    <w:rsid w:val="004D2642"/>
    <w:rsid w:val="004D42AD"/>
    <w:rsid w:val="004D4BDD"/>
    <w:rsid w:val="004D4DA2"/>
    <w:rsid w:val="004D5276"/>
    <w:rsid w:val="004D5685"/>
    <w:rsid w:val="004D5B42"/>
    <w:rsid w:val="004D6EDF"/>
    <w:rsid w:val="004E0A49"/>
    <w:rsid w:val="004E1A10"/>
    <w:rsid w:val="004E1E91"/>
    <w:rsid w:val="004E205D"/>
    <w:rsid w:val="004E4271"/>
    <w:rsid w:val="004E46F4"/>
    <w:rsid w:val="004E4F0E"/>
    <w:rsid w:val="004E6D1E"/>
    <w:rsid w:val="004F0DA2"/>
    <w:rsid w:val="004F1644"/>
    <w:rsid w:val="004F3DF1"/>
    <w:rsid w:val="004F68CB"/>
    <w:rsid w:val="00501B10"/>
    <w:rsid w:val="00502D53"/>
    <w:rsid w:val="00503031"/>
    <w:rsid w:val="0050409D"/>
    <w:rsid w:val="00504423"/>
    <w:rsid w:val="00505399"/>
    <w:rsid w:val="00505466"/>
    <w:rsid w:val="00506E73"/>
    <w:rsid w:val="0050719F"/>
    <w:rsid w:val="00507AC9"/>
    <w:rsid w:val="00512C05"/>
    <w:rsid w:val="00515150"/>
    <w:rsid w:val="005151D2"/>
    <w:rsid w:val="00520772"/>
    <w:rsid w:val="00522110"/>
    <w:rsid w:val="00522473"/>
    <w:rsid w:val="0052256C"/>
    <w:rsid w:val="005248BF"/>
    <w:rsid w:val="005255B9"/>
    <w:rsid w:val="00527A16"/>
    <w:rsid w:val="00527B83"/>
    <w:rsid w:val="005302C4"/>
    <w:rsid w:val="00531988"/>
    <w:rsid w:val="0053198C"/>
    <w:rsid w:val="00537B5F"/>
    <w:rsid w:val="005410D2"/>
    <w:rsid w:val="00542F15"/>
    <w:rsid w:val="005441BC"/>
    <w:rsid w:val="00544D23"/>
    <w:rsid w:val="00546481"/>
    <w:rsid w:val="005465B0"/>
    <w:rsid w:val="00547EC4"/>
    <w:rsid w:val="00551198"/>
    <w:rsid w:val="005517CC"/>
    <w:rsid w:val="0055310A"/>
    <w:rsid w:val="00554762"/>
    <w:rsid w:val="00554FA5"/>
    <w:rsid w:val="00557D50"/>
    <w:rsid w:val="005608F8"/>
    <w:rsid w:val="00562DF6"/>
    <w:rsid w:val="00562FC0"/>
    <w:rsid w:val="00564833"/>
    <w:rsid w:val="0056567C"/>
    <w:rsid w:val="00566CC6"/>
    <w:rsid w:val="005675AD"/>
    <w:rsid w:val="00567BE2"/>
    <w:rsid w:val="00567E5E"/>
    <w:rsid w:val="0057277D"/>
    <w:rsid w:val="00575566"/>
    <w:rsid w:val="005767C0"/>
    <w:rsid w:val="005767FF"/>
    <w:rsid w:val="0057703F"/>
    <w:rsid w:val="00577639"/>
    <w:rsid w:val="005803F7"/>
    <w:rsid w:val="005813C7"/>
    <w:rsid w:val="00581A92"/>
    <w:rsid w:val="0058368E"/>
    <w:rsid w:val="005839A7"/>
    <w:rsid w:val="00584166"/>
    <w:rsid w:val="00584218"/>
    <w:rsid w:val="00584CF0"/>
    <w:rsid w:val="005857BA"/>
    <w:rsid w:val="005859C5"/>
    <w:rsid w:val="00590A78"/>
    <w:rsid w:val="005915A3"/>
    <w:rsid w:val="0059277B"/>
    <w:rsid w:val="00592C2A"/>
    <w:rsid w:val="005930C6"/>
    <w:rsid w:val="005949F6"/>
    <w:rsid w:val="0059514E"/>
    <w:rsid w:val="005953B4"/>
    <w:rsid w:val="0059645B"/>
    <w:rsid w:val="00596CA1"/>
    <w:rsid w:val="005971B9"/>
    <w:rsid w:val="00597491"/>
    <w:rsid w:val="005976DD"/>
    <w:rsid w:val="005A0135"/>
    <w:rsid w:val="005A1905"/>
    <w:rsid w:val="005A21FC"/>
    <w:rsid w:val="005A3F4C"/>
    <w:rsid w:val="005A490C"/>
    <w:rsid w:val="005A4EE8"/>
    <w:rsid w:val="005A6DEE"/>
    <w:rsid w:val="005A7391"/>
    <w:rsid w:val="005B0656"/>
    <w:rsid w:val="005B37C5"/>
    <w:rsid w:val="005B391B"/>
    <w:rsid w:val="005B44A0"/>
    <w:rsid w:val="005B5F66"/>
    <w:rsid w:val="005B6F2D"/>
    <w:rsid w:val="005B75B2"/>
    <w:rsid w:val="005B7A38"/>
    <w:rsid w:val="005B7BDE"/>
    <w:rsid w:val="005C0859"/>
    <w:rsid w:val="005C156B"/>
    <w:rsid w:val="005C2A37"/>
    <w:rsid w:val="005C2A67"/>
    <w:rsid w:val="005C4349"/>
    <w:rsid w:val="005C4447"/>
    <w:rsid w:val="005C4448"/>
    <w:rsid w:val="005C4BE6"/>
    <w:rsid w:val="005C624E"/>
    <w:rsid w:val="005C71EE"/>
    <w:rsid w:val="005D06C5"/>
    <w:rsid w:val="005D38DA"/>
    <w:rsid w:val="005D6744"/>
    <w:rsid w:val="005E05F4"/>
    <w:rsid w:val="005E1230"/>
    <w:rsid w:val="005E13CC"/>
    <w:rsid w:val="005E37D7"/>
    <w:rsid w:val="005E3CBA"/>
    <w:rsid w:val="005E408B"/>
    <w:rsid w:val="005E694B"/>
    <w:rsid w:val="005E7AFB"/>
    <w:rsid w:val="005E7C05"/>
    <w:rsid w:val="005F0FB5"/>
    <w:rsid w:val="005F2CBE"/>
    <w:rsid w:val="005F2EE3"/>
    <w:rsid w:val="005F323C"/>
    <w:rsid w:val="005F4316"/>
    <w:rsid w:val="005F5637"/>
    <w:rsid w:val="005F5922"/>
    <w:rsid w:val="005F5D0B"/>
    <w:rsid w:val="005F6D80"/>
    <w:rsid w:val="005F6F05"/>
    <w:rsid w:val="00600438"/>
    <w:rsid w:val="00600630"/>
    <w:rsid w:val="00600D22"/>
    <w:rsid w:val="00602250"/>
    <w:rsid w:val="0060306E"/>
    <w:rsid w:val="00603288"/>
    <w:rsid w:val="00603887"/>
    <w:rsid w:val="00603EA0"/>
    <w:rsid w:val="006042B0"/>
    <w:rsid w:val="00604748"/>
    <w:rsid w:val="0060490F"/>
    <w:rsid w:val="00604EE8"/>
    <w:rsid w:val="006078EB"/>
    <w:rsid w:val="00607E57"/>
    <w:rsid w:val="00611530"/>
    <w:rsid w:val="00614204"/>
    <w:rsid w:val="006156E1"/>
    <w:rsid w:val="00615FB7"/>
    <w:rsid w:val="00616391"/>
    <w:rsid w:val="00617BA8"/>
    <w:rsid w:val="00617F0F"/>
    <w:rsid w:val="006203C5"/>
    <w:rsid w:val="00622E02"/>
    <w:rsid w:val="00623D39"/>
    <w:rsid w:val="00625689"/>
    <w:rsid w:val="00626DA5"/>
    <w:rsid w:val="006303FC"/>
    <w:rsid w:val="00633D19"/>
    <w:rsid w:val="00634C72"/>
    <w:rsid w:val="00637333"/>
    <w:rsid w:val="00637514"/>
    <w:rsid w:val="006376A5"/>
    <w:rsid w:val="00637FD3"/>
    <w:rsid w:val="00640888"/>
    <w:rsid w:val="00644E52"/>
    <w:rsid w:val="006457EF"/>
    <w:rsid w:val="00646A0A"/>
    <w:rsid w:val="00647970"/>
    <w:rsid w:val="0065026A"/>
    <w:rsid w:val="006528AF"/>
    <w:rsid w:val="00652CB5"/>
    <w:rsid w:val="00655D0D"/>
    <w:rsid w:val="00657171"/>
    <w:rsid w:val="00660FF4"/>
    <w:rsid w:val="00661FFA"/>
    <w:rsid w:val="00662D37"/>
    <w:rsid w:val="006634B5"/>
    <w:rsid w:val="00664A4A"/>
    <w:rsid w:val="00664FBD"/>
    <w:rsid w:val="006659D3"/>
    <w:rsid w:val="00665D77"/>
    <w:rsid w:val="00665FD7"/>
    <w:rsid w:val="00667B4C"/>
    <w:rsid w:val="00667C1A"/>
    <w:rsid w:val="006707F8"/>
    <w:rsid w:val="006714FF"/>
    <w:rsid w:val="00673A8C"/>
    <w:rsid w:val="00673AAB"/>
    <w:rsid w:val="00674BBB"/>
    <w:rsid w:val="00675422"/>
    <w:rsid w:val="00676482"/>
    <w:rsid w:val="00676EAE"/>
    <w:rsid w:val="006776BC"/>
    <w:rsid w:val="00680643"/>
    <w:rsid w:val="00681007"/>
    <w:rsid w:val="00681CB8"/>
    <w:rsid w:val="00682A58"/>
    <w:rsid w:val="0068313A"/>
    <w:rsid w:val="00683E15"/>
    <w:rsid w:val="006860A7"/>
    <w:rsid w:val="006870F1"/>
    <w:rsid w:val="0068787D"/>
    <w:rsid w:val="00690D42"/>
    <w:rsid w:val="00692D98"/>
    <w:rsid w:val="00694FAE"/>
    <w:rsid w:val="006961D1"/>
    <w:rsid w:val="00696FBF"/>
    <w:rsid w:val="006A220F"/>
    <w:rsid w:val="006A2900"/>
    <w:rsid w:val="006A3157"/>
    <w:rsid w:val="006A317F"/>
    <w:rsid w:val="006A5741"/>
    <w:rsid w:val="006A70CE"/>
    <w:rsid w:val="006A77E3"/>
    <w:rsid w:val="006A7A4C"/>
    <w:rsid w:val="006B1D02"/>
    <w:rsid w:val="006B20AA"/>
    <w:rsid w:val="006B367F"/>
    <w:rsid w:val="006B3E71"/>
    <w:rsid w:val="006B4180"/>
    <w:rsid w:val="006B588F"/>
    <w:rsid w:val="006B5F32"/>
    <w:rsid w:val="006B61AC"/>
    <w:rsid w:val="006B785C"/>
    <w:rsid w:val="006B7F0B"/>
    <w:rsid w:val="006C0EDB"/>
    <w:rsid w:val="006C11B5"/>
    <w:rsid w:val="006C1614"/>
    <w:rsid w:val="006C1D9F"/>
    <w:rsid w:val="006C4108"/>
    <w:rsid w:val="006C4960"/>
    <w:rsid w:val="006C4B90"/>
    <w:rsid w:val="006C53E1"/>
    <w:rsid w:val="006C7045"/>
    <w:rsid w:val="006D05B1"/>
    <w:rsid w:val="006D1C99"/>
    <w:rsid w:val="006D2F27"/>
    <w:rsid w:val="006D30E8"/>
    <w:rsid w:val="006D3844"/>
    <w:rsid w:val="006D4585"/>
    <w:rsid w:val="006D67EA"/>
    <w:rsid w:val="006D6F9A"/>
    <w:rsid w:val="006D74A9"/>
    <w:rsid w:val="006E1389"/>
    <w:rsid w:val="006E1D81"/>
    <w:rsid w:val="006E2A5D"/>
    <w:rsid w:val="006E2F27"/>
    <w:rsid w:val="006E3037"/>
    <w:rsid w:val="006E30E2"/>
    <w:rsid w:val="006E388B"/>
    <w:rsid w:val="006E47F0"/>
    <w:rsid w:val="006E5253"/>
    <w:rsid w:val="006E56F6"/>
    <w:rsid w:val="006E5E94"/>
    <w:rsid w:val="006E6E07"/>
    <w:rsid w:val="006E702E"/>
    <w:rsid w:val="006E7A5A"/>
    <w:rsid w:val="006E7C7E"/>
    <w:rsid w:val="006F030B"/>
    <w:rsid w:val="006F0513"/>
    <w:rsid w:val="006F104A"/>
    <w:rsid w:val="006F16DC"/>
    <w:rsid w:val="006F2346"/>
    <w:rsid w:val="006F24AA"/>
    <w:rsid w:val="006F3E28"/>
    <w:rsid w:val="006F512E"/>
    <w:rsid w:val="006F5169"/>
    <w:rsid w:val="006F647D"/>
    <w:rsid w:val="006F76CE"/>
    <w:rsid w:val="006F7C14"/>
    <w:rsid w:val="006F7CDB"/>
    <w:rsid w:val="006F7DB0"/>
    <w:rsid w:val="00700474"/>
    <w:rsid w:val="00701826"/>
    <w:rsid w:val="007043C2"/>
    <w:rsid w:val="00704AB4"/>
    <w:rsid w:val="00704AC5"/>
    <w:rsid w:val="00705189"/>
    <w:rsid w:val="00705DDE"/>
    <w:rsid w:val="0070692E"/>
    <w:rsid w:val="00706C0F"/>
    <w:rsid w:val="00707CE9"/>
    <w:rsid w:val="0071136C"/>
    <w:rsid w:val="007133E4"/>
    <w:rsid w:val="007146E8"/>
    <w:rsid w:val="007151F8"/>
    <w:rsid w:val="007155E6"/>
    <w:rsid w:val="00715A5D"/>
    <w:rsid w:val="00717F0B"/>
    <w:rsid w:val="00720BB2"/>
    <w:rsid w:val="007228BC"/>
    <w:rsid w:val="0072463B"/>
    <w:rsid w:val="0072538B"/>
    <w:rsid w:val="00726CBD"/>
    <w:rsid w:val="00730F52"/>
    <w:rsid w:val="00733285"/>
    <w:rsid w:val="00733EC1"/>
    <w:rsid w:val="00734566"/>
    <w:rsid w:val="0073531D"/>
    <w:rsid w:val="00735811"/>
    <w:rsid w:val="00735CE3"/>
    <w:rsid w:val="00740BC4"/>
    <w:rsid w:val="00742741"/>
    <w:rsid w:val="00742DAC"/>
    <w:rsid w:val="00743375"/>
    <w:rsid w:val="00743D21"/>
    <w:rsid w:val="00745931"/>
    <w:rsid w:val="0074629F"/>
    <w:rsid w:val="007462A2"/>
    <w:rsid w:val="00746A6B"/>
    <w:rsid w:val="007478AB"/>
    <w:rsid w:val="00753D76"/>
    <w:rsid w:val="00756909"/>
    <w:rsid w:val="0076096C"/>
    <w:rsid w:val="007633D6"/>
    <w:rsid w:val="00763591"/>
    <w:rsid w:val="0076584A"/>
    <w:rsid w:val="007671D8"/>
    <w:rsid w:val="007671E1"/>
    <w:rsid w:val="00767EF9"/>
    <w:rsid w:val="00770AB5"/>
    <w:rsid w:val="007715BB"/>
    <w:rsid w:val="00771F70"/>
    <w:rsid w:val="00772147"/>
    <w:rsid w:val="00772B9D"/>
    <w:rsid w:val="00776580"/>
    <w:rsid w:val="00776D2C"/>
    <w:rsid w:val="00776D9D"/>
    <w:rsid w:val="00780603"/>
    <w:rsid w:val="007807C4"/>
    <w:rsid w:val="00780BD3"/>
    <w:rsid w:val="0078160C"/>
    <w:rsid w:val="00781625"/>
    <w:rsid w:val="00782DEE"/>
    <w:rsid w:val="00783A9C"/>
    <w:rsid w:val="00784624"/>
    <w:rsid w:val="00785579"/>
    <w:rsid w:val="00790749"/>
    <w:rsid w:val="007919A0"/>
    <w:rsid w:val="007922EF"/>
    <w:rsid w:val="00794108"/>
    <w:rsid w:val="00794243"/>
    <w:rsid w:val="007946F0"/>
    <w:rsid w:val="00794BD4"/>
    <w:rsid w:val="00795D9F"/>
    <w:rsid w:val="00796647"/>
    <w:rsid w:val="007A0C0B"/>
    <w:rsid w:val="007A4825"/>
    <w:rsid w:val="007A52AB"/>
    <w:rsid w:val="007A655E"/>
    <w:rsid w:val="007A74FF"/>
    <w:rsid w:val="007B02AB"/>
    <w:rsid w:val="007B1BDE"/>
    <w:rsid w:val="007B48C2"/>
    <w:rsid w:val="007B5ADA"/>
    <w:rsid w:val="007B5BC3"/>
    <w:rsid w:val="007C00C4"/>
    <w:rsid w:val="007C0B55"/>
    <w:rsid w:val="007C24D2"/>
    <w:rsid w:val="007C2E26"/>
    <w:rsid w:val="007C398A"/>
    <w:rsid w:val="007C3A8E"/>
    <w:rsid w:val="007C45A3"/>
    <w:rsid w:val="007C55DF"/>
    <w:rsid w:val="007D0180"/>
    <w:rsid w:val="007D4355"/>
    <w:rsid w:val="007D43CD"/>
    <w:rsid w:val="007D4926"/>
    <w:rsid w:val="007D4DC5"/>
    <w:rsid w:val="007D5EDF"/>
    <w:rsid w:val="007D65F2"/>
    <w:rsid w:val="007D6BBF"/>
    <w:rsid w:val="007D79EC"/>
    <w:rsid w:val="007E246B"/>
    <w:rsid w:val="007E4C46"/>
    <w:rsid w:val="007E5ECB"/>
    <w:rsid w:val="007E6C62"/>
    <w:rsid w:val="007E7492"/>
    <w:rsid w:val="007F0E77"/>
    <w:rsid w:val="007F0F24"/>
    <w:rsid w:val="007F23A9"/>
    <w:rsid w:val="007F269B"/>
    <w:rsid w:val="007F4084"/>
    <w:rsid w:val="007F48A1"/>
    <w:rsid w:val="007F516D"/>
    <w:rsid w:val="007F5E75"/>
    <w:rsid w:val="007F620E"/>
    <w:rsid w:val="007F7213"/>
    <w:rsid w:val="00801E42"/>
    <w:rsid w:val="00802239"/>
    <w:rsid w:val="00803A39"/>
    <w:rsid w:val="00803B54"/>
    <w:rsid w:val="0080475A"/>
    <w:rsid w:val="00811D39"/>
    <w:rsid w:val="008134B4"/>
    <w:rsid w:val="0081395F"/>
    <w:rsid w:val="00814065"/>
    <w:rsid w:val="008143B5"/>
    <w:rsid w:val="00814D44"/>
    <w:rsid w:val="00814EA5"/>
    <w:rsid w:val="0081507A"/>
    <w:rsid w:val="00816565"/>
    <w:rsid w:val="0081684F"/>
    <w:rsid w:val="008172CA"/>
    <w:rsid w:val="00817B37"/>
    <w:rsid w:val="00821531"/>
    <w:rsid w:val="00822920"/>
    <w:rsid w:val="00824472"/>
    <w:rsid w:val="0082719B"/>
    <w:rsid w:val="0082766C"/>
    <w:rsid w:val="0082785D"/>
    <w:rsid w:val="00830869"/>
    <w:rsid w:val="00830E46"/>
    <w:rsid w:val="008320CA"/>
    <w:rsid w:val="00833A8A"/>
    <w:rsid w:val="00833B8F"/>
    <w:rsid w:val="00834B3F"/>
    <w:rsid w:val="008354E5"/>
    <w:rsid w:val="00836953"/>
    <w:rsid w:val="008373E6"/>
    <w:rsid w:val="0083745D"/>
    <w:rsid w:val="008378AF"/>
    <w:rsid w:val="00840FF0"/>
    <w:rsid w:val="00842588"/>
    <w:rsid w:val="008441FD"/>
    <w:rsid w:val="00844F1D"/>
    <w:rsid w:val="008461BD"/>
    <w:rsid w:val="00850B7D"/>
    <w:rsid w:val="008524B3"/>
    <w:rsid w:val="00852B5D"/>
    <w:rsid w:val="00854181"/>
    <w:rsid w:val="008569FD"/>
    <w:rsid w:val="0085716F"/>
    <w:rsid w:val="008572D2"/>
    <w:rsid w:val="00857E52"/>
    <w:rsid w:val="0086235C"/>
    <w:rsid w:val="00862E35"/>
    <w:rsid w:val="00863370"/>
    <w:rsid w:val="00863525"/>
    <w:rsid w:val="00865048"/>
    <w:rsid w:val="008652FA"/>
    <w:rsid w:val="00866A50"/>
    <w:rsid w:val="00867682"/>
    <w:rsid w:val="008677FD"/>
    <w:rsid w:val="008704A6"/>
    <w:rsid w:val="0087099A"/>
    <w:rsid w:val="008709C3"/>
    <w:rsid w:val="00873DBD"/>
    <w:rsid w:val="00874B87"/>
    <w:rsid w:val="00874C05"/>
    <w:rsid w:val="0087572D"/>
    <w:rsid w:val="008772C1"/>
    <w:rsid w:val="00880381"/>
    <w:rsid w:val="00881513"/>
    <w:rsid w:val="0088199B"/>
    <w:rsid w:val="00883937"/>
    <w:rsid w:val="008841C4"/>
    <w:rsid w:val="00884A85"/>
    <w:rsid w:val="0089001F"/>
    <w:rsid w:val="0089138E"/>
    <w:rsid w:val="0089147A"/>
    <w:rsid w:val="008917E0"/>
    <w:rsid w:val="00893BC9"/>
    <w:rsid w:val="00896334"/>
    <w:rsid w:val="008A1692"/>
    <w:rsid w:val="008A39B0"/>
    <w:rsid w:val="008A4B29"/>
    <w:rsid w:val="008A5086"/>
    <w:rsid w:val="008A66C0"/>
    <w:rsid w:val="008A7A5B"/>
    <w:rsid w:val="008B0225"/>
    <w:rsid w:val="008B15F6"/>
    <w:rsid w:val="008B1A97"/>
    <w:rsid w:val="008B2392"/>
    <w:rsid w:val="008B2519"/>
    <w:rsid w:val="008B42C3"/>
    <w:rsid w:val="008B55B1"/>
    <w:rsid w:val="008B5B46"/>
    <w:rsid w:val="008B5E4A"/>
    <w:rsid w:val="008B6429"/>
    <w:rsid w:val="008B68F1"/>
    <w:rsid w:val="008B6B73"/>
    <w:rsid w:val="008C281B"/>
    <w:rsid w:val="008C2DD3"/>
    <w:rsid w:val="008C4783"/>
    <w:rsid w:val="008C58C5"/>
    <w:rsid w:val="008C7445"/>
    <w:rsid w:val="008C75DD"/>
    <w:rsid w:val="008C7B68"/>
    <w:rsid w:val="008D0A89"/>
    <w:rsid w:val="008D4672"/>
    <w:rsid w:val="008D6F2D"/>
    <w:rsid w:val="008D7911"/>
    <w:rsid w:val="008E16E5"/>
    <w:rsid w:val="008E1EC1"/>
    <w:rsid w:val="008E2D45"/>
    <w:rsid w:val="008E4C0E"/>
    <w:rsid w:val="008E51CA"/>
    <w:rsid w:val="008E6161"/>
    <w:rsid w:val="008F1159"/>
    <w:rsid w:val="008F24EC"/>
    <w:rsid w:val="008F3D63"/>
    <w:rsid w:val="008F466B"/>
    <w:rsid w:val="008F4FCF"/>
    <w:rsid w:val="008F5F97"/>
    <w:rsid w:val="008F6103"/>
    <w:rsid w:val="009010CC"/>
    <w:rsid w:val="00901730"/>
    <w:rsid w:val="0090192E"/>
    <w:rsid w:val="0090205E"/>
    <w:rsid w:val="00904234"/>
    <w:rsid w:val="00904542"/>
    <w:rsid w:val="00904CD1"/>
    <w:rsid w:val="0090583E"/>
    <w:rsid w:val="00906CFF"/>
    <w:rsid w:val="009078A9"/>
    <w:rsid w:val="00912E7F"/>
    <w:rsid w:val="00913A6A"/>
    <w:rsid w:val="0091505A"/>
    <w:rsid w:val="00915C0D"/>
    <w:rsid w:val="00916156"/>
    <w:rsid w:val="00916E09"/>
    <w:rsid w:val="0092091B"/>
    <w:rsid w:val="00920A53"/>
    <w:rsid w:val="009217D2"/>
    <w:rsid w:val="00922C3F"/>
    <w:rsid w:val="009245D0"/>
    <w:rsid w:val="009249B5"/>
    <w:rsid w:val="00931CEF"/>
    <w:rsid w:val="00932DAA"/>
    <w:rsid w:val="00932FA6"/>
    <w:rsid w:val="0093304D"/>
    <w:rsid w:val="00933ADD"/>
    <w:rsid w:val="009359DC"/>
    <w:rsid w:val="009370BA"/>
    <w:rsid w:val="009426D6"/>
    <w:rsid w:val="0094567E"/>
    <w:rsid w:val="00946020"/>
    <w:rsid w:val="00947982"/>
    <w:rsid w:val="00950011"/>
    <w:rsid w:val="0095047C"/>
    <w:rsid w:val="00951222"/>
    <w:rsid w:val="0095175F"/>
    <w:rsid w:val="009517E3"/>
    <w:rsid w:val="00951AA5"/>
    <w:rsid w:val="00952257"/>
    <w:rsid w:val="00952E4B"/>
    <w:rsid w:val="00953F76"/>
    <w:rsid w:val="00954522"/>
    <w:rsid w:val="00954ADE"/>
    <w:rsid w:val="00956831"/>
    <w:rsid w:val="0095694B"/>
    <w:rsid w:val="00956B1D"/>
    <w:rsid w:val="00957925"/>
    <w:rsid w:val="00957DA7"/>
    <w:rsid w:val="00960092"/>
    <w:rsid w:val="00961BB5"/>
    <w:rsid w:val="009629EF"/>
    <w:rsid w:val="00962C67"/>
    <w:rsid w:val="00962E4A"/>
    <w:rsid w:val="0096337E"/>
    <w:rsid w:val="0096765F"/>
    <w:rsid w:val="00967E4D"/>
    <w:rsid w:val="00972FC9"/>
    <w:rsid w:val="00973136"/>
    <w:rsid w:val="009734A9"/>
    <w:rsid w:val="0097421C"/>
    <w:rsid w:val="009755C1"/>
    <w:rsid w:val="00977D61"/>
    <w:rsid w:val="00980E7C"/>
    <w:rsid w:val="0098363A"/>
    <w:rsid w:val="00985EBB"/>
    <w:rsid w:val="00986008"/>
    <w:rsid w:val="00986138"/>
    <w:rsid w:val="00986C33"/>
    <w:rsid w:val="00990641"/>
    <w:rsid w:val="00993BB4"/>
    <w:rsid w:val="0099445C"/>
    <w:rsid w:val="009949D1"/>
    <w:rsid w:val="009966E0"/>
    <w:rsid w:val="0099690B"/>
    <w:rsid w:val="00996E18"/>
    <w:rsid w:val="009A10F3"/>
    <w:rsid w:val="009A1EC4"/>
    <w:rsid w:val="009A21D9"/>
    <w:rsid w:val="009A3A15"/>
    <w:rsid w:val="009A4873"/>
    <w:rsid w:val="009A603F"/>
    <w:rsid w:val="009A60FB"/>
    <w:rsid w:val="009A61C4"/>
    <w:rsid w:val="009A689C"/>
    <w:rsid w:val="009A79CC"/>
    <w:rsid w:val="009B0988"/>
    <w:rsid w:val="009B0BA5"/>
    <w:rsid w:val="009B2180"/>
    <w:rsid w:val="009B5B09"/>
    <w:rsid w:val="009B5C65"/>
    <w:rsid w:val="009B6FC4"/>
    <w:rsid w:val="009C0E6F"/>
    <w:rsid w:val="009C3A6D"/>
    <w:rsid w:val="009C3EDE"/>
    <w:rsid w:val="009C528D"/>
    <w:rsid w:val="009D14D4"/>
    <w:rsid w:val="009D2F0D"/>
    <w:rsid w:val="009D6297"/>
    <w:rsid w:val="009D73BF"/>
    <w:rsid w:val="009E0028"/>
    <w:rsid w:val="009E1F89"/>
    <w:rsid w:val="009E2A7C"/>
    <w:rsid w:val="009E364E"/>
    <w:rsid w:val="009E6AEC"/>
    <w:rsid w:val="009E6F29"/>
    <w:rsid w:val="009E6F3E"/>
    <w:rsid w:val="009E7850"/>
    <w:rsid w:val="009E7EAD"/>
    <w:rsid w:val="009F0B83"/>
    <w:rsid w:val="009F1454"/>
    <w:rsid w:val="009F2BE6"/>
    <w:rsid w:val="009F2F01"/>
    <w:rsid w:val="009F31A6"/>
    <w:rsid w:val="009F3E9E"/>
    <w:rsid w:val="009F5669"/>
    <w:rsid w:val="00A00656"/>
    <w:rsid w:val="00A022C3"/>
    <w:rsid w:val="00A02473"/>
    <w:rsid w:val="00A02486"/>
    <w:rsid w:val="00A0520A"/>
    <w:rsid w:val="00A0547D"/>
    <w:rsid w:val="00A063D6"/>
    <w:rsid w:val="00A06733"/>
    <w:rsid w:val="00A07FDC"/>
    <w:rsid w:val="00A11CBE"/>
    <w:rsid w:val="00A12967"/>
    <w:rsid w:val="00A12A2B"/>
    <w:rsid w:val="00A14C49"/>
    <w:rsid w:val="00A15852"/>
    <w:rsid w:val="00A15DB0"/>
    <w:rsid w:val="00A15F6D"/>
    <w:rsid w:val="00A16885"/>
    <w:rsid w:val="00A2248C"/>
    <w:rsid w:val="00A23138"/>
    <w:rsid w:val="00A2632E"/>
    <w:rsid w:val="00A26582"/>
    <w:rsid w:val="00A26A48"/>
    <w:rsid w:val="00A27552"/>
    <w:rsid w:val="00A304CF"/>
    <w:rsid w:val="00A30859"/>
    <w:rsid w:val="00A32AA0"/>
    <w:rsid w:val="00A32D38"/>
    <w:rsid w:val="00A34026"/>
    <w:rsid w:val="00A36B93"/>
    <w:rsid w:val="00A36D70"/>
    <w:rsid w:val="00A37D37"/>
    <w:rsid w:val="00A407FF"/>
    <w:rsid w:val="00A4099A"/>
    <w:rsid w:val="00A41196"/>
    <w:rsid w:val="00A42F81"/>
    <w:rsid w:val="00A43DE0"/>
    <w:rsid w:val="00A4672D"/>
    <w:rsid w:val="00A504ED"/>
    <w:rsid w:val="00A55126"/>
    <w:rsid w:val="00A6000B"/>
    <w:rsid w:val="00A61B45"/>
    <w:rsid w:val="00A63660"/>
    <w:rsid w:val="00A6435B"/>
    <w:rsid w:val="00A64387"/>
    <w:rsid w:val="00A66F6C"/>
    <w:rsid w:val="00A66FB6"/>
    <w:rsid w:val="00A67140"/>
    <w:rsid w:val="00A711F8"/>
    <w:rsid w:val="00A71D0B"/>
    <w:rsid w:val="00A7281F"/>
    <w:rsid w:val="00A733F3"/>
    <w:rsid w:val="00A73466"/>
    <w:rsid w:val="00A734EC"/>
    <w:rsid w:val="00A74ACD"/>
    <w:rsid w:val="00A75AD4"/>
    <w:rsid w:val="00A77560"/>
    <w:rsid w:val="00A802A6"/>
    <w:rsid w:val="00A81BB0"/>
    <w:rsid w:val="00A84FF3"/>
    <w:rsid w:val="00A85327"/>
    <w:rsid w:val="00A856FB"/>
    <w:rsid w:val="00A85C89"/>
    <w:rsid w:val="00A87B20"/>
    <w:rsid w:val="00A87C39"/>
    <w:rsid w:val="00A87CB4"/>
    <w:rsid w:val="00A9093A"/>
    <w:rsid w:val="00A920C3"/>
    <w:rsid w:val="00A9452C"/>
    <w:rsid w:val="00A95BF8"/>
    <w:rsid w:val="00A96D92"/>
    <w:rsid w:val="00A9788B"/>
    <w:rsid w:val="00A97A62"/>
    <w:rsid w:val="00AA110D"/>
    <w:rsid w:val="00AA3D82"/>
    <w:rsid w:val="00AA47B1"/>
    <w:rsid w:val="00AA4EBA"/>
    <w:rsid w:val="00AA54CE"/>
    <w:rsid w:val="00AA5829"/>
    <w:rsid w:val="00AA5DB2"/>
    <w:rsid w:val="00AA678A"/>
    <w:rsid w:val="00AA6C70"/>
    <w:rsid w:val="00AA71EA"/>
    <w:rsid w:val="00AB0247"/>
    <w:rsid w:val="00AB041F"/>
    <w:rsid w:val="00AB5C88"/>
    <w:rsid w:val="00AB6AB5"/>
    <w:rsid w:val="00AB7BCA"/>
    <w:rsid w:val="00AC0400"/>
    <w:rsid w:val="00AC0432"/>
    <w:rsid w:val="00AC1BC9"/>
    <w:rsid w:val="00AC200B"/>
    <w:rsid w:val="00AC30BE"/>
    <w:rsid w:val="00AC33F0"/>
    <w:rsid w:val="00AC4D26"/>
    <w:rsid w:val="00AC4E45"/>
    <w:rsid w:val="00AC4F25"/>
    <w:rsid w:val="00AC580C"/>
    <w:rsid w:val="00AC7C8F"/>
    <w:rsid w:val="00AC7D6F"/>
    <w:rsid w:val="00AC7E62"/>
    <w:rsid w:val="00AD09FE"/>
    <w:rsid w:val="00AD0ED0"/>
    <w:rsid w:val="00AD3511"/>
    <w:rsid w:val="00AD5B95"/>
    <w:rsid w:val="00AD64AD"/>
    <w:rsid w:val="00AD6EC2"/>
    <w:rsid w:val="00AE0BC8"/>
    <w:rsid w:val="00AE125D"/>
    <w:rsid w:val="00AE167B"/>
    <w:rsid w:val="00AE1D29"/>
    <w:rsid w:val="00AE2084"/>
    <w:rsid w:val="00AE2D6D"/>
    <w:rsid w:val="00AE694A"/>
    <w:rsid w:val="00AE7EA2"/>
    <w:rsid w:val="00AF22F9"/>
    <w:rsid w:val="00AF3081"/>
    <w:rsid w:val="00AF4096"/>
    <w:rsid w:val="00AF4A13"/>
    <w:rsid w:val="00AF5588"/>
    <w:rsid w:val="00AF616F"/>
    <w:rsid w:val="00AF72A4"/>
    <w:rsid w:val="00AF745C"/>
    <w:rsid w:val="00B028FF"/>
    <w:rsid w:val="00B02937"/>
    <w:rsid w:val="00B02BA0"/>
    <w:rsid w:val="00B04EA0"/>
    <w:rsid w:val="00B04EBC"/>
    <w:rsid w:val="00B05A87"/>
    <w:rsid w:val="00B102EE"/>
    <w:rsid w:val="00B11303"/>
    <w:rsid w:val="00B13329"/>
    <w:rsid w:val="00B140F2"/>
    <w:rsid w:val="00B14A00"/>
    <w:rsid w:val="00B1526A"/>
    <w:rsid w:val="00B15CCC"/>
    <w:rsid w:val="00B20817"/>
    <w:rsid w:val="00B20B4B"/>
    <w:rsid w:val="00B23AAF"/>
    <w:rsid w:val="00B24E41"/>
    <w:rsid w:val="00B26862"/>
    <w:rsid w:val="00B27FF6"/>
    <w:rsid w:val="00B30169"/>
    <w:rsid w:val="00B30ACC"/>
    <w:rsid w:val="00B30F0D"/>
    <w:rsid w:val="00B316FA"/>
    <w:rsid w:val="00B31C6F"/>
    <w:rsid w:val="00B32847"/>
    <w:rsid w:val="00B34566"/>
    <w:rsid w:val="00B3716B"/>
    <w:rsid w:val="00B37889"/>
    <w:rsid w:val="00B40CE1"/>
    <w:rsid w:val="00B4259C"/>
    <w:rsid w:val="00B429E2"/>
    <w:rsid w:val="00B441E3"/>
    <w:rsid w:val="00B458E5"/>
    <w:rsid w:val="00B46747"/>
    <w:rsid w:val="00B4680A"/>
    <w:rsid w:val="00B50AFD"/>
    <w:rsid w:val="00B510F5"/>
    <w:rsid w:val="00B515BD"/>
    <w:rsid w:val="00B5610F"/>
    <w:rsid w:val="00B563FA"/>
    <w:rsid w:val="00B5675A"/>
    <w:rsid w:val="00B601A3"/>
    <w:rsid w:val="00B6347E"/>
    <w:rsid w:val="00B63E70"/>
    <w:rsid w:val="00B64E85"/>
    <w:rsid w:val="00B651DE"/>
    <w:rsid w:val="00B65385"/>
    <w:rsid w:val="00B65C6E"/>
    <w:rsid w:val="00B65E33"/>
    <w:rsid w:val="00B67502"/>
    <w:rsid w:val="00B707FD"/>
    <w:rsid w:val="00B72A03"/>
    <w:rsid w:val="00B744BE"/>
    <w:rsid w:val="00B75A96"/>
    <w:rsid w:val="00B77247"/>
    <w:rsid w:val="00B77F88"/>
    <w:rsid w:val="00B80E65"/>
    <w:rsid w:val="00B80E95"/>
    <w:rsid w:val="00B82E1E"/>
    <w:rsid w:val="00B83E14"/>
    <w:rsid w:val="00B86AC7"/>
    <w:rsid w:val="00B87936"/>
    <w:rsid w:val="00B910F5"/>
    <w:rsid w:val="00B92A58"/>
    <w:rsid w:val="00B938E4"/>
    <w:rsid w:val="00B94A36"/>
    <w:rsid w:val="00B97F4C"/>
    <w:rsid w:val="00BA0071"/>
    <w:rsid w:val="00BA0AA4"/>
    <w:rsid w:val="00BA366F"/>
    <w:rsid w:val="00BA3FB8"/>
    <w:rsid w:val="00BA471C"/>
    <w:rsid w:val="00BA744B"/>
    <w:rsid w:val="00BA7EFD"/>
    <w:rsid w:val="00BB0954"/>
    <w:rsid w:val="00BB30D6"/>
    <w:rsid w:val="00BB3A0B"/>
    <w:rsid w:val="00BB3BB7"/>
    <w:rsid w:val="00BB72C7"/>
    <w:rsid w:val="00BC0CFC"/>
    <w:rsid w:val="00BC115C"/>
    <w:rsid w:val="00BC2AC6"/>
    <w:rsid w:val="00BC33D5"/>
    <w:rsid w:val="00BC3B38"/>
    <w:rsid w:val="00BC3E82"/>
    <w:rsid w:val="00BC4EAD"/>
    <w:rsid w:val="00BC5A00"/>
    <w:rsid w:val="00BC690D"/>
    <w:rsid w:val="00BC6A5E"/>
    <w:rsid w:val="00BC7861"/>
    <w:rsid w:val="00BD2C41"/>
    <w:rsid w:val="00BD4D41"/>
    <w:rsid w:val="00BD567F"/>
    <w:rsid w:val="00BD5CD4"/>
    <w:rsid w:val="00BD6835"/>
    <w:rsid w:val="00BD7677"/>
    <w:rsid w:val="00BE0926"/>
    <w:rsid w:val="00BE0EE1"/>
    <w:rsid w:val="00BE2FFE"/>
    <w:rsid w:val="00BE32C8"/>
    <w:rsid w:val="00BE3690"/>
    <w:rsid w:val="00BE3A71"/>
    <w:rsid w:val="00BE3FE6"/>
    <w:rsid w:val="00BE4207"/>
    <w:rsid w:val="00BE461A"/>
    <w:rsid w:val="00BE4769"/>
    <w:rsid w:val="00BE4F05"/>
    <w:rsid w:val="00BE5E07"/>
    <w:rsid w:val="00BE673F"/>
    <w:rsid w:val="00BE7CB4"/>
    <w:rsid w:val="00BF005E"/>
    <w:rsid w:val="00BF077A"/>
    <w:rsid w:val="00BF3880"/>
    <w:rsid w:val="00BF54E4"/>
    <w:rsid w:val="00BF5645"/>
    <w:rsid w:val="00BF5F9C"/>
    <w:rsid w:val="00BF7DCB"/>
    <w:rsid w:val="00C024A0"/>
    <w:rsid w:val="00C02CCC"/>
    <w:rsid w:val="00C02CFA"/>
    <w:rsid w:val="00C0319A"/>
    <w:rsid w:val="00C03EA2"/>
    <w:rsid w:val="00C05D56"/>
    <w:rsid w:val="00C07CA9"/>
    <w:rsid w:val="00C10E49"/>
    <w:rsid w:val="00C11D89"/>
    <w:rsid w:val="00C13B2E"/>
    <w:rsid w:val="00C13BEE"/>
    <w:rsid w:val="00C20D4E"/>
    <w:rsid w:val="00C26A6F"/>
    <w:rsid w:val="00C274F0"/>
    <w:rsid w:val="00C27D9E"/>
    <w:rsid w:val="00C3070F"/>
    <w:rsid w:val="00C34DF7"/>
    <w:rsid w:val="00C35114"/>
    <w:rsid w:val="00C3555F"/>
    <w:rsid w:val="00C35801"/>
    <w:rsid w:val="00C36976"/>
    <w:rsid w:val="00C4004E"/>
    <w:rsid w:val="00C416CF"/>
    <w:rsid w:val="00C430EE"/>
    <w:rsid w:val="00C465FC"/>
    <w:rsid w:val="00C507C6"/>
    <w:rsid w:val="00C51D7B"/>
    <w:rsid w:val="00C522D7"/>
    <w:rsid w:val="00C525F8"/>
    <w:rsid w:val="00C52B9E"/>
    <w:rsid w:val="00C53ABC"/>
    <w:rsid w:val="00C54FF2"/>
    <w:rsid w:val="00C5503A"/>
    <w:rsid w:val="00C566AD"/>
    <w:rsid w:val="00C57A45"/>
    <w:rsid w:val="00C612A2"/>
    <w:rsid w:val="00C64B25"/>
    <w:rsid w:val="00C64C87"/>
    <w:rsid w:val="00C64E47"/>
    <w:rsid w:val="00C6783B"/>
    <w:rsid w:val="00C70478"/>
    <w:rsid w:val="00C722F7"/>
    <w:rsid w:val="00C72731"/>
    <w:rsid w:val="00C72CF8"/>
    <w:rsid w:val="00C7471F"/>
    <w:rsid w:val="00C76AA8"/>
    <w:rsid w:val="00C76BC9"/>
    <w:rsid w:val="00C7746F"/>
    <w:rsid w:val="00C775BE"/>
    <w:rsid w:val="00C77FCE"/>
    <w:rsid w:val="00C80B76"/>
    <w:rsid w:val="00C80C27"/>
    <w:rsid w:val="00C82E3C"/>
    <w:rsid w:val="00C9109E"/>
    <w:rsid w:val="00C91555"/>
    <w:rsid w:val="00C916D9"/>
    <w:rsid w:val="00C94C46"/>
    <w:rsid w:val="00C95A6F"/>
    <w:rsid w:val="00CA0907"/>
    <w:rsid w:val="00CA43AC"/>
    <w:rsid w:val="00CA4DE7"/>
    <w:rsid w:val="00CA57FD"/>
    <w:rsid w:val="00CA61E7"/>
    <w:rsid w:val="00CA651B"/>
    <w:rsid w:val="00CA75DE"/>
    <w:rsid w:val="00CB0E66"/>
    <w:rsid w:val="00CB1889"/>
    <w:rsid w:val="00CB1C76"/>
    <w:rsid w:val="00CB2BED"/>
    <w:rsid w:val="00CB32AA"/>
    <w:rsid w:val="00CB4620"/>
    <w:rsid w:val="00CB4688"/>
    <w:rsid w:val="00CB55C7"/>
    <w:rsid w:val="00CC1253"/>
    <w:rsid w:val="00CC1D24"/>
    <w:rsid w:val="00CC3694"/>
    <w:rsid w:val="00CC38EE"/>
    <w:rsid w:val="00CC3BEE"/>
    <w:rsid w:val="00CC49F9"/>
    <w:rsid w:val="00CC4CB2"/>
    <w:rsid w:val="00CC64A9"/>
    <w:rsid w:val="00CD04FA"/>
    <w:rsid w:val="00CD144E"/>
    <w:rsid w:val="00CD1E75"/>
    <w:rsid w:val="00CD3152"/>
    <w:rsid w:val="00CD51B6"/>
    <w:rsid w:val="00CD67EC"/>
    <w:rsid w:val="00CE1AE5"/>
    <w:rsid w:val="00CE210C"/>
    <w:rsid w:val="00CE2431"/>
    <w:rsid w:val="00CE2522"/>
    <w:rsid w:val="00CE25F6"/>
    <w:rsid w:val="00CE3C80"/>
    <w:rsid w:val="00CE530D"/>
    <w:rsid w:val="00CE5D5C"/>
    <w:rsid w:val="00CE5E56"/>
    <w:rsid w:val="00CE6466"/>
    <w:rsid w:val="00CE6947"/>
    <w:rsid w:val="00CF0FA9"/>
    <w:rsid w:val="00CF1118"/>
    <w:rsid w:val="00CF2247"/>
    <w:rsid w:val="00CF4FC2"/>
    <w:rsid w:val="00CF5061"/>
    <w:rsid w:val="00D0007A"/>
    <w:rsid w:val="00D01495"/>
    <w:rsid w:val="00D02A64"/>
    <w:rsid w:val="00D03489"/>
    <w:rsid w:val="00D05264"/>
    <w:rsid w:val="00D062F9"/>
    <w:rsid w:val="00D11C8D"/>
    <w:rsid w:val="00D11E73"/>
    <w:rsid w:val="00D12251"/>
    <w:rsid w:val="00D13F8E"/>
    <w:rsid w:val="00D16207"/>
    <w:rsid w:val="00D17AB4"/>
    <w:rsid w:val="00D21B2A"/>
    <w:rsid w:val="00D22D15"/>
    <w:rsid w:val="00D23132"/>
    <w:rsid w:val="00D235CE"/>
    <w:rsid w:val="00D23C49"/>
    <w:rsid w:val="00D24877"/>
    <w:rsid w:val="00D248B2"/>
    <w:rsid w:val="00D2680D"/>
    <w:rsid w:val="00D26B56"/>
    <w:rsid w:val="00D27768"/>
    <w:rsid w:val="00D30DFF"/>
    <w:rsid w:val="00D311A7"/>
    <w:rsid w:val="00D3207C"/>
    <w:rsid w:val="00D33BC8"/>
    <w:rsid w:val="00D33F26"/>
    <w:rsid w:val="00D34AAF"/>
    <w:rsid w:val="00D35187"/>
    <w:rsid w:val="00D371BB"/>
    <w:rsid w:val="00D376DC"/>
    <w:rsid w:val="00D4086D"/>
    <w:rsid w:val="00D41EC2"/>
    <w:rsid w:val="00D4226D"/>
    <w:rsid w:val="00D43AB7"/>
    <w:rsid w:val="00D45D6C"/>
    <w:rsid w:val="00D473D1"/>
    <w:rsid w:val="00D5077E"/>
    <w:rsid w:val="00D51D11"/>
    <w:rsid w:val="00D563C9"/>
    <w:rsid w:val="00D57153"/>
    <w:rsid w:val="00D60BAA"/>
    <w:rsid w:val="00D6239A"/>
    <w:rsid w:val="00D62649"/>
    <w:rsid w:val="00D637E8"/>
    <w:rsid w:val="00D66C0F"/>
    <w:rsid w:val="00D66CE6"/>
    <w:rsid w:val="00D673A5"/>
    <w:rsid w:val="00D701EC"/>
    <w:rsid w:val="00D71055"/>
    <w:rsid w:val="00D722D5"/>
    <w:rsid w:val="00D753EC"/>
    <w:rsid w:val="00D75A4E"/>
    <w:rsid w:val="00D75F2F"/>
    <w:rsid w:val="00D77743"/>
    <w:rsid w:val="00D7796B"/>
    <w:rsid w:val="00D77AA4"/>
    <w:rsid w:val="00D816F6"/>
    <w:rsid w:val="00D81EA2"/>
    <w:rsid w:val="00D82A5C"/>
    <w:rsid w:val="00D86499"/>
    <w:rsid w:val="00D876B7"/>
    <w:rsid w:val="00D905B6"/>
    <w:rsid w:val="00D91558"/>
    <w:rsid w:val="00D93E1B"/>
    <w:rsid w:val="00D9469B"/>
    <w:rsid w:val="00D94EC1"/>
    <w:rsid w:val="00D95115"/>
    <w:rsid w:val="00D95999"/>
    <w:rsid w:val="00D96777"/>
    <w:rsid w:val="00D97606"/>
    <w:rsid w:val="00D976C1"/>
    <w:rsid w:val="00DA066A"/>
    <w:rsid w:val="00DA2ED3"/>
    <w:rsid w:val="00DA3173"/>
    <w:rsid w:val="00DA35F8"/>
    <w:rsid w:val="00DA6247"/>
    <w:rsid w:val="00DB28CE"/>
    <w:rsid w:val="00DB3F40"/>
    <w:rsid w:val="00DB4AA8"/>
    <w:rsid w:val="00DB5650"/>
    <w:rsid w:val="00DB65F4"/>
    <w:rsid w:val="00DB6B63"/>
    <w:rsid w:val="00DB7A08"/>
    <w:rsid w:val="00DC0092"/>
    <w:rsid w:val="00DC0959"/>
    <w:rsid w:val="00DC2A21"/>
    <w:rsid w:val="00DC3452"/>
    <w:rsid w:val="00DC3AFA"/>
    <w:rsid w:val="00DC517E"/>
    <w:rsid w:val="00DC7E27"/>
    <w:rsid w:val="00DD0429"/>
    <w:rsid w:val="00DD117E"/>
    <w:rsid w:val="00DD1F30"/>
    <w:rsid w:val="00DD4F89"/>
    <w:rsid w:val="00DD5880"/>
    <w:rsid w:val="00DD79B8"/>
    <w:rsid w:val="00DE07F3"/>
    <w:rsid w:val="00DE0906"/>
    <w:rsid w:val="00DE3387"/>
    <w:rsid w:val="00DE535A"/>
    <w:rsid w:val="00DE571F"/>
    <w:rsid w:val="00DE5812"/>
    <w:rsid w:val="00DE6D43"/>
    <w:rsid w:val="00DF194E"/>
    <w:rsid w:val="00DF24A5"/>
    <w:rsid w:val="00DF2614"/>
    <w:rsid w:val="00DF2CE6"/>
    <w:rsid w:val="00DF4906"/>
    <w:rsid w:val="00E011F6"/>
    <w:rsid w:val="00E01D80"/>
    <w:rsid w:val="00E02C9E"/>
    <w:rsid w:val="00E03945"/>
    <w:rsid w:val="00E0506B"/>
    <w:rsid w:val="00E05BED"/>
    <w:rsid w:val="00E05CFB"/>
    <w:rsid w:val="00E05F70"/>
    <w:rsid w:val="00E06783"/>
    <w:rsid w:val="00E0686A"/>
    <w:rsid w:val="00E06FC6"/>
    <w:rsid w:val="00E06FDE"/>
    <w:rsid w:val="00E07F7B"/>
    <w:rsid w:val="00E10671"/>
    <w:rsid w:val="00E11619"/>
    <w:rsid w:val="00E126E5"/>
    <w:rsid w:val="00E14100"/>
    <w:rsid w:val="00E1432E"/>
    <w:rsid w:val="00E14DA1"/>
    <w:rsid w:val="00E20F60"/>
    <w:rsid w:val="00E2450B"/>
    <w:rsid w:val="00E3017A"/>
    <w:rsid w:val="00E322E3"/>
    <w:rsid w:val="00E32A33"/>
    <w:rsid w:val="00E34204"/>
    <w:rsid w:val="00E34FCD"/>
    <w:rsid w:val="00E3514E"/>
    <w:rsid w:val="00E374B4"/>
    <w:rsid w:val="00E443EA"/>
    <w:rsid w:val="00E45648"/>
    <w:rsid w:val="00E4589A"/>
    <w:rsid w:val="00E46A6B"/>
    <w:rsid w:val="00E47329"/>
    <w:rsid w:val="00E50025"/>
    <w:rsid w:val="00E50DEF"/>
    <w:rsid w:val="00E51696"/>
    <w:rsid w:val="00E5170B"/>
    <w:rsid w:val="00E518D5"/>
    <w:rsid w:val="00E53C37"/>
    <w:rsid w:val="00E54107"/>
    <w:rsid w:val="00E56212"/>
    <w:rsid w:val="00E564D0"/>
    <w:rsid w:val="00E56E23"/>
    <w:rsid w:val="00E5744C"/>
    <w:rsid w:val="00E62256"/>
    <w:rsid w:val="00E62B67"/>
    <w:rsid w:val="00E63398"/>
    <w:rsid w:val="00E65576"/>
    <w:rsid w:val="00E657E3"/>
    <w:rsid w:val="00E65FC9"/>
    <w:rsid w:val="00E6696B"/>
    <w:rsid w:val="00E677BE"/>
    <w:rsid w:val="00E67D8E"/>
    <w:rsid w:val="00E70863"/>
    <w:rsid w:val="00E7163F"/>
    <w:rsid w:val="00E72F67"/>
    <w:rsid w:val="00E746A5"/>
    <w:rsid w:val="00E74765"/>
    <w:rsid w:val="00E758C2"/>
    <w:rsid w:val="00E758CB"/>
    <w:rsid w:val="00E75944"/>
    <w:rsid w:val="00E80B24"/>
    <w:rsid w:val="00E80F33"/>
    <w:rsid w:val="00E81A8A"/>
    <w:rsid w:val="00E831B6"/>
    <w:rsid w:val="00E8333D"/>
    <w:rsid w:val="00E8385B"/>
    <w:rsid w:val="00E851B4"/>
    <w:rsid w:val="00E86232"/>
    <w:rsid w:val="00E86750"/>
    <w:rsid w:val="00E87685"/>
    <w:rsid w:val="00E87A0F"/>
    <w:rsid w:val="00E87CAE"/>
    <w:rsid w:val="00E9143C"/>
    <w:rsid w:val="00E91BE8"/>
    <w:rsid w:val="00E9233A"/>
    <w:rsid w:val="00E93241"/>
    <w:rsid w:val="00E9392B"/>
    <w:rsid w:val="00E94434"/>
    <w:rsid w:val="00E94531"/>
    <w:rsid w:val="00E94E90"/>
    <w:rsid w:val="00E953C4"/>
    <w:rsid w:val="00EA24DA"/>
    <w:rsid w:val="00EA39A1"/>
    <w:rsid w:val="00EA49F7"/>
    <w:rsid w:val="00EA5E54"/>
    <w:rsid w:val="00EA769F"/>
    <w:rsid w:val="00EB08CF"/>
    <w:rsid w:val="00EB0E89"/>
    <w:rsid w:val="00EB142B"/>
    <w:rsid w:val="00EB17A8"/>
    <w:rsid w:val="00EB1F03"/>
    <w:rsid w:val="00EB30DD"/>
    <w:rsid w:val="00EB3901"/>
    <w:rsid w:val="00EB4943"/>
    <w:rsid w:val="00EB636E"/>
    <w:rsid w:val="00EB6520"/>
    <w:rsid w:val="00EB70AE"/>
    <w:rsid w:val="00EC4B7F"/>
    <w:rsid w:val="00ED0662"/>
    <w:rsid w:val="00ED0B6E"/>
    <w:rsid w:val="00ED316C"/>
    <w:rsid w:val="00ED343F"/>
    <w:rsid w:val="00ED37F2"/>
    <w:rsid w:val="00ED3885"/>
    <w:rsid w:val="00ED4DF9"/>
    <w:rsid w:val="00ED52C4"/>
    <w:rsid w:val="00ED54C3"/>
    <w:rsid w:val="00ED5C73"/>
    <w:rsid w:val="00ED7319"/>
    <w:rsid w:val="00ED7D10"/>
    <w:rsid w:val="00ED7DE0"/>
    <w:rsid w:val="00EE0473"/>
    <w:rsid w:val="00EE068E"/>
    <w:rsid w:val="00EE12CA"/>
    <w:rsid w:val="00EE14E0"/>
    <w:rsid w:val="00EE262D"/>
    <w:rsid w:val="00EE33D3"/>
    <w:rsid w:val="00EE35AD"/>
    <w:rsid w:val="00EE3AFA"/>
    <w:rsid w:val="00EE44C1"/>
    <w:rsid w:val="00EE4F27"/>
    <w:rsid w:val="00EE5F83"/>
    <w:rsid w:val="00EE6143"/>
    <w:rsid w:val="00EE718E"/>
    <w:rsid w:val="00EF3517"/>
    <w:rsid w:val="00EF3534"/>
    <w:rsid w:val="00EF370E"/>
    <w:rsid w:val="00EF3DAA"/>
    <w:rsid w:val="00EF4E15"/>
    <w:rsid w:val="00EF536C"/>
    <w:rsid w:val="00EF5E9C"/>
    <w:rsid w:val="00EF729D"/>
    <w:rsid w:val="00F020CA"/>
    <w:rsid w:val="00F02372"/>
    <w:rsid w:val="00F0299B"/>
    <w:rsid w:val="00F04AA6"/>
    <w:rsid w:val="00F052C4"/>
    <w:rsid w:val="00F05F2F"/>
    <w:rsid w:val="00F05FDF"/>
    <w:rsid w:val="00F060C2"/>
    <w:rsid w:val="00F07EB8"/>
    <w:rsid w:val="00F11E70"/>
    <w:rsid w:val="00F13BD6"/>
    <w:rsid w:val="00F1412C"/>
    <w:rsid w:val="00F154A2"/>
    <w:rsid w:val="00F17B6B"/>
    <w:rsid w:val="00F21227"/>
    <w:rsid w:val="00F21D4B"/>
    <w:rsid w:val="00F2219F"/>
    <w:rsid w:val="00F231F3"/>
    <w:rsid w:val="00F251CD"/>
    <w:rsid w:val="00F253DC"/>
    <w:rsid w:val="00F25D91"/>
    <w:rsid w:val="00F266DB"/>
    <w:rsid w:val="00F266EF"/>
    <w:rsid w:val="00F30DC9"/>
    <w:rsid w:val="00F30FB8"/>
    <w:rsid w:val="00F31736"/>
    <w:rsid w:val="00F31771"/>
    <w:rsid w:val="00F31E3B"/>
    <w:rsid w:val="00F32F02"/>
    <w:rsid w:val="00F366CE"/>
    <w:rsid w:val="00F37048"/>
    <w:rsid w:val="00F4159C"/>
    <w:rsid w:val="00F41725"/>
    <w:rsid w:val="00F42092"/>
    <w:rsid w:val="00F425DE"/>
    <w:rsid w:val="00F4376B"/>
    <w:rsid w:val="00F44E5C"/>
    <w:rsid w:val="00F450C9"/>
    <w:rsid w:val="00F45BE5"/>
    <w:rsid w:val="00F47955"/>
    <w:rsid w:val="00F51C24"/>
    <w:rsid w:val="00F526CC"/>
    <w:rsid w:val="00F529AD"/>
    <w:rsid w:val="00F52B13"/>
    <w:rsid w:val="00F566F4"/>
    <w:rsid w:val="00F56A03"/>
    <w:rsid w:val="00F60C32"/>
    <w:rsid w:val="00F60DA3"/>
    <w:rsid w:val="00F61DB0"/>
    <w:rsid w:val="00F630C7"/>
    <w:rsid w:val="00F64177"/>
    <w:rsid w:val="00F64466"/>
    <w:rsid w:val="00F64CDA"/>
    <w:rsid w:val="00F6617B"/>
    <w:rsid w:val="00F70AA7"/>
    <w:rsid w:val="00F7272B"/>
    <w:rsid w:val="00F72C3B"/>
    <w:rsid w:val="00F74C6C"/>
    <w:rsid w:val="00F75008"/>
    <w:rsid w:val="00F75011"/>
    <w:rsid w:val="00F758A7"/>
    <w:rsid w:val="00F80EED"/>
    <w:rsid w:val="00F811A3"/>
    <w:rsid w:val="00F82476"/>
    <w:rsid w:val="00F84DAE"/>
    <w:rsid w:val="00F8509A"/>
    <w:rsid w:val="00F86B79"/>
    <w:rsid w:val="00F91B31"/>
    <w:rsid w:val="00F923AC"/>
    <w:rsid w:val="00F937D8"/>
    <w:rsid w:val="00F94265"/>
    <w:rsid w:val="00F9441A"/>
    <w:rsid w:val="00F95BA5"/>
    <w:rsid w:val="00F97751"/>
    <w:rsid w:val="00FA1352"/>
    <w:rsid w:val="00FA19D9"/>
    <w:rsid w:val="00FA4A73"/>
    <w:rsid w:val="00FA6DB6"/>
    <w:rsid w:val="00FA71B7"/>
    <w:rsid w:val="00FA71C6"/>
    <w:rsid w:val="00FA7788"/>
    <w:rsid w:val="00FA799A"/>
    <w:rsid w:val="00FA7B0D"/>
    <w:rsid w:val="00FB0EAE"/>
    <w:rsid w:val="00FB2170"/>
    <w:rsid w:val="00FB2AB6"/>
    <w:rsid w:val="00FB2ABA"/>
    <w:rsid w:val="00FB2D7C"/>
    <w:rsid w:val="00FB3442"/>
    <w:rsid w:val="00FB3836"/>
    <w:rsid w:val="00FB3995"/>
    <w:rsid w:val="00FB3C26"/>
    <w:rsid w:val="00FB4483"/>
    <w:rsid w:val="00FB6683"/>
    <w:rsid w:val="00FB6C00"/>
    <w:rsid w:val="00FC1710"/>
    <w:rsid w:val="00FC3677"/>
    <w:rsid w:val="00FC4B7B"/>
    <w:rsid w:val="00FC4C76"/>
    <w:rsid w:val="00FC6218"/>
    <w:rsid w:val="00FC6964"/>
    <w:rsid w:val="00FC7AB5"/>
    <w:rsid w:val="00FC7C5A"/>
    <w:rsid w:val="00FD02CC"/>
    <w:rsid w:val="00FD0420"/>
    <w:rsid w:val="00FD0499"/>
    <w:rsid w:val="00FD1EB1"/>
    <w:rsid w:val="00FD2C08"/>
    <w:rsid w:val="00FD2F04"/>
    <w:rsid w:val="00FD3F7F"/>
    <w:rsid w:val="00FD4DA6"/>
    <w:rsid w:val="00FD5244"/>
    <w:rsid w:val="00FD5BB3"/>
    <w:rsid w:val="00FE06C4"/>
    <w:rsid w:val="00FE33BA"/>
    <w:rsid w:val="00FE3612"/>
    <w:rsid w:val="00FE4625"/>
    <w:rsid w:val="00FE6760"/>
    <w:rsid w:val="00FF0E3E"/>
    <w:rsid w:val="00FF3CD6"/>
    <w:rsid w:val="00FF48EC"/>
    <w:rsid w:val="00FF6C71"/>
    <w:rsid w:val="00FF7AC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David"/>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C38"/>
    <w:pPr>
      <w:bidi/>
      <w:spacing w:line="360" w:lineRule="auto"/>
    </w:pPr>
    <w:rPr>
      <w:sz w:val="22"/>
      <w:szCs w:val="24"/>
    </w:rPr>
  </w:style>
  <w:style w:type="paragraph" w:styleId="Heading1">
    <w:name w:val="heading 1"/>
    <w:basedOn w:val="Normal"/>
    <w:next w:val="Normal"/>
    <w:link w:val="Heading1Char"/>
    <w:uiPriority w:val="9"/>
    <w:qFormat/>
    <w:rsid w:val="00896334"/>
    <w:pPr>
      <w:keepNext/>
      <w:keepLines/>
      <w:spacing w:before="480"/>
      <w:outlineLvl w:val="0"/>
    </w:pPr>
    <w:rPr>
      <w:rFonts w:ascii="Cambria" w:eastAsia="Times New Roman" w:hAnsi="Cambria" w:cs="Times New Roman"/>
      <w:b/>
      <w:bCs/>
      <w:color w:val="365F91"/>
      <w:sz w:val="28"/>
      <w:szCs w:val="28"/>
    </w:rPr>
  </w:style>
  <w:style w:type="paragraph" w:styleId="Heading4">
    <w:name w:val="heading 4"/>
    <w:basedOn w:val="Normal"/>
    <w:link w:val="Heading4Char"/>
    <w:uiPriority w:val="9"/>
    <w:qFormat/>
    <w:rsid w:val="00D4226D"/>
    <w:pPr>
      <w:bidi w:val="0"/>
      <w:spacing w:before="100" w:beforeAutospacing="1" w:after="100" w:afterAutospacing="1" w:line="240" w:lineRule="auto"/>
      <w:outlineLvl w:val="3"/>
    </w:pPr>
    <w:rPr>
      <w:rFonts w:eastAsia="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תו"/>
    <w:basedOn w:val="Normal"/>
    <w:link w:val="FootnoteTextChar"/>
    <w:uiPriority w:val="99"/>
    <w:unhideWhenUsed/>
    <w:rsid w:val="00904234"/>
    <w:rPr>
      <w:rFonts w:cs="Times New Roman"/>
      <w:snapToGrid w:val="0"/>
      <w:sz w:val="20"/>
      <w:szCs w:val="20"/>
    </w:rPr>
  </w:style>
  <w:style w:type="character" w:customStyle="1" w:styleId="FootnoteTextChar">
    <w:name w:val="Footnote Text Char"/>
    <w:aliases w:val=" תו Char"/>
    <w:link w:val="FootnoteText"/>
    <w:uiPriority w:val="99"/>
    <w:rsid w:val="00904234"/>
    <w:rPr>
      <w:rFonts w:eastAsia="Calibri"/>
      <w:snapToGrid w:val="0"/>
      <w:sz w:val="20"/>
      <w:szCs w:val="20"/>
    </w:rPr>
  </w:style>
  <w:style w:type="character" w:styleId="FootnoteReference">
    <w:name w:val="footnote reference"/>
    <w:uiPriority w:val="99"/>
    <w:semiHidden/>
    <w:unhideWhenUsed/>
    <w:rsid w:val="00904234"/>
    <w:rPr>
      <w:vertAlign w:val="superscript"/>
    </w:rPr>
  </w:style>
  <w:style w:type="table" w:styleId="TableGrid">
    <w:name w:val="Table Grid"/>
    <w:basedOn w:val="TableNormal"/>
    <w:uiPriority w:val="99"/>
    <w:rsid w:val="006A5741"/>
    <w:rPr>
      <w:rFonts w:ascii="Calibri" w:eastAsia="Times New Roman" w:hAnsi="Calibri" w:cs="Arial"/>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xt">
    <w:name w:val="txt"/>
    <w:basedOn w:val="DefaultParagraphFont"/>
    <w:rsid w:val="00F266EF"/>
  </w:style>
  <w:style w:type="character" w:styleId="Hyperlink">
    <w:name w:val="Hyperlink"/>
    <w:uiPriority w:val="99"/>
    <w:semiHidden/>
    <w:unhideWhenUsed/>
    <w:rsid w:val="00F266EF"/>
    <w:rPr>
      <w:color w:val="0000FF"/>
      <w:u w:val="single"/>
    </w:rPr>
  </w:style>
  <w:style w:type="character" w:customStyle="1" w:styleId="rmargin">
    <w:name w:val="rmargin"/>
    <w:basedOn w:val="DefaultParagraphFont"/>
    <w:rsid w:val="00F266EF"/>
  </w:style>
  <w:style w:type="character" w:styleId="FollowedHyperlink">
    <w:name w:val="FollowedHyperlink"/>
    <w:uiPriority w:val="99"/>
    <w:semiHidden/>
    <w:unhideWhenUsed/>
    <w:rsid w:val="00A304CF"/>
    <w:rPr>
      <w:color w:val="800080"/>
      <w:u w:val="single"/>
    </w:rPr>
  </w:style>
  <w:style w:type="character" w:styleId="CommentReference">
    <w:name w:val="annotation reference"/>
    <w:uiPriority w:val="99"/>
    <w:semiHidden/>
    <w:unhideWhenUsed/>
    <w:rsid w:val="007C24D2"/>
    <w:rPr>
      <w:sz w:val="16"/>
      <w:szCs w:val="16"/>
    </w:rPr>
  </w:style>
  <w:style w:type="paragraph" w:styleId="CommentText">
    <w:name w:val="annotation text"/>
    <w:basedOn w:val="Normal"/>
    <w:link w:val="CommentTextChar"/>
    <w:uiPriority w:val="99"/>
    <w:semiHidden/>
    <w:unhideWhenUsed/>
    <w:rsid w:val="007C24D2"/>
    <w:pPr>
      <w:spacing w:line="240" w:lineRule="auto"/>
    </w:pPr>
    <w:rPr>
      <w:rFonts w:cs="Times New Roman"/>
      <w:sz w:val="20"/>
      <w:szCs w:val="20"/>
    </w:rPr>
  </w:style>
  <w:style w:type="character" w:customStyle="1" w:styleId="CommentTextChar">
    <w:name w:val="Comment Text Char"/>
    <w:link w:val="CommentText"/>
    <w:uiPriority w:val="99"/>
    <w:semiHidden/>
    <w:rsid w:val="007C24D2"/>
    <w:rPr>
      <w:sz w:val="20"/>
      <w:szCs w:val="20"/>
    </w:rPr>
  </w:style>
  <w:style w:type="paragraph" w:styleId="CommentSubject">
    <w:name w:val="annotation subject"/>
    <w:basedOn w:val="CommentText"/>
    <w:next w:val="CommentText"/>
    <w:link w:val="CommentSubjectChar"/>
    <w:uiPriority w:val="99"/>
    <w:semiHidden/>
    <w:unhideWhenUsed/>
    <w:rsid w:val="007C24D2"/>
    <w:rPr>
      <w:b/>
      <w:bCs/>
    </w:rPr>
  </w:style>
  <w:style w:type="character" w:customStyle="1" w:styleId="CommentSubjectChar">
    <w:name w:val="Comment Subject Char"/>
    <w:link w:val="CommentSubject"/>
    <w:uiPriority w:val="99"/>
    <w:semiHidden/>
    <w:rsid w:val="007C24D2"/>
    <w:rPr>
      <w:b/>
      <w:bCs/>
      <w:sz w:val="20"/>
      <w:szCs w:val="20"/>
    </w:rPr>
  </w:style>
  <w:style w:type="paragraph" w:styleId="BalloonText">
    <w:name w:val="Balloon Text"/>
    <w:basedOn w:val="Normal"/>
    <w:link w:val="BalloonTextChar"/>
    <w:uiPriority w:val="99"/>
    <w:semiHidden/>
    <w:unhideWhenUsed/>
    <w:rsid w:val="007C24D2"/>
    <w:pPr>
      <w:spacing w:line="240" w:lineRule="auto"/>
    </w:pPr>
    <w:rPr>
      <w:rFonts w:ascii="Tahoma" w:hAnsi="Tahoma" w:cs="Times New Roman"/>
      <w:sz w:val="16"/>
      <w:szCs w:val="16"/>
    </w:rPr>
  </w:style>
  <w:style w:type="character" w:customStyle="1" w:styleId="BalloonTextChar">
    <w:name w:val="Balloon Text Char"/>
    <w:link w:val="BalloonText"/>
    <w:uiPriority w:val="99"/>
    <w:semiHidden/>
    <w:rsid w:val="007C24D2"/>
    <w:rPr>
      <w:rFonts w:ascii="Tahoma" w:hAnsi="Tahoma" w:cs="Tahoma"/>
      <w:sz w:val="16"/>
      <w:szCs w:val="16"/>
    </w:rPr>
  </w:style>
  <w:style w:type="character" w:customStyle="1" w:styleId="minfolemma">
    <w:name w:val="minfo_lemma"/>
    <w:basedOn w:val="DefaultParagraphFont"/>
    <w:rsid w:val="004568DD"/>
  </w:style>
  <w:style w:type="character" w:customStyle="1" w:styleId="Heading4Char">
    <w:name w:val="Heading 4 Char"/>
    <w:link w:val="Heading4"/>
    <w:uiPriority w:val="9"/>
    <w:rsid w:val="00D4226D"/>
    <w:rPr>
      <w:rFonts w:eastAsia="Times New Roman" w:cs="Times New Roman"/>
      <w:b/>
      <w:bCs/>
      <w:sz w:val="24"/>
    </w:rPr>
  </w:style>
  <w:style w:type="character" w:customStyle="1" w:styleId="1">
    <w:name w:val="כותרת משנה1"/>
    <w:basedOn w:val="DefaultParagraphFont"/>
    <w:rsid w:val="007D5EDF"/>
  </w:style>
  <w:style w:type="character" w:customStyle="1" w:styleId="eforth">
    <w:name w:val="ef_orth"/>
    <w:basedOn w:val="DefaultParagraphFont"/>
    <w:rsid w:val="00F526CC"/>
  </w:style>
  <w:style w:type="character" w:customStyle="1" w:styleId="Heading1Char">
    <w:name w:val="Heading 1 Char"/>
    <w:link w:val="Heading1"/>
    <w:uiPriority w:val="9"/>
    <w:rsid w:val="00896334"/>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475F49"/>
    <w:pPr>
      <w:tabs>
        <w:tab w:val="center" w:pos="4153"/>
        <w:tab w:val="right" w:pos="8306"/>
      </w:tabs>
      <w:spacing w:line="240" w:lineRule="auto"/>
    </w:pPr>
  </w:style>
  <w:style w:type="character" w:customStyle="1" w:styleId="HeaderChar">
    <w:name w:val="Header Char"/>
    <w:basedOn w:val="DefaultParagraphFont"/>
    <w:link w:val="Header"/>
    <w:uiPriority w:val="99"/>
    <w:rsid w:val="00475F49"/>
  </w:style>
  <w:style w:type="paragraph" w:styleId="Footer">
    <w:name w:val="footer"/>
    <w:basedOn w:val="Normal"/>
    <w:link w:val="FooterChar"/>
    <w:uiPriority w:val="99"/>
    <w:unhideWhenUsed/>
    <w:rsid w:val="00475F49"/>
    <w:pPr>
      <w:tabs>
        <w:tab w:val="center" w:pos="4153"/>
        <w:tab w:val="right" w:pos="8306"/>
      </w:tabs>
      <w:spacing w:line="240" w:lineRule="auto"/>
    </w:pPr>
  </w:style>
  <w:style w:type="character" w:customStyle="1" w:styleId="FooterChar">
    <w:name w:val="Footer Char"/>
    <w:basedOn w:val="DefaultParagraphFont"/>
    <w:link w:val="Footer"/>
    <w:uiPriority w:val="99"/>
    <w:rsid w:val="00475F49"/>
  </w:style>
  <w:style w:type="character" w:customStyle="1" w:styleId="eftr">
    <w:name w:val="ef_tr"/>
    <w:basedOn w:val="DefaultParagraphFont"/>
    <w:rsid w:val="005517CC"/>
  </w:style>
  <w:style w:type="character" w:customStyle="1" w:styleId="addmd">
    <w:name w:val="addmd"/>
    <w:basedOn w:val="DefaultParagraphFont"/>
    <w:rsid w:val="00AA3D82"/>
  </w:style>
  <w:style w:type="character" w:customStyle="1" w:styleId="medium-font">
    <w:name w:val="medium-font"/>
    <w:basedOn w:val="DefaultParagraphFont"/>
    <w:rsid w:val="0007433E"/>
  </w:style>
  <w:style w:type="character" w:customStyle="1" w:styleId="hps">
    <w:name w:val="hps"/>
    <w:basedOn w:val="DefaultParagraphFont"/>
    <w:rsid w:val="009B5C65"/>
  </w:style>
</w:styles>
</file>

<file path=word/webSettings.xml><?xml version="1.0" encoding="utf-8"?>
<w:webSettings xmlns:r="http://schemas.openxmlformats.org/officeDocument/2006/relationships" xmlns:w="http://schemas.openxmlformats.org/wordprocessingml/2006/main">
  <w:divs>
    <w:div w:id="380983085">
      <w:bodyDiv w:val="1"/>
      <w:marLeft w:val="0"/>
      <w:marRight w:val="0"/>
      <w:marTop w:val="0"/>
      <w:marBottom w:val="0"/>
      <w:divBdr>
        <w:top w:val="none" w:sz="0" w:space="0" w:color="auto"/>
        <w:left w:val="none" w:sz="0" w:space="0" w:color="auto"/>
        <w:bottom w:val="none" w:sz="0" w:space="0" w:color="auto"/>
        <w:right w:val="none" w:sz="0" w:space="0" w:color="auto"/>
      </w:divBdr>
      <w:divsChild>
        <w:div w:id="241255597">
          <w:marLeft w:val="0"/>
          <w:marRight w:val="0"/>
          <w:marTop w:val="0"/>
          <w:marBottom w:val="0"/>
          <w:divBdr>
            <w:top w:val="none" w:sz="0" w:space="0" w:color="auto"/>
            <w:left w:val="none" w:sz="0" w:space="0" w:color="auto"/>
            <w:bottom w:val="none" w:sz="0" w:space="0" w:color="auto"/>
            <w:right w:val="none" w:sz="0" w:space="0" w:color="auto"/>
          </w:divBdr>
        </w:div>
        <w:div w:id="886260846">
          <w:marLeft w:val="0"/>
          <w:marRight w:val="0"/>
          <w:marTop w:val="0"/>
          <w:marBottom w:val="0"/>
          <w:divBdr>
            <w:top w:val="none" w:sz="0" w:space="0" w:color="auto"/>
            <w:left w:val="none" w:sz="0" w:space="0" w:color="auto"/>
            <w:bottom w:val="none" w:sz="0" w:space="0" w:color="auto"/>
            <w:right w:val="none" w:sz="0" w:space="0" w:color="auto"/>
          </w:divBdr>
        </w:div>
        <w:div w:id="1112433064">
          <w:marLeft w:val="0"/>
          <w:marRight w:val="0"/>
          <w:marTop w:val="0"/>
          <w:marBottom w:val="0"/>
          <w:divBdr>
            <w:top w:val="none" w:sz="0" w:space="0" w:color="auto"/>
            <w:left w:val="none" w:sz="0" w:space="0" w:color="auto"/>
            <w:bottom w:val="none" w:sz="0" w:space="0" w:color="auto"/>
            <w:right w:val="none" w:sz="0" w:space="0" w:color="auto"/>
          </w:divBdr>
        </w:div>
      </w:divsChild>
    </w:div>
    <w:div w:id="810828878">
      <w:bodyDiv w:val="1"/>
      <w:marLeft w:val="0"/>
      <w:marRight w:val="0"/>
      <w:marTop w:val="0"/>
      <w:marBottom w:val="0"/>
      <w:divBdr>
        <w:top w:val="none" w:sz="0" w:space="0" w:color="auto"/>
        <w:left w:val="none" w:sz="0" w:space="0" w:color="auto"/>
        <w:bottom w:val="none" w:sz="0" w:space="0" w:color="auto"/>
        <w:right w:val="none" w:sz="0" w:space="0" w:color="auto"/>
      </w:divBdr>
      <w:divsChild>
        <w:div w:id="496387456">
          <w:marLeft w:val="0"/>
          <w:marRight w:val="0"/>
          <w:marTop w:val="0"/>
          <w:marBottom w:val="0"/>
          <w:divBdr>
            <w:top w:val="none" w:sz="0" w:space="0" w:color="auto"/>
            <w:left w:val="none" w:sz="0" w:space="0" w:color="auto"/>
            <w:bottom w:val="none" w:sz="0" w:space="0" w:color="auto"/>
            <w:right w:val="none" w:sz="0" w:space="0" w:color="auto"/>
          </w:divBdr>
        </w:div>
        <w:div w:id="671102234">
          <w:marLeft w:val="0"/>
          <w:marRight w:val="0"/>
          <w:marTop w:val="0"/>
          <w:marBottom w:val="0"/>
          <w:divBdr>
            <w:top w:val="none" w:sz="0" w:space="0" w:color="auto"/>
            <w:left w:val="none" w:sz="0" w:space="0" w:color="auto"/>
            <w:bottom w:val="none" w:sz="0" w:space="0" w:color="auto"/>
            <w:right w:val="none" w:sz="0" w:space="0" w:color="auto"/>
          </w:divBdr>
        </w:div>
        <w:div w:id="765275839">
          <w:marLeft w:val="0"/>
          <w:marRight w:val="0"/>
          <w:marTop w:val="0"/>
          <w:marBottom w:val="0"/>
          <w:divBdr>
            <w:top w:val="none" w:sz="0" w:space="0" w:color="auto"/>
            <w:left w:val="none" w:sz="0" w:space="0" w:color="auto"/>
            <w:bottom w:val="none" w:sz="0" w:space="0" w:color="auto"/>
            <w:right w:val="none" w:sz="0" w:space="0" w:color="auto"/>
          </w:divBdr>
        </w:div>
        <w:div w:id="833421328">
          <w:marLeft w:val="0"/>
          <w:marRight w:val="0"/>
          <w:marTop w:val="0"/>
          <w:marBottom w:val="0"/>
          <w:divBdr>
            <w:top w:val="none" w:sz="0" w:space="0" w:color="auto"/>
            <w:left w:val="none" w:sz="0" w:space="0" w:color="auto"/>
            <w:bottom w:val="none" w:sz="0" w:space="0" w:color="auto"/>
            <w:right w:val="none" w:sz="0" w:space="0" w:color="auto"/>
          </w:divBdr>
        </w:div>
        <w:div w:id="1509439339">
          <w:marLeft w:val="0"/>
          <w:marRight w:val="0"/>
          <w:marTop w:val="0"/>
          <w:marBottom w:val="0"/>
          <w:divBdr>
            <w:top w:val="none" w:sz="0" w:space="0" w:color="auto"/>
            <w:left w:val="none" w:sz="0" w:space="0" w:color="auto"/>
            <w:bottom w:val="none" w:sz="0" w:space="0" w:color="auto"/>
            <w:right w:val="none" w:sz="0" w:space="0" w:color="auto"/>
          </w:divBdr>
        </w:div>
        <w:div w:id="1659649353">
          <w:marLeft w:val="0"/>
          <w:marRight w:val="0"/>
          <w:marTop w:val="0"/>
          <w:marBottom w:val="0"/>
          <w:divBdr>
            <w:top w:val="none" w:sz="0" w:space="0" w:color="auto"/>
            <w:left w:val="none" w:sz="0" w:space="0" w:color="auto"/>
            <w:bottom w:val="none" w:sz="0" w:space="0" w:color="auto"/>
            <w:right w:val="none" w:sz="0" w:space="0" w:color="auto"/>
          </w:divBdr>
        </w:div>
        <w:div w:id="1733194324">
          <w:marLeft w:val="0"/>
          <w:marRight w:val="0"/>
          <w:marTop w:val="0"/>
          <w:marBottom w:val="0"/>
          <w:divBdr>
            <w:top w:val="none" w:sz="0" w:space="0" w:color="auto"/>
            <w:left w:val="none" w:sz="0" w:space="0" w:color="auto"/>
            <w:bottom w:val="none" w:sz="0" w:space="0" w:color="auto"/>
            <w:right w:val="none" w:sz="0" w:space="0" w:color="auto"/>
          </w:divBdr>
        </w:div>
        <w:div w:id="1970086338">
          <w:marLeft w:val="0"/>
          <w:marRight w:val="0"/>
          <w:marTop w:val="0"/>
          <w:marBottom w:val="0"/>
          <w:divBdr>
            <w:top w:val="none" w:sz="0" w:space="0" w:color="auto"/>
            <w:left w:val="none" w:sz="0" w:space="0" w:color="auto"/>
            <w:bottom w:val="none" w:sz="0" w:space="0" w:color="auto"/>
            <w:right w:val="none" w:sz="0" w:space="0" w:color="auto"/>
          </w:divBdr>
        </w:div>
        <w:div w:id="1990161653">
          <w:marLeft w:val="0"/>
          <w:marRight w:val="0"/>
          <w:marTop w:val="0"/>
          <w:marBottom w:val="0"/>
          <w:divBdr>
            <w:top w:val="none" w:sz="0" w:space="0" w:color="auto"/>
            <w:left w:val="none" w:sz="0" w:space="0" w:color="auto"/>
            <w:bottom w:val="none" w:sz="0" w:space="0" w:color="auto"/>
            <w:right w:val="none" w:sz="0" w:space="0" w:color="auto"/>
          </w:divBdr>
        </w:div>
        <w:div w:id="2097162825">
          <w:marLeft w:val="0"/>
          <w:marRight w:val="0"/>
          <w:marTop w:val="0"/>
          <w:marBottom w:val="0"/>
          <w:divBdr>
            <w:top w:val="none" w:sz="0" w:space="0" w:color="auto"/>
            <w:left w:val="none" w:sz="0" w:space="0" w:color="auto"/>
            <w:bottom w:val="none" w:sz="0" w:space="0" w:color="auto"/>
            <w:right w:val="none" w:sz="0" w:space="0" w:color="auto"/>
          </w:divBdr>
        </w:div>
      </w:divsChild>
    </w:div>
    <w:div w:id="976491110">
      <w:bodyDiv w:val="1"/>
      <w:marLeft w:val="0"/>
      <w:marRight w:val="0"/>
      <w:marTop w:val="0"/>
      <w:marBottom w:val="0"/>
      <w:divBdr>
        <w:top w:val="none" w:sz="0" w:space="0" w:color="auto"/>
        <w:left w:val="none" w:sz="0" w:space="0" w:color="auto"/>
        <w:bottom w:val="none" w:sz="0" w:space="0" w:color="auto"/>
        <w:right w:val="none" w:sz="0" w:space="0" w:color="auto"/>
      </w:divBdr>
    </w:div>
    <w:div w:id="1044988732">
      <w:bodyDiv w:val="1"/>
      <w:marLeft w:val="0"/>
      <w:marRight w:val="0"/>
      <w:marTop w:val="0"/>
      <w:marBottom w:val="0"/>
      <w:divBdr>
        <w:top w:val="none" w:sz="0" w:space="0" w:color="auto"/>
        <w:left w:val="none" w:sz="0" w:space="0" w:color="auto"/>
        <w:bottom w:val="none" w:sz="0" w:space="0" w:color="auto"/>
        <w:right w:val="none" w:sz="0" w:space="0" w:color="auto"/>
      </w:divBdr>
      <w:divsChild>
        <w:div w:id="190533044">
          <w:marLeft w:val="0"/>
          <w:marRight w:val="0"/>
          <w:marTop w:val="0"/>
          <w:marBottom w:val="0"/>
          <w:divBdr>
            <w:top w:val="none" w:sz="0" w:space="0" w:color="auto"/>
            <w:left w:val="none" w:sz="0" w:space="0" w:color="auto"/>
            <w:bottom w:val="none" w:sz="0" w:space="0" w:color="auto"/>
            <w:right w:val="none" w:sz="0" w:space="0" w:color="auto"/>
          </w:divBdr>
        </w:div>
        <w:div w:id="260190034">
          <w:marLeft w:val="0"/>
          <w:marRight w:val="0"/>
          <w:marTop w:val="0"/>
          <w:marBottom w:val="0"/>
          <w:divBdr>
            <w:top w:val="none" w:sz="0" w:space="0" w:color="auto"/>
            <w:left w:val="none" w:sz="0" w:space="0" w:color="auto"/>
            <w:bottom w:val="none" w:sz="0" w:space="0" w:color="auto"/>
            <w:right w:val="none" w:sz="0" w:space="0" w:color="auto"/>
          </w:divBdr>
        </w:div>
        <w:div w:id="297760094">
          <w:marLeft w:val="0"/>
          <w:marRight w:val="0"/>
          <w:marTop w:val="0"/>
          <w:marBottom w:val="0"/>
          <w:divBdr>
            <w:top w:val="none" w:sz="0" w:space="0" w:color="auto"/>
            <w:left w:val="none" w:sz="0" w:space="0" w:color="auto"/>
            <w:bottom w:val="none" w:sz="0" w:space="0" w:color="auto"/>
            <w:right w:val="none" w:sz="0" w:space="0" w:color="auto"/>
          </w:divBdr>
        </w:div>
        <w:div w:id="368065325">
          <w:marLeft w:val="0"/>
          <w:marRight w:val="0"/>
          <w:marTop w:val="0"/>
          <w:marBottom w:val="0"/>
          <w:divBdr>
            <w:top w:val="none" w:sz="0" w:space="0" w:color="auto"/>
            <w:left w:val="none" w:sz="0" w:space="0" w:color="auto"/>
            <w:bottom w:val="none" w:sz="0" w:space="0" w:color="auto"/>
            <w:right w:val="none" w:sz="0" w:space="0" w:color="auto"/>
          </w:divBdr>
        </w:div>
        <w:div w:id="1499156873">
          <w:marLeft w:val="0"/>
          <w:marRight w:val="0"/>
          <w:marTop w:val="0"/>
          <w:marBottom w:val="0"/>
          <w:divBdr>
            <w:top w:val="none" w:sz="0" w:space="0" w:color="auto"/>
            <w:left w:val="none" w:sz="0" w:space="0" w:color="auto"/>
            <w:bottom w:val="none" w:sz="0" w:space="0" w:color="auto"/>
            <w:right w:val="none" w:sz="0" w:space="0" w:color="auto"/>
          </w:divBdr>
        </w:div>
        <w:div w:id="1994290397">
          <w:marLeft w:val="0"/>
          <w:marRight w:val="0"/>
          <w:marTop w:val="0"/>
          <w:marBottom w:val="0"/>
          <w:divBdr>
            <w:top w:val="none" w:sz="0" w:space="0" w:color="auto"/>
            <w:left w:val="none" w:sz="0" w:space="0" w:color="auto"/>
            <w:bottom w:val="none" w:sz="0" w:space="0" w:color="auto"/>
            <w:right w:val="none" w:sz="0" w:space="0" w:color="auto"/>
          </w:divBdr>
        </w:div>
        <w:div w:id="2067028118">
          <w:marLeft w:val="0"/>
          <w:marRight w:val="0"/>
          <w:marTop w:val="0"/>
          <w:marBottom w:val="0"/>
          <w:divBdr>
            <w:top w:val="none" w:sz="0" w:space="0" w:color="auto"/>
            <w:left w:val="none" w:sz="0" w:space="0" w:color="auto"/>
            <w:bottom w:val="none" w:sz="0" w:space="0" w:color="auto"/>
            <w:right w:val="none" w:sz="0" w:space="0" w:color="auto"/>
          </w:divBdr>
        </w:div>
      </w:divsChild>
    </w:div>
    <w:div w:id="1358002914">
      <w:bodyDiv w:val="1"/>
      <w:marLeft w:val="0"/>
      <w:marRight w:val="0"/>
      <w:marTop w:val="0"/>
      <w:marBottom w:val="0"/>
      <w:divBdr>
        <w:top w:val="none" w:sz="0" w:space="0" w:color="auto"/>
        <w:left w:val="none" w:sz="0" w:space="0" w:color="auto"/>
        <w:bottom w:val="none" w:sz="0" w:space="0" w:color="auto"/>
        <w:right w:val="none" w:sz="0" w:space="0" w:color="auto"/>
      </w:divBdr>
    </w:div>
    <w:div w:id="1456102438">
      <w:bodyDiv w:val="1"/>
      <w:marLeft w:val="0"/>
      <w:marRight w:val="0"/>
      <w:marTop w:val="0"/>
      <w:marBottom w:val="0"/>
      <w:divBdr>
        <w:top w:val="none" w:sz="0" w:space="0" w:color="auto"/>
        <w:left w:val="none" w:sz="0" w:space="0" w:color="auto"/>
        <w:bottom w:val="none" w:sz="0" w:space="0" w:color="auto"/>
        <w:right w:val="none" w:sz="0" w:space="0" w:color="auto"/>
      </w:divBdr>
      <w:divsChild>
        <w:div w:id="3165665">
          <w:marLeft w:val="0"/>
          <w:marRight w:val="0"/>
          <w:marTop w:val="0"/>
          <w:marBottom w:val="0"/>
          <w:divBdr>
            <w:top w:val="none" w:sz="0" w:space="0" w:color="auto"/>
            <w:left w:val="none" w:sz="0" w:space="0" w:color="auto"/>
            <w:bottom w:val="none" w:sz="0" w:space="0" w:color="auto"/>
            <w:right w:val="none" w:sz="0" w:space="0" w:color="auto"/>
          </w:divBdr>
        </w:div>
        <w:div w:id="40860219">
          <w:marLeft w:val="0"/>
          <w:marRight w:val="0"/>
          <w:marTop w:val="0"/>
          <w:marBottom w:val="0"/>
          <w:divBdr>
            <w:top w:val="none" w:sz="0" w:space="0" w:color="auto"/>
            <w:left w:val="none" w:sz="0" w:space="0" w:color="auto"/>
            <w:bottom w:val="none" w:sz="0" w:space="0" w:color="auto"/>
            <w:right w:val="none" w:sz="0" w:space="0" w:color="auto"/>
          </w:divBdr>
        </w:div>
        <w:div w:id="150490479">
          <w:marLeft w:val="0"/>
          <w:marRight w:val="0"/>
          <w:marTop w:val="0"/>
          <w:marBottom w:val="0"/>
          <w:divBdr>
            <w:top w:val="none" w:sz="0" w:space="0" w:color="auto"/>
            <w:left w:val="none" w:sz="0" w:space="0" w:color="auto"/>
            <w:bottom w:val="none" w:sz="0" w:space="0" w:color="auto"/>
            <w:right w:val="none" w:sz="0" w:space="0" w:color="auto"/>
          </w:divBdr>
        </w:div>
        <w:div w:id="224344048">
          <w:marLeft w:val="0"/>
          <w:marRight w:val="0"/>
          <w:marTop w:val="0"/>
          <w:marBottom w:val="0"/>
          <w:divBdr>
            <w:top w:val="none" w:sz="0" w:space="0" w:color="auto"/>
            <w:left w:val="none" w:sz="0" w:space="0" w:color="auto"/>
            <w:bottom w:val="none" w:sz="0" w:space="0" w:color="auto"/>
            <w:right w:val="none" w:sz="0" w:space="0" w:color="auto"/>
          </w:divBdr>
        </w:div>
        <w:div w:id="281961518">
          <w:marLeft w:val="0"/>
          <w:marRight w:val="0"/>
          <w:marTop w:val="0"/>
          <w:marBottom w:val="0"/>
          <w:divBdr>
            <w:top w:val="none" w:sz="0" w:space="0" w:color="auto"/>
            <w:left w:val="none" w:sz="0" w:space="0" w:color="auto"/>
            <w:bottom w:val="none" w:sz="0" w:space="0" w:color="auto"/>
            <w:right w:val="none" w:sz="0" w:space="0" w:color="auto"/>
          </w:divBdr>
        </w:div>
        <w:div w:id="307243155">
          <w:marLeft w:val="0"/>
          <w:marRight w:val="0"/>
          <w:marTop w:val="0"/>
          <w:marBottom w:val="0"/>
          <w:divBdr>
            <w:top w:val="none" w:sz="0" w:space="0" w:color="auto"/>
            <w:left w:val="none" w:sz="0" w:space="0" w:color="auto"/>
            <w:bottom w:val="none" w:sz="0" w:space="0" w:color="auto"/>
            <w:right w:val="none" w:sz="0" w:space="0" w:color="auto"/>
          </w:divBdr>
        </w:div>
        <w:div w:id="320933360">
          <w:marLeft w:val="0"/>
          <w:marRight w:val="0"/>
          <w:marTop w:val="0"/>
          <w:marBottom w:val="0"/>
          <w:divBdr>
            <w:top w:val="none" w:sz="0" w:space="0" w:color="auto"/>
            <w:left w:val="none" w:sz="0" w:space="0" w:color="auto"/>
            <w:bottom w:val="none" w:sz="0" w:space="0" w:color="auto"/>
            <w:right w:val="none" w:sz="0" w:space="0" w:color="auto"/>
          </w:divBdr>
        </w:div>
        <w:div w:id="323317588">
          <w:marLeft w:val="0"/>
          <w:marRight w:val="0"/>
          <w:marTop w:val="0"/>
          <w:marBottom w:val="0"/>
          <w:divBdr>
            <w:top w:val="none" w:sz="0" w:space="0" w:color="auto"/>
            <w:left w:val="none" w:sz="0" w:space="0" w:color="auto"/>
            <w:bottom w:val="none" w:sz="0" w:space="0" w:color="auto"/>
            <w:right w:val="none" w:sz="0" w:space="0" w:color="auto"/>
          </w:divBdr>
        </w:div>
        <w:div w:id="506092121">
          <w:marLeft w:val="0"/>
          <w:marRight w:val="0"/>
          <w:marTop w:val="0"/>
          <w:marBottom w:val="0"/>
          <w:divBdr>
            <w:top w:val="none" w:sz="0" w:space="0" w:color="auto"/>
            <w:left w:val="none" w:sz="0" w:space="0" w:color="auto"/>
            <w:bottom w:val="none" w:sz="0" w:space="0" w:color="auto"/>
            <w:right w:val="none" w:sz="0" w:space="0" w:color="auto"/>
          </w:divBdr>
        </w:div>
        <w:div w:id="507788021">
          <w:marLeft w:val="0"/>
          <w:marRight w:val="0"/>
          <w:marTop w:val="0"/>
          <w:marBottom w:val="0"/>
          <w:divBdr>
            <w:top w:val="none" w:sz="0" w:space="0" w:color="auto"/>
            <w:left w:val="none" w:sz="0" w:space="0" w:color="auto"/>
            <w:bottom w:val="none" w:sz="0" w:space="0" w:color="auto"/>
            <w:right w:val="none" w:sz="0" w:space="0" w:color="auto"/>
          </w:divBdr>
        </w:div>
        <w:div w:id="569658320">
          <w:marLeft w:val="0"/>
          <w:marRight w:val="0"/>
          <w:marTop w:val="0"/>
          <w:marBottom w:val="0"/>
          <w:divBdr>
            <w:top w:val="none" w:sz="0" w:space="0" w:color="auto"/>
            <w:left w:val="none" w:sz="0" w:space="0" w:color="auto"/>
            <w:bottom w:val="none" w:sz="0" w:space="0" w:color="auto"/>
            <w:right w:val="none" w:sz="0" w:space="0" w:color="auto"/>
          </w:divBdr>
        </w:div>
        <w:div w:id="680855172">
          <w:marLeft w:val="0"/>
          <w:marRight w:val="0"/>
          <w:marTop w:val="0"/>
          <w:marBottom w:val="0"/>
          <w:divBdr>
            <w:top w:val="none" w:sz="0" w:space="0" w:color="auto"/>
            <w:left w:val="none" w:sz="0" w:space="0" w:color="auto"/>
            <w:bottom w:val="none" w:sz="0" w:space="0" w:color="auto"/>
            <w:right w:val="none" w:sz="0" w:space="0" w:color="auto"/>
          </w:divBdr>
        </w:div>
        <w:div w:id="704016190">
          <w:marLeft w:val="0"/>
          <w:marRight w:val="0"/>
          <w:marTop w:val="0"/>
          <w:marBottom w:val="0"/>
          <w:divBdr>
            <w:top w:val="none" w:sz="0" w:space="0" w:color="auto"/>
            <w:left w:val="none" w:sz="0" w:space="0" w:color="auto"/>
            <w:bottom w:val="none" w:sz="0" w:space="0" w:color="auto"/>
            <w:right w:val="none" w:sz="0" w:space="0" w:color="auto"/>
          </w:divBdr>
        </w:div>
        <w:div w:id="772284955">
          <w:marLeft w:val="0"/>
          <w:marRight w:val="0"/>
          <w:marTop w:val="0"/>
          <w:marBottom w:val="0"/>
          <w:divBdr>
            <w:top w:val="none" w:sz="0" w:space="0" w:color="auto"/>
            <w:left w:val="none" w:sz="0" w:space="0" w:color="auto"/>
            <w:bottom w:val="none" w:sz="0" w:space="0" w:color="auto"/>
            <w:right w:val="none" w:sz="0" w:space="0" w:color="auto"/>
          </w:divBdr>
        </w:div>
        <w:div w:id="998583892">
          <w:marLeft w:val="0"/>
          <w:marRight w:val="0"/>
          <w:marTop w:val="0"/>
          <w:marBottom w:val="0"/>
          <w:divBdr>
            <w:top w:val="none" w:sz="0" w:space="0" w:color="auto"/>
            <w:left w:val="none" w:sz="0" w:space="0" w:color="auto"/>
            <w:bottom w:val="none" w:sz="0" w:space="0" w:color="auto"/>
            <w:right w:val="none" w:sz="0" w:space="0" w:color="auto"/>
          </w:divBdr>
        </w:div>
        <w:div w:id="1140003992">
          <w:marLeft w:val="0"/>
          <w:marRight w:val="0"/>
          <w:marTop w:val="0"/>
          <w:marBottom w:val="0"/>
          <w:divBdr>
            <w:top w:val="none" w:sz="0" w:space="0" w:color="auto"/>
            <w:left w:val="none" w:sz="0" w:space="0" w:color="auto"/>
            <w:bottom w:val="none" w:sz="0" w:space="0" w:color="auto"/>
            <w:right w:val="none" w:sz="0" w:space="0" w:color="auto"/>
          </w:divBdr>
        </w:div>
        <w:div w:id="1262300524">
          <w:marLeft w:val="0"/>
          <w:marRight w:val="0"/>
          <w:marTop w:val="0"/>
          <w:marBottom w:val="0"/>
          <w:divBdr>
            <w:top w:val="none" w:sz="0" w:space="0" w:color="auto"/>
            <w:left w:val="none" w:sz="0" w:space="0" w:color="auto"/>
            <w:bottom w:val="none" w:sz="0" w:space="0" w:color="auto"/>
            <w:right w:val="none" w:sz="0" w:space="0" w:color="auto"/>
          </w:divBdr>
        </w:div>
        <w:div w:id="1310597955">
          <w:marLeft w:val="0"/>
          <w:marRight w:val="0"/>
          <w:marTop w:val="0"/>
          <w:marBottom w:val="0"/>
          <w:divBdr>
            <w:top w:val="none" w:sz="0" w:space="0" w:color="auto"/>
            <w:left w:val="none" w:sz="0" w:space="0" w:color="auto"/>
            <w:bottom w:val="none" w:sz="0" w:space="0" w:color="auto"/>
            <w:right w:val="none" w:sz="0" w:space="0" w:color="auto"/>
          </w:divBdr>
        </w:div>
        <w:div w:id="1381827665">
          <w:marLeft w:val="0"/>
          <w:marRight w:val="0"/>
          <w:marTop w:val="0"/>
          <w:marBottom w:val="0"/>
          <w:divBdr>
            <w:top w:val="none" w:sz="0" w:space="0" w:color="auto"/>
            <w:left w:val="none" w:sz="0" w:space="0" w:color="auto"/>
            <w:bottom w:val="none" w:sz="0" w:space="0" w:color="auto"/>
            <w:right w:val="none" w:sz="0" w:space="0" w:color="auto"/>
          </w:divBdr>
        </w:div>
        <w:div w:id="1384061993">
          <w:marLeft w:val="0"/>
          <w:marRight w:val="0"/>
          <w:marTop w:val="0"/>
          <w:marBottom w:val="0"/>
          <w:divBdr>
            <w:top w:val="none" w:sz="0" w:space="0" w:color="auto"/>
            <w:left w:val="none" w:sz="0" w:space="0" w:color="auto"/>
            <w:bottom w:val="none" w:sz="0" w:space="0" w:color="auto"/>
            <w:right w:val="none" w:sz="0" w:space="0" w:color="auto"/>
          </w:divBdr>
        </w:div>
        <w:div w:id="1392269529">
          <w:marLeft w:val="0"/>
          <w:marRight w:val="0"/>
          <w:marTop w:val="0"/>
          <w:marBottom w:val="0"/>
          <w:divBdr>
            <w:top w:val="none" w:sz="0" w:space="0" w:color="auto"/>
            <w:left w:val="none" w:sz="0" w:space="0" w:color="auto"/>
            <w:bottom w:val="none" w:sz="0" w:space="0" w:color="auto"/>
            <w:right w:val="none" w:sz="0" w:space="0" w:color="auto"/>
          </w:divBdr>
        </w:div>
        <w:div w:id="1422020203">
          <w:marLeft w:val="0"/>
          <w:marRight w:val="0"/>
          <w:marTop w:val="0"/>
          <w:marBottom w:val="0"/>
          <w:divBdr>
            <w:top w:val="none" w:sz="0" w:space="0" w:color="auto"/>
            <w:left w:val="none" w:sz="0" w:space="0" w:color="auto"/>
            <w:bottom w:val="none" w:sz="0" w:space="0" w:color="auto"/>
            <w:right w:val="none" w:sz="0" w:space="0" w:color="auto"/>
          </w:divBdr>
        </w:div>
        <w:div w:id="1455639930">
          <w:marLeft w:val="0"/>
          <w:marRight w:val="0"/>
          <w:marTop w:val="0"/>
          <w:marBottom w:val="0"/>
          <w:divBdr>
            <w:top w:val="none" w:sz="0" w:space="0" w:color="auto"/>
            <w:left w:val="none" w:sz="0" w:space="0" w:color="auto"/>
            <w:bottom w:val="none" w:sz="0" w:space="0" w:color="auto"/>
            <w:right w:val="none" w:sz="0" w:space="0" w:color="auto"/>
          </w:divBdr>
        </w:div>
        <w:div w:id="1705323826">
          <w:marLeft w:val="0"/>
          <w:marRight w:val="0"/>
          <w:marTop w:val="0"/>
          <w:marBottom w:val="0"/>
          <w:divBdr>
            <w:top w:val="none" w:sz="0" w:space="0" w:color="auto"/>
            <w:left w:val="none" w:sz="0" w:space="0" w:color="auto"/>
            <w:bottom w:val="none" w:sz="0" w:space="0" w:color="auto"/>
            <w:right w:val="none" w:sz="0" w:space="0" w:color="auto"/>
          </w:divBdr>
        </w:div>
        <w:div w:id="1772814748">
          <w:marLeft w:val="0"/>
          <w:marRight w:val="0"/>
          <w:marTop w:val="0"/>
          <w:marBottom w:val="0"/>
          <w:divBdr>
            <w:top w:val="none" w:sz="0" w:space="0" w:color="auto"/>
            <w:left w:val="none" w:sz="0" w:space="0" w:color="auto"/>
            <w:bottom w:val="none" w:sz="0" w:space="0" w:color="auto"/>
            <w:right w:val="none" w:sz="0" w:space="0" w:color="auto"/>
          </w:divBdr>
        </w:div>
        <w:div w:id="1874342281">
          <w:marLeft w:val="0"/>
          <w:marRight w:val="0"/>
          <w:marTop w:val="0"/>
          <w:marBottom w:val="0"/>
          <w:divBdr>
            <w:top w:val="none" w:sz="0" w:space="0" w:color="auto"/>
            <w:left w:val="none" w:sz="0" w:space="0" w:color="auto"/>
            <w:bottom w:val="none" w:sz="0" w:space="0" w:color="auto"/>
            <w:right w:val="none" w:sz="0" w:space="0" w:color="auto"/>
          </w:divBdr>
        </w:div>
        <w:div w:id="1963422099">
          <w:marLeft w:val="0"/>
          <w:marRight w:val="0"/>
          <w:marTop w:val="0"/>
          <w:marBottom w:val="0"/>
          <w:divBdr>
            <w:top w:val="none" w:sz="0" w:space="0" w:color="auto"/>
            <w:left w:val="none" w:sz="0" w:space="0" w:color="auto"/>
            <w:bottom w:val="none" w:sz="0" w:space="0" w:color="auto"/>
            <w:right w:val="none" w:sz="0" w:space="0" w:color="auto"/>
          </w:divBdr>
        </w:div>
        <w:div w:id="1974827473">
          <w:marLeft w:val="0"/>
          <w:marRight w:val="0"/>
          <w:marTop w:val="0"/>
          <w:marBottom w:val="0"/>
          <w:divBdr>
            <w:top w:val="none" w:sz="0" w:space="0" w:color="auto"/>
            <w:left w:val="none" w:sz="0" w:space="0" w:color="auto"/>
            <w:bottom w:val="none" w:sz="0" w:space="0" w:color="auto"/>
            <w:right w:val="none" w:sz="0" w:space="0" w:color="auto"/>
          </w:divBdr>
        </w:div>
        <w:div w:id="2038575206">
          <w:marLeft w:val="0"/>
          <w:marRight w:val="0"/>
          <w:marTop w:val="0"/>
          <w:marBottom w:val="0"/>
          <w:divBdr>
            <w:top w:val="none" w:sz="0" w:space="0" w:color="auto"/>
            <w:left w:val="none" w:sz="0" w:space="0" w:color="auto"/>
            <w:bottom w:val="none" w:sz="0" w:space="0" w:color="auto"/>
            <w:right w:val="none" w:sz="0" w:space="0" w:color="auto"/>
          </w:divBdr>
        </w:div>
        <w:div w:id="2067216889">
          <w:marLeft w:val="0"/>
          <w:marRight w:val="0"/>
          <w:marTop w:val="0"/>
          <w:marBottom w:val="0"/>
          <w:divBdr>
            <w:top w:val="none" w:sz="0" w:space="0" w:color="auto"/>
            <w:left w:val="none" w:sz="0" w:space="0" w:color="auto"/>
            <w:bottom w:val="none" w:sz="0" w:space="0" w:color="auto"/>
            <w:right w:val="none" w:sz="0" w:space="0" w:color="auto"/>
          </w:divBdr>
        </w:div>
        <w:div w:id="2102794400">
          <w:marLeft w:val="0"/>
          <w:marRight w:val="0"/>
          <w:marTop w:val="0"/>
          <w:marBottom w:val="0"/>
          <w:divBdr>
            <w:top w:val="none" w:sz="0" w:space="0" w:color="auto"/>
            <w:left w:val="none" w:sz="0" w:space="0" w:color="auto"/>
            <w:bottom w:val="none" w:sz="0" w:space="0" w:color="auto"/>
            <w:right w:val="none" w:sz="0" w:space="0" w:color="auto"/>
          </w:divBdr>
        </w:div>
      </w:divsChild>
    </w:div>
    <w:div w:id="1659184967">
      <w:bodyDiv w:val="1"/>
      <w:marLeft w:val="0"/>
      <w:marRight w:val="0"/>
      <w:marTop w:val="0"/>
      <w:marBottom w:val="0"/>
      <w:divBdr>
        <w:top w:val="none" w:sz="0" w:space="0" w:color="auto"/>
        <w:left w:val="none" w:sz="0" w:space="0" w:color="auto"/>
        <w:bottom w:val="none" w:sz="0" w:space="0" w:color="auto"/>
        <w:right w:val="none" w:sz="0" w:space="0" w:color="auto"/>
      </w:divBdr>
      <w:divsChild>
        <w:div w:id="1526552178">
          <w:marLeft w:val="0"/>
          <w:marRight w:val="0"/>
          <w:marTop w:val="0"/>
          <w:marBottom w:val="0"/>
          <w:divBdr>
            <w:top w:val="none" w:sz="0" w:space="0" w:color="auto"/>
            <w:left w:val="none" w:sz="0" w:space="0" w:color="auto"/>
            <w:bottom w:val="none" w:sz="0" w:space="0" w:color="auto"/>
            <w:right w:val="none" w:sz="0" w:space="0" w:color="auto"/>
          </w:divBdr>
        </w:div>
      </w:divsChild>
    </w:div>
    <w:div w:id="1669165102">
      <w:bodyDiv w:val="1"/>
      <w:marLeft w:val="0"/>
      <w:marRight w:val="0"/>
      <w:marTop w:val="0"/>
      <w:marBottom w:val="0"/>
      <w:divBdr>
        <w:top w:val="none" w:sz="0" w:space="0" w:color="auto"/>
        <w:left w:val="none" w:sz="0" w:space="0" w:color="auto"/>
        <w:bottom w:val="none" w:sz="0" w:space="0" w:color="auto"/>
        <w:right w:val="none" w:sz="0" w:space="0" w:color="auto"/>
      </w:divBdr>
      <w:divsChild>
        <w:div w:id="53479884">
          <w:marLeft w:val="0"/>
          <w:marRight w:val="0"/>
          <w:marTop w:val="0"/>
          <w:marBottom w:val="0"/>
          <w:divBdr>
            <w:top w:val="none" w:sz="0" w:space="0" w:color="auto"/>
            <w:left w:val="none" w:sz="0" w:space="0" w:color="auto"/>
            <w:bottom w:val="none" w:sz="0" w:space="0" w:color="auto"/>
            <w:right w:val="none" w:sz="0" w:space="0" w:color="auto"/>
          </w:divBdr>
        </w:div>
        <w:div w:id="138503774">
          <w:marLeft w:val="0"/>
          <w:marRight w:val="0"/>
          <w:marTop w:val="0"/>
          <w:marBottom w:val="0"/>
          <w:divBdr>
            <w:top w:val="none" w:sz="0" w:space="0" w:color="auto"/>
            <w:left w:val="none" w:sz="0" w:space="0" w:color="auto"/>
            <w:bottom w:val="none" w:sz="0" w:space="0" w:color="auto"/>
            <w:right w:val="none" w:sz="0" w:space="0" w:color="auto"/>
          </w:divBdr>
        </w:div>
        <w:div w:id="140656357">
          <w:marLeft w:val="0"/>
          <w:marRight w:val="0"/>
          <w:marTop w:val="0"/>
          <w:marBottom w:val="0"/>
          <w:divBdr>
            <w:top w:val="none" w:sz="0" w:space="0" w:color="auto"/>
            <w:left w:val="none" w:sz="0" w:space="0" w:color="auto"/>
            <w:bottom w:val="none" w:sz="0" w:space="0" w:color="auto"/>
            <w:right w:val="none" w:sz="0" w:space="0" w:color="auto"/>
          </w:divBdr>
        </w:div>
        <w:div w:id="150222339">
          <w:marLeft w:val="0"/>
          <w:marRight w:val="0"/>
          <w:marTop w:val="0"/>
          <w:marBottom w:val="0"/>
          <w:divBdr>
            <w:top w:val="none" w:sz="0" w:space="0" w:color="auto"/>
            <w:left w:val="none" w:sz="0" w:space="0" w:color="auto"/>
            <w:bottom w:val="none" w:sz="0" w:space="0" w:color="auto"/>
            <w:right w:val="none" w:sz="0" w:space="0" w:color="auto"/>
          </w:divBdr>
        </w:div>
        <w:div w:id="231819446">
          <w:marLeft w:val="0"/>
          <w:marRight w:val="0"/>
          <w:marTop w:val="0"/>
          <w:marBottom w:val="0"/>
          <w:divBdr>
            <w:top w:val="none" w:sz="0" w:space="0" w:color="auto"/>
            <w:left w:val="none" w:sz="0" w:space="0" w:color="auto"/>
            <w:bottom w:val="none" w:sz="0" w:space="0" w:color="auto"/>
            <w:right w:val="none" w:sz="0" w:space="0" w:color="auto"/>
          </w:divBdr>
        </w:div>
        <w:div w:id="387842962">
          <w:marLeft w:val="0"/>
          <w:marRight w:val="0"/>
          <w:marTop w:val="0"/>
          <w:marBottom w:val="0"/>
          <w:divBdr>
            <w:top w:val="none" w:sz="0" w:space="0" w:color="auto"/>
            <w:left w:val="none" w:sz="0" w:space="0" w:color="auto"/>
            <w:bottom w:val="none" w:sz="0" w:space="0" w:color="auto"/>
            <w:right w:val="none" w:sz="0" w:space="0" w:color="auto"/>
          </w:divBdr>
        </w:div>
        <w:div w:id="666514106">
          <w:marLeft w:val="0"/>
          <w:marRight w:val="0"/>
          <w:marTop w:val="0"/>
          <w:marBottom w:val="0"/>
          <w:divBdr>
            <w:top w:val="none" w:sz="0" w:space="0" w:color="auto"/>
            <w:left w:val="none" w:sz="0" w:space="0" w:color="auto"/>
            <w:bottom w:val="none" w:sz="0" w:space="0" w:color="auto"/>
            <w:right w:val="none" w:sz="0" w:space="0" w:color="auto"/>
          </w:divBdr>
        </w:div>
        <w:div w:id="857085049">
          <w:marLeft w:val="0"/>
          <w:marRight w:val="0"/>
          <w:marTop w:val="0"/>
          <w:marBottom w:val="0"/>
          <w:divBdr>
            <w:top w:val="none" w:sz="0" w:space="0" w:color="auto"/>
            <w:left w:val="none" w:sz="0" w:space="0" w:color="auto"/>
            <w:bottom w:val="none" w:sz="0" w:space="0" w:color="auto"/>
            <w:right w:val="none" w:sz="0" w:space="0" w:color="auto"/>
          </w:divBdr>
        </w:div>
        <w:div w:id="1307783292">
          <w:marLeft w:val="0"/>
          <w:marRight w:val="0"/>
          <w:marTop w:val="0"/>
          <w:marBottom w:val="0"/>
          <w:divBdr>
            <w:top w:val="none" w:sz="0" w:space="0" w:color="auto"/>
            <w:left w:val="none" w:sz="0" w:space="0" w:color="auto"/>
            <w:bottom w:val="none" w:sz="0" w:space="0" w:color="auto"/>
            <w:right w:val="none" w:sz="0" w:space="0" w:color="auto"/>
          </w:divBdr>
        </w:div>
        <w:div w:id="1317417642">
          <w:marLeft w:val="0"/>
          <w:marRight w:val="0"/>
          <w:marTop w:val="0"/>
          <w:marBottom w:val="0"/>
          <w:divBdr>
            <w:top w:val="none" w:sz="0" w:space="0" w:color="auto"/>
            <w:left w:val="none" w:sz="0" w:space="0" w:color="auto"/>
            <w:bottom w:val="none" w:sz="0" w:space="0" w:color="auto"/>
            <w:right w:val="none" w:sz="0" w:space="0" w:color="auto"/>
          </w:divBdr>
        </w:div>
        <w:div w:id="1365642094">
          <w:marLeft w:val="0"/>
          <w:marRight w:val="0"/>
          <w:marTop w:val="0"/>
          <w:marBottom w:val="0"/>
          <w:divBdr>
            <w:top w:val="none" w:sz="0" w:space="0" w:color="auto"/>
            <w:left w:val="none" w:sz="0" w:space="0" w:color="auto"/>
            <w:bottom w:val="none" w:sz="0" w:space="0" w:color="auto"/>
            <w:right w:val="none" w:sz="0" w:space="0" w:color="auto"/>
          </w:divBdr>
        </w:div>
        <w:div w:id="1520437319">
          <w:marLeft w:val="0"/>
          <w:marRight w:val="0"/>
          <w:marTop w:val="0"/>
          <w:marBottom w:val="0"/>
          <w:divBdr>
            <w:top w:val="none" w:sz="0" w:space="0" w:color="auto"/>
            <w:left w:val="none" w:sz="0" w:space="0" w:color="auto"/>
            <w:bottom w:val="none" w:sz="0" w:space="0" w:color="auto"/>
            <w:right w:val="none" w:sz="0" w:space="0" w:color="auto"/>
          </w:divBdr>
        </w:div>
        <w:div w:id="1684742699">
          <w:marLeft w:val="0"/>
          <w:marRight w:val="0"/>
          <w:marTop w:val="0"/>
          <w:marBottom w:val="0"/>
          <w:divBdr>
            <w:top w:val="none" w:sz="0" w:space="0" w:color="auto"/>
            <w:left w:val="none" w:sz="0" w:space="0" w:color="auto"/>
            <w:bottom w:val="none" w:sz="0" w:space="0" w:color="auto"/>
            <w:right w:val="none" w:sz="0" w:space="0" w:color="auto"/>
          </w:divBdr>
        </w:div>
        <w:div w:id="1730762644">
          <w:marLeft w:val="0"/>
          <w:marRight w:val="0"/>
          <w:marTop w:val="0"/>
          <w:marBottom w:val="0"/>
          <w:divBdr>
            <w:top w:val="none" w:sz="0" w:space="0" w:color="auto"/>
            <w:left w:val="none" w:sz="0" w:space="0" w:color="auto"/>
            <w:bottom w:val="none" w:sz="0" w:space="0" w:color="auto"/>
            <w:right w:val="none" w:sz="0" w:space="0" w:color="auto"/>
          </w:divBdr>
        </w:div>
        <w:div w:id="1765566708">
          <w:marLeft w:val="0"/>
          <w:marRight w:val="0"/>
          <w:marTop w:val="0"/>
          <w:marBottom w:val="0"/>
          <w:divBdr>
            <w:top w:val="none" w:sz="0" w:space="0" w:color="auto"/>
            <w:left w:val="none" w:sz="0" w:space="0" w:color="auto"/>
            <w:bottom w:val="none" w:sz="0" w:space="0" w:color="auto"/>
            <w:right w:val="none" w:sz="0" w:space="0" w:color="auto"/>
          </w:divBdr>
        </w:div>
        <w:div w:id="1822653030">
          <w:marLeft w:val="0"/>
          <w:marRight w:val="0"/>
          <w:marTop w:val="0"/>
          <w:marBottom w:val="0"/>
          <w:divBdr>
            <w:top w:val="none" w:sz="0" w:space="0" w:color="auto"/>
            <w:left w:val="none" w:sz="0" w:space="0" w:color="auto"/>
            <w:bottom w:val="none" w:sz="0" w:space="0" w:color="auto"/>
            <w:right w:val="none" w:sz="0" w:space="0" w:color="auto"/>
          </w:divBdr>
        </w:div>
        <w:div w:id="1890023145">
          <w:marLeft w:val="0"/>
          <w:marRight w:val="0"/>
          <w:marTop w:val="0"/>
          <w:marBottom w:val="0"/>
          <w:divBdr>
            <w:top w:val="none" w:sz="0" w:space="0" w:color="auto"/>
            <w:left w:val="none" w:sz="0" w:space="0" w:color="auto"/>
            <w:bottom w:val="none" w:sz="0" w:space="0" w:color="auto"/>
            <w:right w:val="none" w:sz="0" w:space="0" w:color="auto"/>
          </w:divBdr>
        </w:div>
        <w:div w:id="2003046986">
          <w:marLeft w:val="0"/>
          <w:marRight w:val="0"/>
          <w:marTop w:val="0"/>
          <w:marBottom w:val="0"/>
          <w:divBdr>
            <w:top w:val="none" w:sz="0" w:space="0" w:color="auto"/>
            <w:left w:val="none" w:sz="0" w:space="0" w:color="auto"/>
            <w:bottom w:val="none" w:sz="0" w:space="0" w:color="auto"/>
            <w:right w:val="none" w:sz="0" w:space="0" w:color="auto"/>
          </w:divBdr>
        </w:div>
        <w:div w:id="2011986178">
          <w:marLeft w:val="0"/>
          <w:marRight w:val="0"/>
          <w:marTop w:val="0"/>
          <w:marBottom w:val="0"/>
          <w:divBdr>
            <w:top w:val="none" w:sz="0" w:space="0" w:color="auto"/>
            <w:left w:val="none" w:sz="0" w:space="0" w:color="auto"/>
            <w:bottom w:val="none" w:sz="0" w:space="0" w:color="auto"/>
            <w:right w:val="none" w:sz="0" w:space="0" w:color="auto"/>
          </w:divBdr>
        </w:div>
        <w:div w:id="2032997057">
          <w:marLeft w:val="0"/>
          <w:marRight w:val="0"/>
          <w:marTop w:val="0"/>
          <w:marBottom w:val="0"/>
          <w:divBdr>
            <w:top w:val="none" w:sz="0" w:space="0" w:color="auto"/>
            <w:left w:val="none" w:sz="0" w:space="0" w:color="auto"/>
            <w:bottom w:val="none" w:sz="0" w:space="0" w:color="auto"/>
            <w:right w:val="none" w:sz="0" w:space="0" w:color="auto"/>
          </w:divBdr>
        </w:div>
        <w:div w:id="2041123474">
          <w:marLeft w:val="0"/>
          <w:marRight w:val="0"/>
          <w:marTop w:val="0"/>
          <w:marBottom w:val="0"/>
          <w:divBdr>
            <w:top w:val="none" w:sz="0" w:space="0" w:color="auto"/>
            <w:left w:val="none" w:sz="0" w:space="0" w:color="auto"/>
            <w:bottom w:val="none" w:sz="0" w:space="0" w:color="auto"/>
            <w:right w:val="none" w:sz="0" w:space="0" w:color="auto"/>
          </w:divBdr>
        </w:div>
        <w:div w:id="2146004705">
          <w:marLeft w:val="0"/>
          <w:marRight w:val="0"/>
          <w:marTop w:val="0"/>
          <w:marBottom w:val="0"/>
          <w:divBdr>
            <w:top w:val="none" w:sz="0" w:space="0" w:color="auto"/>
            <w:left w:val="none" w:sz="0" w:space="0" w:color="auto"/>
            <w:bottom w:val="none" w:sz="0" w:space="0" w:color="auto"/>
            <w:right w:val="none" w:sz="0" w:space="0" w:color="auto"/>
          </w:divBdr>
        </w:div>
      </w:divsChild>
    </w:div>
    <w:div w:id="1872330208">
      <w:bodyDiv w:val="1"/>
      <w:marLeft w:val="0"/>
      <w:marRight w:val="0"/>
      <w:marTop w:val="0"/>
      <w:marBottom w:val="0"/>
      <w:divBdr>
        <w:top w:val="none" w:sz="0" w:space="0" w:color="auto"/>
        <w:left w:val="none" w:sz="0" w:space="0" w:color="auto"/>
        <w:bottom w:val="none" w:sz="0" w:space="0" w:color="auto"/>
        <w:right w:val="none" w:sz="0" w:space="0" w:color="auto"/>
      </w:divBdr>
      <w:divsChild>
        <w:div w:id="1843815634">
          <w:marLeft w:val="0"/>
          <w:marRight w:val="0"/>
          <w:marTop w:val="0"/>
          <w:marBottom w:val="0"/>
          <w:divBdr>
            <w:top w:val="none" w:sz="0" w:space="0" w:color="auto"/>
            <w:left w:val="none" w:sz="0" w:space="0" w:color="auto"/>
            <w:bottom w:val="none" w:sz="0" w:space="0" w:color="auto"/>
            <w:right w:val="none" w:sz="0" w:space="0" w:color="auto"/>
          </w:divBdr>
        </w:div>
        <w:div w:id="1885629170">
          <w:marLeft w:val="0"/>
          <w:marRight w:val="0"/>
          <w:marTop w:val="0"/>
          <w:marBottom w:val="0"/>
          <w:divBdr>
            <w:top w:val="none" w:sz="0" w:space="0" w:color="auto"/>
            <w:left w:val="none" w:sz="0" w:space="0" w:color="auto"/>
            <w:bottom w:val="none" w:sz="0" w:space="0" w:color="auto"/>
            <w:right w:val="none" w:sz="0" w:space="0" w:color="auto"/>
          </w:divBdr>
        </w:div>
      </w:divsChild>
    </w:div>
    <w:div w:id="2016028346">
      <w:bodyDiv w:val="1"/>
      <w:marLeft w:val="0"/>
      <w:marRight w:val="0"/>
      <w:marTop w:val="0"/>
      <w:marBottom w:val="0"/>
      <w:divBdr>
        <w:top w:val="none" w:sz="0" w:space="0" w:color="auto"/>
        <w:left w:val="none" w:sz="0" w:space="0" w:color="auto"/>
        <w:bottom w:val="none" w:sz="0" w:space="0" w:color="auto"/>
        <w:right w:val="none" w:sz="0" w:space="0" w:color="auto"/>
      </w:divBdr>
      <w:divsChild>
        <w:div w:id="61416394">
          <w:marLeft w:val="0"/>
          <w:marRight w:val="0"/>
          <w:marTop w:val="0"/>
          <w:marBottom w:val="0"/>
          <w:divBdr>
            <w:top w:val="none" w:sz="0" w:space="0" w:color="auto"/>
            <w:left w:val="none" w:sz="0" w:space="0" w:color="auto"/>
            <w:bottom w:val="none" w:sz="0" w:space="0" w:color="auto"/>
            <w:right w:val="none" w:sz="0" w:space="0" w:color="auto"/>
          </w:divBdr>
        </w:div>
        <w:div w:id="198202162">
          <w:marLeft w:val="0"/>
          <w:marRight w:val="0"/>
          <w:marTop w:val="0"/>
          <w:marBottom w:val="0"/>
          <w:divBdr>
            <w:top w:val="none" w:sz="0" w:space="0" w:color="auto"/>
            <w:left w:val="none" w:sz="0" w:space="0" w:color="auto"/>
            <w:bottom w:val="none" w:sz="0" w:space="0" w:color="auto"/>
            <w:right w:val="none" w:sz="0" w:space="0" w:color="auto"/>
          </w:divBdr>
        </w:div>
        <w:div w:id="231232412">
          <w:marLeft w:val="0"/>
          <w:marRight w:val="0"/>
          <w:marTop w:val="0"/>
          <w:marBottom w:val="0"/>
          <w:divBdr>
            <w:top w:val="none" w:sz="0" w:space="0" w:color="auto"/>
            <w:left w:val="none" w:sz="0" w:space="0" w:color="auto"/>
            <w:bottom w:val="none" w:sz="0" w:space="0" w:color="auto"/>
            <w:right w:val="none" w:sz="0" w:space="0" w:color="auto"/>
          </w:divBdr>
        </w:div>
        <w:div w:id="552733886">
          <w:marLeft w:val="0"/>
          <w:marRight w:val="0"/>
          <w:marTop w:val="0"/>
          <w:marBottom w:val="0"/>
          <w:divBdr>
            <w:top w:val="none" w:sz="0" w:space="0" w:color="auto"/>
            <w:left w:val="none" w:sz="0" w:space="0" w:color="auto"/>
            <w:bottom w:val="none" w:sz="0" w:space="0" w:color="auto"/>
            <w:right w:val="none" w:sz="0" w:space="0" w:color="auto"/>
          </w:divBdr>
        </w:div>
        <w:div w:id="979386199">
          <w:marLeft w:val="0"/>
          <w:marRight w:val="0"/>
          <w:marTop w:val="0"/>
          <w:marBottom w:val="0"/>
          <w:divBdr>
            <w:top w:val="none" w:sz="0" w:space="0" w:color="auto"/>
            <w:left w:val="none" w:sz="0" w:space="0" w:color="auto"/>
            <w:bottom w:val="none" w:sz="0" w:space="0" w:color="auto"/>
            <w:right w:val="none" w:sz="0" w:space="0" w:color="auto"/>
          </w:divBdr>
        </w:div>
        <w:div w:id="1214275053">
          <w:marLeft w:val="0"/>
          <w:marRight w:val="0"/>
          <w:marTop w:val="0"/>
          <w:marBottom w:val="0"/>
          <w:divBdr>
            <w:top w:val="none" w:sz="0" w:space="0" w:color="auto"/>
            <w:left w:val="none" w:sz="0" w:space="0" w:color="auto"/>
            <w:bottom w:val="none" w:sz="0" w:space="0" w:color="auto"/>
            <w:right w:val="none" w:sz="0" w:space="0" w:color="auto"/>
          </w:divBdr>
        </w:div>
        <w:div w:id="1385640144">
          <w:marLeft w:val="0"/>
          <w:marRight w:val="0"/>
          <w:marTop w:val="0"/>
          <w:marBottom w:val="0"/>
          <w:divBdr>
            <w:top w:val="none" w:sz="0" w:space="0" w:color="auto"/>
            <w:left w:val="none" w:sz="0" w:space="0" w:color="auto"/>
            <w:bottom w:val="none" w:sz="0" w:space="0" w:color="auto"/>
            <w:right w:val="none" w:sz="0" w:space="0" w:color="auto"/>
          </w:divBdr>
        </w:div>
        <w:div w:id="1523666509">
          <w:marLeft w:val="0"/>
          <w:marRight w:val="0"/>
          <w:marTop w:val="0"/>
          <w:marBottom w:val="0"/>
          <w:divBdr>
            <w:top w:val="none" w:sz="0" w:space="0" w:color="auto"/>
            <w:left w:val="none" w:sz="0" w:space="0" w:color="auto"/>
            <w:bottom w:val="none" w:sz="0" w:space="0" w:color="auto"/>
            <w:right w:val="none" w:sz="0" w:space="0" w:color="auto"/>
          </w:divBdr>
        </w:div>
        <w:div w:id="1700231510">
          <w:marLeft w:val="0"/>
          <w:marRight w:val="0"/>
          <w:marTop w:val="0"/>
          <w:marBottom w:val="0"/>
          <w:divBdr>
            <w:top w:val="none" w:sz="0" w:space="0" w:color="auto"/>
            <w:left w:val="none" w:sz="0" w:space="0" w:color="auto"/>
            <w:bottom w:val="none" w:sz="0" w:space="0" w:color="auto"/>
            <w:right w:val="none" w:sz="0" w:space="0" w:color="auto"/>
          </w:divBdr>
        </w:div>
        <w:div w:id="2142460743">
          <w:marLeft w:val="0"/>
          <w:marRight w:val="0"/>
          <w:marTop w:val="0"/>
          <w:marBottom w:val="0"/>
          <w:divBdr>
            <w:top w:val="none" w:sz="0" w:space="0" w:color="auto"/>
            <w:left w:val="none" w:sz="0" w:space="0" w:color="auto"/>
            <w:bottom w:val="none" w:sz="0" w:space="0" w:color="auto"/>
            <w:right w:val="none" w:sz="0" w:space="0" w:color="auto"/>
          </w:divBdr>
        </w:div>
      </w:divsChild>
    </w:div>
    <w:div w:id="2061973983">
      <w:bodyDiv w:val="1"/>
      <w:marLeft w:val="0"/>
      <w:marRight w:val="0"/>
      <w:marTop w:val="0"/>
      <w:marBottom w:val="0"/>
      <w:divBdr>
        <w:top w:val="none" w:sz="0" w:space="0" w:color="auto"/>
        <w:left w:val="none" w:sz="0" w:space="0" w:color="auto"/>
        <w:bottom w:val="none" w:sz="0" w:space="0" w:color="auto"/>
        <w:right w:val="none" w:sz="0" w:space="0" w:color="auto"/>
      </w:divBdr>
      <w:divsChild>
        <w:div w:id="549999720">
          <w:marLeft w:val="0"/>
          <w:marRight w:val="0"/>
          <w:marTop w:val="0"/>
          <w:marBottom w:val="0"/>
          <w:divBdr>
            <w:top w:val="none" w:sz="0" w:space="0" w:color="auto"/>
            <w:left w:val="none" w:sz="0" w:space="0" w:color="auto"/>
            <w:bottom w:val="none" w:sz="0" w:space="0" w:color="auto"/>
            <w:right w:val="none" w:sz="0" w:space="0" w:color="auto"/>
          </w:divBdr>
        </w:div>
        <w:div w:id="681974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A170B-7583-4407-B83D-C92E47D6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4161</Words>
  <Characters>23723</Characters>
  <Application>Microsoft Office Word</Application>
  <DocSecurity>0</DocSecurity>
  <Lines>197</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נגה איילי דרשן</dc:creator>
  <cp:lastModifiedBy>Guy Darshan</cp:lastModifiedBy>
  <cp:revision>2</cp:revision>
  <cp:lastPrinted>2012-11-23T18:52:00Z</cp:lastPrinted>
  <dcterms:created xsi:type="dcterms:W3CDTF">2017-04-12T07:19:00Z</dcterms:created>
  <dcterms:modified xsi:type="dcterms:W3CDTF">2017-04-12T07:19:00Z</dcterms:modified>
</cp:coreProperties>
</file>