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E88C3" w14:textId="77777777" w:rsidR="00327812" w:rsidRPr="00FE1C4F" w:rsidRDefault="0062098E" w:rsidP="00140D2A">
      <w:pPr>
        <w:tabs>
          <w:tab w:val="left" w:pos="284"/>
          <w:tab w:val="left" w:pos="567"/>
          <w:tab w:val="left" w:pos="851"/>
        </w:tabs>
        <w:spacing w:line="360" w:lineRule="exact"/>
        <w:jc w:val="center"/>
        <w:rPr>
          <w:b/>
          <w:sz w:val="28"/>
          <w:szCs w:val="28"/>
        </w:rPr>
      </w:pPr>
      <w:bookmarkStart w:id="0" w:name="_GoBack"/>
      <w:bookmarkEnd w:id="0"/>
      <w:r>
        <w:rPr>
          <w:b/>
          <w:sz w:val="28"/>
          <w:szCs w:val="28"/>
        </w:rPr>
        <w:t xml:space="preserve">Judaism as </w:t>
      </w:r>
      <w:r w:rsidR="00DD59F0">
        <w:rPr>
          <w:b/>
          <w:sz w:val="28"/>
          <w:szCs w:val="28"/>
        </w:rPr>
        <w:t>“</w:t>
      </w:r>
      <w:r>
        <w:rPr>
          <w:b/>
          <w:sz w:val="28"/>
          <w:szCs w:val="28"/>
        </w:rPr>
        <w:t>Citizenship</w:t>
      </w:r>
      <w:r w:rsidR="00DD59F0">
        <w:rPr>
          <w:b/>
          <w:sz w:val="28"/>
          <w:szCs w:val="28"/>
        </w:rPr>
        <w:t>”</w:t>
      </w:r>
      <w:r w:rsidR="00327812">
        <w:rPr>
          <w:b/>
          <w:sz w:val="28"/>
          <w:szCs w:val="28"/>
        </w:rPr>
        <w:t xml:space="preserve"> and the</w:t>
      </w:r>
      <w:r w:rsidR="002D225C">
        <w:rPr>
          <w:b/>
          <w:sz w:val="28"/>
          <w:szCs w:val="28"/>
        </w:rPr>
        <w:t xml:space="preserve"> Q</w:t>
      </w:r>
      <w:r>
        <w:rPr>
          <w:b/>
          <w:sz w:val="28"/>
          <w:szCs w:val="28"/>
        </w:rPr>
        <w:t>uestion of the</w:t>
      </w:r>
      <w:r w:rsidR="002D225C">
        <w:rPr>
          <w:b/>
          <w:sz w:val="28"/>
          <w:szCs w:val="28"/>
        </w:rPr>
        <w:t xml:space="preserve"> I</w:t>
      </w:r>
      <w:r w:rsidR="00327812">
        <w:rPr>
          <w:b/>
          <w:sz w:val="28"/>
          <w:szCs w:val="28"/>
        </w:rPr>
        <w:t>mpact of Rome</w:t>
      </w:r>
    </w:p>
    <w:p w14:paraId="7F41805F" w14:textId="77777777" w:rsidR="00FE1C4F" w:rsidRDefault="00FE1C4F" w:rsidP="00140D2A">
      <w:pPr>
        <w:tabs>
          <w:tab w:val="left" w:pos="284"/>
          <w:tab w:val="left" w:pos="567"/>
          <w:tab w:val="left" w:pos="851"/>
        </w:tabs>
        <w:spacing w:line="360" w:lineRule="exact"/>
      </w:pPr>
    </w:p>
    <w:p w14:paraId="0EE6AD0F" w14:textId="77777777" w:rsidR="00FE1C4F" w:rsidRDefault="00FE1C4F" w:rsidP="00140D2A">
      <w:pPr>
        <w:tabs>
          <w:tab w:val="left" w:pos="284"/>
          <w:tab w:val="left" w:pos="567"/>
          <w:tab w:val="left" w:pos="851"/>
        </w:tabs>
        <w:spacing w:line="360" w:lineRule="exact"/>
        <w:jc w:val="center"/>
      </w:pPr>
      <w:r>
        <w:t>Katell Berthelot</w:t>
      </w:r>
    </w:p>
    <w:p w14:paraId="4289C555" w14:textId="77777777" w:rsidR="00FE1C4F" w:rsidRDefault="00FE1C4F" w:rsidP="00140D2A">
      <w:pPr>
        <w:tabs>
          <w:tab w:val="left" w:pos="284"/>
          <w:tab w:val="left" w:pos="567"/>
          <w:tab w:val="left" w:pos="851"/>
        </w:tabs>
        <w:spacing w:line="360" w:lineRule="exact"/>
        <w:jc w:val="center"/>
      </w:pPr>
      <w:r>
        <w:t>(CNRS / Aix-Marseille University)</w:t>
      </w:r>
      <w:r w:rsidR="007F2193">
        <w:rPr>
          <w:rStyle w:val="Marquenotebasdepage"/>
        </w:rPr>
        <w:footnoteReference w:id="1"/>
      </w:r>
    </w:p>
    <w:p w14:paraId="3A642027" w14:textId="77777777" w:rsidR="00FE1C4F" w:rsidRDefault="00FE1C4F" w:rsidP="00140D2A">
      <w:pPr>
        <w:tabs>
          <w:tab w:val="left" w:pos="284"/>
          <w:tab w:val="left" w:pos="567"/>
          <w:tab w:val="left" w:pos="851"/>
        </w:tabs>
        <w:spacing w:line="360" w:lineRule="exact"/>
        <w:jc w:val="center"/>
      </w:pPr>
    </w:p>
    <w:p w14:paraId="2E323C94" w14:textId="77777777" w:rsidR="00FE1C4F" w:rsidRDefault="00FE1C4F" w:rsidP="00140D2A">
      <w:pPr>
        <w:tabs>
          <w:tab w:val="left" w:pos="284"/>
          <w:tab w:val="left" w:pos="567"/>
          <w:tab w:val="left" w:pos="851"/>
        </w:tabs>
        <w:spacing w:line="360" w:lineRule="exact"/>
      </w:pPr>
    </w:p>
    <w:p w14:paraId="584ACD62" w14:textId="77777777" w:rsidR="00EA69E0" w:rsidRDefault="00EA69E0" w:rsidP="00F72B3C">
      <w:pPr>
        <w:tabs>
          <w:tab w:val="left" w:pos="284"/>
          <w:tab w:val="left" w:pos="567"/>
          <w:tab w:val="left" w:pos="851"/>
        </w:tabs>
      </w:pPr>
    </w:p>
    <w:p w14:paraId="48B61DB7" w14:textId="77777777" w:rsidR="00841C99" w:rsidRDefault="00DD11C1" w:rsidP="00140D2A">
      <w:pPr>
        <w:tabs>
          <w:tab w:val="left" w:pos="284"/>
          <w:tab w:val="left" w:pos="567"/>
          <w:tab w:val="left" w:pos="851"/>
        </w:tabs>
        <w:spacing w:line="360" w:lineRule="exact"/>
      </w:pPr>
      <w:r>
        <w:t>When dealing with Judaism in the Hellenistic and Roman period, many scholars tend to use the vocabulary of citizenship to describe membership in the people of Israel or in a given Jewish community.</w:t>
      </w:r>
      <w:r w:rsidR="00936E6A">
        <w:rPr>
          <w:rStyle w:val="Marquenotebasdepage"/>
        </w:rPr>
        <w:footnoteReference w:id="2"/>
      </w:r>
      <w:r>
        <w:t xml:space="preserve"> </w:t>
      </w:r>
      <w:r w:rsidR="001D10B7">
        <w:t xml:space="preserve">The </w:t>
      </w:r>
      <w:r w:rsidR="00936E6A">
        <w:t>fact that</w:t>
      </w:r>
      <w:r w:rsidR="001D10B7">
        <w:t xml:space="preserve"> </w:t>
      </w:r>
      <w:r w:rsidR="00936E6A">
        <w:t>Jewish authors from Antiquity use</w:t>
      </w:r>
      <w:r w:rsidR="001D10B7">
        <w:t xml:space="preserve"> Greek political language in order to </w:t>
      </w:r>
      <w:r w:rsidR="00936E6A">
        <w:t>refer to</w:t>
      </w:r>
      <w:r w:rsidR="001D10B7">
        <w:t xml:space="preserve"> the </w:t>
      </w:r>
      <w:r w:rsidR="001D10B7" w:rsidRPr="001D10B7">
        <w:rPr>
          <w:i/>
        </w:rPr>
        <w:t>Ioudaioi</w:t>
      </w:r>
      <w:r w:rsidR="001D10B7">
        <w:t xml:space="preserve"> and their institutions, certainly </w:t>
      </w:r>
      <w:r w:rsidR="00825FED">
        <w:t>seems to support</w:t>
      </w:r>
      <w:r w:rsidR="001D10B7">
        <w:t xml:space="preserve"> such a claim. There is a huge difference, however, between </w:t>
      </w:r>
      <w:r w:rsidR="00AE66EE">
        <w:t>stating</w:t>
      </w:r>
      <w:r w:rsidR="001D10B7">
        <w:t xml:space="preserve"> that Jewish</w:t>
      </w:r>
      <w:r w:rsidR="001E4CC5">
        <w:t xml:space="preserve"> (or non-Jewish)</w:t>
      </w:r>
      <w:r w:rsidR="001D10B7">
        <w:t xml:space="preserve"> authors made a metaphorical use of Greek political terms to describe Jewish communities or used such a terminology </w:t>
      </w:r>
      <w:r w:rsidR="001E4CC5">
        <w:t xml:space="preserve">in connection with </w:t>
      </w:r>
      <w:r w:rsidR="001D10B7">
        <w:t>the Hasmonean state</w:t>
      </w:r>
      <w:r w:rsidR="00863FE3">
        <w:t>, either in a matter-of-fact way or by</w:t>
      </w:r>
      <w:r w:rsidR="000207E8">
        <w:t xml:space="preserve"> way of</w:t>
      </w:r>
      <w:r w:rsidR="00863FE3">
        <w:t xml:space="preserve"> analogy</w:t>
      </w:r>
      <w:r w:rsidR="001D10B7">
        <w:t xml:space="preserve">, and the claim </w:t>
      </w:r>
      <w:r w:rsidR="001E4CC5">
        <w:t>that Greek</w:t>
      </w:r>
      <w:r w:rsidR="000207E8">
        <w:t xml:space="preserve"> (or Roman)</w:t>
      </w:r>
      <w:r w:rsidR="001E4CC5">
        <w:t xml:space="preserve"> political institutions were actually adopted by the Jews in a given context</w:t>
      </w:r>
      <w:r w:rsidR="00E0109A">
        <w:t xml:space="preserve">, be it in Judea or elsewhere. A critical review of the ancient evidence </w:t>
      </w:r>
      <w:r w:rsidR="000207E8">
        <w:t>pertaining to</w:t>
      </w:r>
      <w:r w:rsidR="00E0109A">
        <w:t xml:space="preserve"> the use of citizenship vocabulary </w:t>
      </w:r>
      <w:r w:rsidR="000207E8">
        <w:t>in connection with the Jews</w:t>
      </w:r>
      <w:r w:rsidR="00E0109A">
        <w:t xml:space="preserve"> is thus very much needed.</w:t>
      </w:r>
      <w:r w:rsidR="000207E8">
        <w:rPr>
          <w:rStyle w:val="Marquenotebasdepage"/>
        </w:rPr>
        <w:footnoteReference w:id="3"/>
      </w:r>
      <w:r w:rsidR="001E4CC5">
        <w:t xml:space="preserve"> </w:t>
      </w:r>
      <w:r w:rsidR="0050115F">
        <w:t>That Jews could be citizens of a given city is a fact.</w:t>
      </w:r>
      <w:r w:rsidR="00F4146F">
        <w:rPr>
          <w:rStyle w:val="Marquenotebasdepage"/>
        </w:rPr>
        <w:footnoteReference w:id="4"/>
      </w:r>
      <w:r w:rsidR="0050115F">
        <w:t xml:space="preserve"> </w:t>
      </w:r>
      <w:r w:rsidR="007521F8">
        <w:t>However,</w:t>
      </w:r>
      <w:r w:rsidR="0050115F">
        <w:t xml:space="preserve"> do Greek and Roman authors refer to the Jews as “citizens” of a Jewish or Judean </w:t>
      </w:r>
      <w:r w:rsidR="0050115F" w:rsidRPr="0050115F">
        <w:rPr>
          <w:i/>
        </w:rPr>
        <w:t>politeia</w:t>
      </w:r>
      <w:r w:rsidR="0050115F">
        <w:t xml:space="preserve">? </w:t>
      </w:r>
      <w:r w:rsidR="008543D6">
        <w:t>And w</w:t>
      </w:r>
      <w:r w:rsidR="0050115F">
        <w:t xml:space="preserve">hat do the Jewish authors who refer to Jews as </w:t>
      </w:r>
      <w:r w:rsidR="007521F8">
        <w:t>“</w:t>
      </w:r>
      <w:r w:rsidR="0050115F">
        <w:t>fellow citizens</w:t>
      </w:r>
      <w:r w:rsidR="007521F8">
        <w:t>”</w:t>
      </w:r>
      <w:r w:rsidR="0050115F">
        <w:t xml:space="preserve"> mean by the use of such a vocabulary? </w:t>
      </w:r>
    </w:p>
    <w:p w14:paraId="0D9ECBA7" w14:textId="77777777" w:rsidR="00AD145E" w:rsidRDefault="00CC6676" w:rsidP="00140D2A">
      <w:pPr>
        <w:tabs>
          <w:tab w:val="left" w:pos="284"/>
          <w:tab w:val="left" w:pos="567"/>
          <w:tab w:val="left" w:pos="851"/>
        </w:tabs>
        <w:spacing w:line="360" w:lineRule="exact"/>
      </w:pPr>
      <w:r>
        <w:tab/>
      </w:r>
      <w:r w:rsidR="00DD2C05">
        <w:t xml:space="preserve">Such questions are of course too </w:t>
      </w:r>
      <w:r w:rsidR="00C26A65">
        <w:t>far-reaching</w:t>
      </w:r>
      <w:r w:rsidR="00DD2C05">
        <w:t xml:space="preserve"> to be dealt </w:t>
      </w:r>
      <w:r w:rsidR="00C26A65">
        <w:t xml:space="preserve">with </w:t>
      </w:r>
      <w:r w:rsidR="00DD2C05">
        <w:t>extensively in the framework of this paper, but it is w</w:t>
      </w:r>
      <w:r w:rsidR="0050115F">
        <w:t>ith these</w:t>
      </w:r>
      <w:r w:rsidR="006B21EE">
        <w:t xml:space="preserve"> question</w:t>
      </w:r>
      <w:r w:rsidR="0050115F">
        <w:t>s</w:t>
      </w:r>
      <w:r w:rsidR="00DD2C05">
        <w:t xml:space="preserve"> in mind that I shall</w:t>
      </w:r>
      <w:r w:rsidR="006B21EE">
        <w:t xml:space="preserve"> </w:t>
      </w:r>
      <w:r w:rsidR="00DD11C1">
        <w:t>examine</w:t>
      </w:r>
      <w:r w:rsidR="00825FED">
        <w:t xml:space="preserve"> whether the Roman policy concerning the integration of new citizens had an impact upon Jewish practices or discourses, from the 2</w:t>
      </w:r>
      <w:r w:rsidR="00825FED" w:rsidRPr="00825FED">
        <w:rPr>
          <w:vertAlign w:val="superscript"/>
        </w:rPr>
        <w:t>nd</w:t>
      </w:r>
      <w:r w:rsidR="00825FED">
        <w:t xml:space="preserve"> century BCE to the end of the first century CE. I shall start with a reconsideration of Morton Smith’s theory according to which the “conversion” of the Idumeans and the Itureans under the Hasmoneans was to be explained by the impact, upon the </w:t>
      </w:r>
      <w:r w:rsidR="00825FED">
        <w:lastRenderedPageBreak/>
        <w:t>leaders of Judea, of the Roman policy of granting citizenship to Rome’s former enemies.</w:t>
      </w:r>
      <w:r w:rsidR="00825FED">
        <w:rPr>
          <w:rStyle w:val="Marquenotebasdepage"/>
        </w:rPr>
        <w:footnoteReference w:id="5"/>
      </w:r>
      <w:r w:rsidR="00825FED">
        <w:t xml:space="preserve"> </w:t>
      </w:r>
      <w:r w:rsidR="009F77C1">
        <w:t>I will then examine the way</w:t>
      </w:r>
      <w:r w:rsidR="00E967B1">
        <w:t>(s)</w:t>
      </w:r>
      <w:r w:rsidR="009F77C1">
        <w:t xml:space="preserve"> </w:t>
      </w:r>
      <w:r w:rsidR="00AF6436">
        <w:t>Jewish authors writing in Greek</w:t>
      </w:r>
      <w:r w:rsidR="005C7D86">
        <w:t xml:space="preserve"> during the Roman period</w:t>
      </w:r>
      <w:r w:rsidR="009F77C1">
        <w:t xml:space="preserve"> use</w:t>
      </w:r>
      <w:r w:rsidR="00E967B1">
        <w:t>d</w:t>
      </w:r>
      <w:r w:rsidR="009F77C1">
        <w:t xml:space="preserve"> </w:t>
      </w:r>
      <w:r w:rsidR="00E513C9">
        <w:t xml:space="preserve">Greek </w:t>
      </w:r>
      <w:r w:rsidR="009F77C1">
        <w:t xml:space="preserve">political vocabulary in order to define membership </w:t>
      </w:r>
      <w:r w:rsidR="00BB0CEC">
        <w:t>with</w:t>
      </w:r>
      <w:r w:rsidR="009F77C1">
        <w:t xml:space="preserve"> the Jewish people, </w:t>
      </w:r>
      <w:r w:rsidR="001B469A">
        <w:t xml:space="preserve">and try </w:t>
      </w:r>
      <w:r w:rsidR="009F77C1">
        <w:t xml:space="preserve">to figure out </w:t>
      </w:r>
      <w:r w:rsidR="00E967B1">
        <w:t>to which extent</w:t>
      </w:r>
      <w:r w:rsidR="005C7D86">
        <w:t xml:space="preserve"> </w:t>
      </w:r>
      <w:r w:rsidR="00A46D97">
        <w:t>these</w:t>
      </w:r>
      <w:r w:rsidR="009F77C1">
        <w:t xml:space="preserve"> discourse</w:t>
      </w:r>
      <w:r w:rsidR="00E967B1">
        <w:t>s</w:t>
      </w:r>
      <w:r w:rsidR="009F77C1">
        <w:t xml:space="preserve"> </w:t>
      </w:r>
      <w:r w:rsidR="00E967B1">
        <w:t xml:space="preserve">are to be explained </w:t>
      </w:r>
      <w:r w:rsidR="00A46D97">
        <w:t>by</w:t>
      </w:r>
      <w:r w:rsidR="00E967B1">
        <w:t xml:space="preserve"> their Roman context</w:t>
      </w:r>
      <w:r w:rsidR="009F77C1">
        <w:t xml:space="preserve">. </w:t>
      </w:r>
      <w:r w:rsidR="008D7534">
        <w:t xml:space="preserve">Finally, I shall </w:t>
      </w:r>
      <w:r w:rsidR="00DD2C05">
        <w:t>conclude with</w:t>
      </w:r>
      <w:r w:rsidR="008D7534">
        <w:t xml:space="preserve"> a few thoughts on </w:t>
      </w:r>
      <w:r w:rsidR="00F8589B">
        <w:t xml:space="preserve">the </w:t>
      </w:r>
      <w:r w:rsidR="008D7534">
        <w:t xml:space="preserve">possible </w:t>
      </w:r>
      <w:r w:rsidR="00D21DD7">
        <w:t xml:space="preserve">impact of Greek and </w:t>
      </w:r>
      <w:r w:rsidR="0071320F">
        <w:t>Roman civic models</w:t>
      </w:r>
      <w:r w:rsidR="00D21DD7">
        <w:t xml:space="preserve"> upon</w:t>
      </w:r>
      <w:r w:rsidR="008D7534">
        <w:t xml:space="preserve"> rabbinic Judaism.</w:t>
      </w:r>
      <w:r w:rsidR="00A65696">
        <w:t xml:space="preserve">  </w:t>
      </w:r>
    </w:p>
    <w:p w14:paraId="1FF774CD" w14:textId="77777777" w:rsidR="008D7534" w:rsidRDefault="008D7534" w:rsidP="00140D2A">
      <w:pPr>
        <w:tabs>
          <w:tab w:val="left" w:pos="284"/>
          <w:tab w:val="left" w:pos="567"/>
          <w:tab w:val="left" w:pos="851"/>
        </w:tabs>
        <w:spacing w:line="360" w:lineRule="exact"/>
      </w:pPr>
    </w:p>
    <w:p w14:paraId="7348999D" w14:textId="77777777" w:rsidR="00AD145E" w:rsidRDefault="00AD145E" w:rsidP="00140D2A">
      <w:pPr>
        <w:tabs>
          <w:tab w:val="left" w:pos="284"/>
          <w:tab w:val="left" w:pos="567"/>
          <w:tab w:val="left" w:pos="851"/>
        </w:tabs>
        <w:spacing w:line="360" w:lineRule="exact"/>
      </w:pPr>
    </w:p>
    <w:p w14:paraId="4339FE44" w14:textId="77777777" w:rsidR="00E64B24" w:rsidRDefault="00E64B24" w:rsidP="00801870">
      <w:pPr>
        <w:keepNext/>
        <w:tabs>
          <w:tab w:val="left" w:pos="284"/>
          <w:tab w:val="left" w:pos="567"/>
          <w:tab w:val="left" w:pos="851"/>
        </w:tabs>
        <w:spacing w:line="360" w:lineRule="exact"/>
        <w:rPr>
          <w:b/>
        </w:rPr>
      </w:pPr>
      <w:r>
        <w:rPr>
          <w:b/>
        </w:rPr>
        <w:t>1. Hasmonean Judea</w:t>
      </w:r>
    </w:p>
    <w:p w14:paraId="22DC55A4" w14:textId="77777777" w:rsidR="00E64B24" w:rsidRDefault="00E64B24" w:rsidP="00801870">
      <w:pPr>
        <w:keepNext/>
        <w:tabs>
          <w:tab w:val="left" w:pos="284"/>
          <w:tab w:val="left" w:pos="567"/>
          <w:tab w:val="left" w:pos="851"/>
        </w:tabs>
        <w:spacing w:line="360" w:lineRule="exact"/>
        <w:rPr>
          <w:b/>
        </w:rPr>
      </w:pPr>
    </w:p>
    <w:p w14:paraId="79CE2D5F" w14:textId="77777777" w:rsidR="00AD145E" w:rsidRPr="00E64B24" w:rsidRDefault="00E64B24" w:rsidP="00801870">
      <w:pPr>
        <w:keepNext/>
        <w:tabs>
          <w:tab w:val="left" w:pos="284"/>
          <w:tab w:val="left" w:pos="567"/>
          <w:tab w:val="left" w:pos="851"/>
        </w:tabs>
        <w:spacing w:line="360" w:lineRule="exact"/>
      </w:pPr>
      <w:r>
        <w:rPr>
          <w:b/>
        </w:rPr>
        <w:tab/>
      </w:r>
      <w:r w:rsidR="00AD145E" w:rsidRPr="00E64B24">
        <w:t>1.</w:t>
      </w:r>
      <w:r w:rsidRPr="00E64B24">
        <w:t>1</w:t>
      </w:r>
      <w:r w:rsidR="00AD145E" w:rsidRPr="00E64B24">
        <w:t xml:space="preserve"> </w:t>
      </w:r>
      <w:r w:rsidR="00551300" w:rsidRPr="00E64B24">
        <w:t>Judean “citizenship” under the Hasmoneans</w:t>
      </w:r>
      <w:r w:rsidR="002B20DB" w:rsidRPr="00E64B24">
        <w:t>?</w:t>
      </w:r>
    </w:p>
    <w:p w14:paraId="75AF8993" w14:textId="77777777" w:rsidR="00AD145E" w:rsidRDefault="00AD145E" w:rsidP="00801870">
      <w:pPr>
        <w:keepNext/>
        <w:tabs>
          <w:tab w:val="left" w:pos="284"/>
          <w:tab w:val="left" w:pos="567"/>
          <w:tab w:val="left" w:pos="851"/>
        </w:tabs>
        <w:spacing w:line="360" w:lineRule="exact"/>
      </w:pPr>
    </w:p>
    <w:p w14:paraId="6A3DB42D" w14:textId="77777777" w:rsidR="00B5398E" w:rsidRDefault="009C4CB9" w:rsidP="00801870">
      <w:pPr>
        <w:keepNext/>
        <w:tabs>
          <w:tab w:val="left" w:pos="284"/>
          <w:tab w:val="left" w:pos="567"/>
          <w:tab w:val="left" w:pos="851"/>
        </w:tabs>
        <w:spacing w:line="360" w:lineRule="exact"/>
        <w:rPr>
          <w:szCs w:val="24"/>
        </w:rPr>
      </w:pPr>
      <w:r>
        <w:rPr>
          <w:szCs w:val="24"/>
        </w:rPr>
        <w:t>In the framework of this paper I s</w:t>
      </w:r>
      <w:r w:rsidR="00AB77D9">
        <w:rPr>
          <w:szCs w:val="24"/>
        </w:rPr>
        <w:t>hall focus on the</w:t>
      </w:r>
      <w:r>
        <w:rPr>
          <w:szCs w:val="24"/>
        </w:rPr>
        <w:t xml:space="preserve"> case of the Idumeans, </w:t>
      </w:r>
      <w:r w:rsidR="00A031E3">
        <w:rPr>
          <w:szCs w:val="24"/>
        </w:rPr>
        <w:t>which</w:t>
      </w:r>
      <w:r w:rsidR="00B82E1C">
        <w:rPr>
          <w:szCs w:val="24"/>
        </w:rPr>
        <w:t xml:space="preserve"> is</w:t>
      </w:r>
      <w:r>
        <w:rPr>
          <w:szCs w:val="24"/>
        </w:rPr>
        <w:t xml:space="preserve"> quite </w:t>
      </w:r>
      <w:r w:rsidR="00B82E1C">
        <w:rPr>
          <w:szCs w:val="24"/>
        </w:rPr>
        <w:t>well documented</w:t>
      </w:r>
      <w:r>
        <w:rPr>
          <w:szCs w:val="24"/>
        </w:rPr>
        <w:t>.</w:t>
      </w:r>
      <w:r w:rsidR="00DF1B26">
        <w:rPr>
          <w:rStyle w:val="Marquenotebasdepage"/>
          <w:szCs w:val="24"/>
        </w:rPr>
        <w:footnoteReference w:id="6"/>
      </w:r>
      <w:r>
        <w:rPr>
          <w:szCs w:val="24"/>
        </w:rPr>
        <w:t xml:space="preserve"> </w:t>
      </w:r>
      <w:r w:rsidR="009532DE">
        <w:rPr>
          <w:szCs w:val="24"/>
        </w:rPr>
        <w:t>The so-called “conversion” of the Idumeans, which I would rather call a</w:t>
      </w:r>
      <w:r w:rsidR="00584627">
        <w:rPr>
          <w:szCs w:val="24"/>
        </w:rPr>
        <w:t xml:space="preserve"> form of active “judaization</w:t>
      </w:r>
      <w:r w:rsidR="009532DE">
        <w:rPr>
          <w:szCs w:val="24"/>
        </w:rPr>
        <w:t>”</w:t>
      </w:r>
      <w:r w:rsidR="00584627">
        <w:rPr>
          <w:szCs w:val="24"/>
        </w:rPr>
        <w:t xml:space="preserve"> of conquered populations,</w:t>
      </w:r>
      <w:r w:rsidR="00831EB7">
        <w:rPr>
          <w:szCs w:val="24"/>
        </w:rPr>
        <w:t xml:space="preserve"> has received much attention in scholarly literature dealing with the Hasmonean dynasty, and has been understood as a grant of “Judean citizenship” to </w:t>
      </w:r>
      <w:r w:rsidR="005C7D86">
        <w:rPr>
          <w:szCs w:val="24"/>
        </w:rPr>
        <w:t>a</w:t>
      </w:r>
      <w:r w:rsidR="00831EB7">
        <w:rPr>
          <w:szCs w:val="24"/>
        </w:rPr>
        <w:t xml:space="preserve"> non-Judean population</w:t>
      </w:r>
      <w:r w:rsidR="009532DE">
        <w:rPr>
          <w:szCs w:val="24"/>
        </w:rPr>
        <w:t xml:space="preserve">. </w:t>
      </w:r>
    </w:p>
    <w:p w14:paraId="5C361237" w14:textId="77777777" w:rsidR="00B5398E" w:rsidRPr="0082420B" w:rsidRDefault="00101004" w:rsidP="00B5398E">
      <w:pPr>
        <w:tabs>
          <w:tab w:val="left" w:pos="284"/>
          <w:tab w:val="left" w:pos="567"/>
          <w:tab w:val="left" w:pos="851"/>
        </w:tabs>
        <w:spacing w:line="360" w:lineRule="exact"/>
        <w:rPr>
          <w:szCs w:val="24"/>
        </w:rPr>
      </w:pPr>
      <w:r>
        <w:rPr>
          <w:szCs w:val="24"/>
        </w:rPr>
        <w:tab/>
      </w:r>
      <w:r w:rsidR="0058105B">
        <w:rPr>
          <w:szCs w:val="24"/>
        </w:rPr>
        <w:t>This analysis</w:t>
      </w:r>
      <w:r w:rsidR="00A51441">
        <w:rPr>
          <w:szCs w:val="24"/>
        </w:rPr>
        <w:t xml:space="preserve"> in terms of “Judean citizenship”</w:t>
      </w:r>
      <w:r w:rsidR="0058105B">
        <w:rPr>
          <w:szCs w:val="24"/>
        </w:rPr>
        <w:t xml:space="preserve"> has to do with the way scholars understand the political evolution of Judea under the Hasmoneans. I</w:t>
      </w:r>
      <w:r w:rsidR="00B5398E">
        <w:rPr>
          <w:szCs w:val="24"/>
        </w:rPr>
        <w:t xml:space="preserve">n the first volume of his </w:t>
      </w:r>
      <w:r w:rsidR="00B5398E" w:rsidRPr="00523426">
        <w:rPr>
          <w:i/>
          <w:szCs w:val="24"/>
        </w:rPr>
        <w:t>Social and Religious History of the Jews</w:t>
      </w:r>
      <w:r w:rsidR="00B5398E">
        <w:rPr>
          <w:szCs w:val="24"/>
        </w:rPr>
        <w:t xml:space="preserve">, </w:t>
      </w:r>
      <w:r>
        <w:rPr>
          <w:szCs w:val="24"/>
        </w:rPr>
        <w:t>originally</w:t>
      </w:r>
      <w:r w:rsidR="00B5398E">
        <w:rPr>
          <w:szCs w:val="24"/>
        </w:rPr>
        <w:t xml:space="preserve"> published in 1937</w:t>
      </w:r>
      <w:r w:rsidR="0058105B">
        <w:rPr>
          <w:szCs w:val="24"/>
        </w:rPr>
        <w:t>, the famous American historian Salo Baron, identifying</w:t>
      </w:r>
      <w:r w:rsidR="00B5398E">
        <w:rPr>
          <w:szCs w:val="24"/>
        </w:rPr>
        <w:t xml:space="preserve"> the Hasmonean dynasty from Hyrcanus onward</w:t>
      </w:r>
      <w:r>
        <w:rPr>
          <w:szCs w:val="24"/>
        </w:rPr>
        <w:t>s</w:t>
      </w:r>
      <w:r w:rsidR="00B5398E">
        <w:rPr>
          <w:szCs w:val="24"/>
        </w:rPr>
        <w:t xml:space="preserve"> with the Sadducees</w:t>
      </w:r>
      <w:r w:rsidR="0058105B">
        <w:rPr>
          <w:szCs w:val="24"/>
        </w:rPr>
        <w:t>,</w:t>
      </w:r>
      <w:r w:rsidR="00B5398E">
        <w:rPr>
          <w:szCs w:val="24"/>
        </w:rPr>
        <w:t xml:space="preserve"> </w:t>
      </w:r>
      <w:r w:rsidR="00477FC6">
        <w:rPr>
          <w:szCs w:val="24"/>
        </w:rPr>
        <w:t>wrote</w:t>
      </w:r>
      <w:r w:rsidR="00B5398E">
        <w:rPr>
          <w:szCs w:val="24"/>
        </w:rPr>
        <w:t xml:space="preserve"> that</w:t>
      </w:r>
    </w:p>
    <w:p w14:paraId="2165A917" w14:textId="77777777" w:rsidR="00B5398E" w:rsidRPr="00D03026" w:rsidRDefault="00B5398E" w:rsidP="00B5398E">
      <w:pPr>
        <w:tabs>
          <w:tab w:val="left" w:pos="284"/>
          <w:tab w:val="left" w:pos="567"/>
          <w:tab w:val="left" w:pos="851"/>
        </w:tabs>
        <w:spacing w:line="360" w:lineRule="exact"/>
        <w:ind w:left="284"/>
        <w:rPr>
          <w:szCs w:val="24"/>
        </w:rPr>
      </w:pPr>
      <w:r>
        <w:rPr>
          <w:szCs w:val="24"/>
        </w:rPr>
        <w:t>“</w:t>
      </w:r>
      <w:r w:rsidRPr="0082420B">
        <w:rPr>
          <w:szCs w:val="24"/>
        </w:rPr>
        <w:t xml:space="preserve">With the expansion of the Macedonian power, the new vast empires, embracing so many disparate ethnic components, emphasized still more the supremacy of the state over the nationality, the </w:t>
      </w:r>
      <w:r>
        <w:rPr>
          <w:i/>
          <w:szCs w:val="24"/>
        </w:rPr>
        <w:t>polit</w:t>
      </w:r>
      <w:r w:rsidRPr="008D7F36">
        <w:rPr>
          <w:i/>
          <w:szCs w:val="24"/>
        </w:rPr>
        <w:t>eia</w:t>
      </w:r>
      <w:r w:rsidRPr="0082420B">
        <w:rPr>
          <w:szCs w:val="24"/>
        </w:rPr>
        <w:t xml:space="preserve"> over the </w:t>
      </w:r>
      <w:r w:rsidRPr="008D7F36">
        <w:rPr>
          <w:i/>
          <w:szCs w:val="24"/>
        </w:rPr>
        <w:t>ethnos</w:t>
      </w:r>
      <w:r w:rsidRPr="0082420B">
        <w:rPr>
          <w:szCs w:val="24"/>
        </w:rPr>
        <w:t>. The Sadducean leaders</w:t>
      </w:r>
      <w:r>
        <w:rPr>
          <w:szCs w:val="24"/>
        </w:rPr>
        <w:t xml:space="preserve"> [</w:t>
      </w:r>
      <w:r w:rsidRPr="005D460D">
        <w:rPr>
          <w:i/>
          <w:szCs w:val="24"/>
        </w:rPr>
        <w:t>the Hasmoneans</w:t>
      </w:r>
      <w:r>
        <w:rPr>
          <w:szCs w:val="24"/>
        </w:rPr>
        <w:t>]</w:t>
      </w:r>
      <w:r w:rsidRPr="0082420B">
        <w:rPr>
          <w:szCs w:val="24"/>
        </w:rPr>
        <w:t xml:space="preserve"> uncousciously adopted this principle. They fought the Syrian state on its own ground, erecting against it the power of the Judean state. Statehood thus became far more significant than it had ever been under the powerful monarchs of ancient Israel, and to its glory ethnic purity might readily be sacrificed. It was, therefore, only a logical consequence that Hyrcanus and Jannaeus, conquering one Palestinian province after another, should forcibly circumcise the natives and incorporate them into the national body</w:t>
      </w:r>
      <w:r>
        <w:rPr>
          <w:szCs w:val="24"/>
        </w:rPr>
        <w:t>”.</w:t>
      </w:r>
      <w:r>
        <w:rPr>
          <w:rStyle w:val="Marquenotebasdepage"/>
          <w:szCs w:val="24"/>
        </w:rPr>
        <w:footnoteReference w:id="7"/>
      </w:r>
    </w:p>
    <w:p w14:paraId="54149A6A" w14:textId="77777777" w:rsidR="00B5398E" w:rsidRDefault="00B5398E" w:rsidP="00B5398E">
      <w:pPr>
        <w:tabs>
          <w:tab w:val="left" w:pos="284"/>
          <w:tab w:val="left" w:pos="567"/>
          <w:tab w:val="left" w:pos="851"/>
        </w:tabs>
        <w:spacing w:line="360" w:lineRule="exact"/>
      </w:pPr>
      <w:r>
        <w:t>Baron’s remark concerning the Hasmoneans’s choice to emphasize statehood rather than ethnicity</w:t>
      </w:r>
      <w:r w:rsidR="008A32D0">
        <w:t xml:space="preserve"> (“ethnic purity” in Baron’s terms)</w:t>
      </w:r>
      <w:r>
        <w:t>, the supremacy of “</w:t>
      </w:r>
      <w:r w:rsidRPr="0082420B">
        <w:rPr>
          <w:szCs w:val="24"/>
        </w:rPr>
        <w:t xml:space="preserve">the </w:t>
      </w:r>
      <w:r>
        <w:rPr>
          <w:i/>
          <w:szCs w:val="24"/>
        </w:rPr>
        <w:t>polit</w:t>
      </w:r>
      <w:r w:rsidRPr="008D7F36">
        <w:rPr>
          <w:i/>
          <w:szCs w:val="24"/>
        </w:rPr>
        <w:t>eia</w:t>
      </w:r>
      <w:r w:rsidRPr="0082420B">
        <w:rPr>
          <w:szCs w:val="24"/>
        </w:rPr>
        <w:t xml:space="preserve"> over the </w:t>
      </w:r>
      <w:r w:rsidRPr="008D7F36">
        <w:rPr>
          <w:i/>
          <w:szCs w:val="24"/>
        </w:rPr>
        <w:t>ethnos</w:t>
      </w:r>
      <w:r>
        <w:t xml:space="preserve">,” as he puts it, </w:t>
      </w:r>
      <w:r w:rsidR="008A32D0">
        <w:t xml:space="preserve">probably </w:t>
      </w:r>
      <w:r w:rsidR="00783998">
        <w:t>means that political affiliation became more important than shared ancestry, shared history and shared customs</w:t>
      </w:r>
      <w:r>
        <w:t>.</w:t>
      </w:r>
      <w:r w:rsidR="00783998">
        <w:rPr>
          <w:rStyle w:val="Marquenotebasdepage"/>
        </w:rPr>
        <w:footnoteReference w:id="8"/>
      </w:r>
      <w:r>
        <w:t xml:space="preserve"> </w:t>
      </w:r>
      <w:r w:rsidR="009B41B1">
        <w:t>This evolution made it possible for peoples who did not share Israelite ancestry to become members of Judean society.</w:t>
      </w:r>
      <w:r w:rsidR="009B41B1">
        <w:rPr>
          <w:rStyle w:val="Marquenotebasdepage"/>
        </w:rPr>
        <w:footnoteReference w:id="9"/>
      </w:r>
      <w:r w:rsidR="009B41B1">
        <w:t xml:space="preserve"> </w:t>
      </w:r>
      <w:r>
        <w:t xml:space="preserve">Baron’s </w:t>
      </w:r>
      <w:r w:rsidR="003223F5">
        <w:t xml:space="preserve">remark that the Seleucid and Ptolemaic kingdoms were not “ethnic,” in the sense that they did not encompass a single </w:t>
      </w:r>
      <w:r w:rsidR="003223F5" w:rsidRPr="003223F5">
        <w:rPr>
          <w:i/>
        </w:rPr>
        <w:t>ethnos</w:t>
      </w:r>
      <w:r w:rsidR="003223F5">
        <w:t xml:space="preserve">, is correct. His </w:t>
      </w:r>
      <w:r>
        <w:t>analysis</w:t>
      </w:r>
      <w:r w:rsidR="003223F5">
        <w:t>, however,</w:t>
      </w:r>
      <w:r>
        <w:t xml:space="preserve"> nee</w:t>
      </w:r>
      <w:r w:rsidR="003223F5">
        <w:t>ds some qualification, because t</w:t>
      </w:r>
      <w:r>
        <w:t xml:space="preserve">here was no </w:t>
      </w:r>
      <w:r w:rsidRPr="00356611">
        <w:rPr>
          <w:i/>
        </w:rPr>
        <w:t>politeia</w:t>
      </w:r>
      <w:r>
        <w:t xml:space="preserve"> in the Seleucid or Ptolemaic kingdom as a whole, no </w:t>
      </w:r>
      <w:r w:rsidRPr="0016152E">
        <w:rPr>
          <w:i/>
        </w:rPr>
        <w:t>politeia</w:t>
      </w:r>
      <w:r>
        <w:t xml:space="preserve"> corresponding to a Seleucid “state</w:t>
      </w:r>
      <w:r w:rsidR="003223F5">
        <w:t>.”</w:t>
      </w:r>
      <w:r>
        <w:t xml:space="preserve"> In other terms, one was not a </w:t>
      </w:r>
      <w:r w:rsidRPr="00356611">
        <w:rPr>
          <w:i/>
        </w:rPr>
        <w:t>citizen</w:t>
      </w:r>
      <w:r w:rsidR="004678C4">
        <w:t xml:space="preserve"> of the Seleucid kingdom; one could </w:t>
      </w:r>
      <w:r>
        <w:t xml:space="preserve">only </w:t>
      </w:r>
      <w:r w:rsidR="004678C4">
        <w:t xml:space="preserve">be a </w:t>
      </w:r>
      <w:r w:rsidR="004678C4" w:rsidRPr="003223F5">
        <w:rPr>
          <w:i/>
        </w:rPr>
        <w:t>subject</w:t>
      </w:r>
      <w:r w:rsidR="004678C4">
        <w:t xml:space="preserve"> of the Seleucid king</w:t>
      </w:r>
      <w:r>
        <w:t xml:space="preserve">. </w:t>
      </w:r>
    </w:p>
    <w:p w14:paraId="3574C427" w14:textId="77777777" w:rsidR="00B30F35" w:rsidRDefault="00B5398E" w:rsidP="00B30F35">
      <w:pPr>
        <w:tabs>
          <w:tab w:val="left" w:pos="284"/>
          <w:tab w:val="left" w:pos="567"/>
          <w:tab w:val="left" w:pos="851"/>
        </w:tabs>
        <w:spacing w:line="360" w:lineRule="exact"/>
      </w:pPr>
      <w:r>
        <w:tab/>
        <w:t>In contrast with Baron, Shaye</w:t>
      </w:r>
      <w:r w:rsidR="00961D76">
        <w:t xml:space="preserve"> J. D.</w:t>
      </w:r>
      <w:r>
        <w:t xml:space="preserve"> Cohen focuses on the Hellenistic </w:t>
      </w:r>
      <w:r w:rsidRPr="00356611">
        <w:rPr>
          <w:i/>
        </w:rPr>
        <w:t>poleis</w:t>
      </w:r>
      <w:r>
        <w:t xml:space="preserve"> and </w:t>
      </w:r>
      <w:r w:rsidRPr="00356611">
        <w:rPr>
          <w:i/>
        </w:rPr>
        <w:t>koina</w:t>
      </w:r>
      <w:r>
        <w:t xml:space="preserve"> (instead of the Hellenistic kingdoms) in order to find a model for the political evolution in Judea. In the 2</w:t>
      </w:r>
      <w:r w:rsidRPr="00491222">
        <w:rPr>
          <w:vertAlign w:val="superscript"/>
        </w:rPr>
        <w:t>nd</w:t>
      </w:r>
      <w:r>
        <w:t xml:space="preserve"> century BCE</w:t>
      </w:r>
      <w:r w:rsidR="00FA4B1B">
        <w:t>,</w:t>
      </w:r>
      <w:r>
        <w:t xml:space="preserve"> Hellenistic </w:t>
      </w:r>
      <w:r w:rsidRPr="00491222">
        <w:rPr>
          <w:i/>
        </w:rPr>
        <w:t>poleis</w:t>
      </w:r>
      <w:r>
        <w:t xml:space="preserve"> granted citizenship to individuals who were not </w:t>
      </w:r>
      <w:r w:rsidR="00FA4B1B">
        <w:t xml:space="preserve">always </w:t>
      </w:r>
      <w:r>
        <w:t xml:space="preserve">ethnically Greek, on the basis of </w:t>
      </w:r>
      <w:r w:rsidRPr="00491222">
        <w:rPr>
          <w:i/>
        </w:rPr>
        <w:t>paideia</w:t>
      </w:r>
      <w:r>
        <w:t xml:space="preserve"> and merit (evergetism for instance) rather than on the basis of </w:t>
      </w:r>
      <w:r w:rsidR="00BF4D27">
        <w:t>ancestry</w:t>
      </w:r>
      <w:r>
        <w:t xml:space="preserve">, and this is why Shaye Cohen argues that the Hellenistic model of citizenship is the general cultural and political background against which one may understand </w:t>
      </w:r>
      <w:r w:rsidRPr="00101004">
        <w:t xml:space="preserve">the Hasmonean integration into the Judean state of foreigners who were not </w:t>
      </w:r>
      <w:r w:rsidR="00EB0706">
        <w:t>born within</w:t>
      </w:r>
      <w:r w:rsidRPr="00101004">
        <w:t xml:space="preserve"> the people of Israel.</w:t>
      </w:r>
      <w:r>
        <w:t xml:space="preserve"> </w:t>
      </w:r>
    </w:p>
    <w:p w14:paraId="5B95D85E" w14:textId="77777777" w:rsidR="00831EB7" w:rsidRPr="00B30F35" w:rsidRDefault="000D047B" w:rsidP="00B30F35">
      <w:pPr>
        <w:tabs>
          <w:tab w:val="left" w:pos="284"/>
          <w:tab w:val="left" w:pos="567"/>
          <w:tab w:val="left" w:pos="851"/>
        </w:tabs>
        <w:spacing w:line="360" w:lineRule="exact"/>
      </w:pPr>
      <w:r>
        <w:rPr>
          <w:szCs w:val="24"/>
        </w:rPr>
        <w:tab/>
      </w:r>
      <w:r w:rsidR="00CD5AC1">
        <w:rPr>
          <w:szCs w:val="24"/>
        </w:rPr>
        <w:t>Shaye</w:t>
      </w:r>
      <w:r w:rsidR="009A6AAD">
        <w:rPr>
          <w:szCs w:val="24"/>
        </w:rPr>
        <w:t xml:space="preserve"> </w:t>
      </w:r>
      <w:r w:rsidR="005215DD">
        <w:rPr>
          <w:szCs w:val="24"/>
        </w:rPr>
        <w:t xml:space="preserve">Cohen </w:t>
      </w:r>
      <w:r>
        <w:rPr>
          <w:szCs w:val="24"/>
        </w:rPr>
        <w:t xml:space="preserve">furthermore </w:t>
      </w:r>
      <w:r w:rsidR="004A79DB">
        <w:rPr>
          <w:szCs w:val="24"/>
        </w:rPr>
        <w:t xml:space="preserve">argues that, with the judaization of ethnic groups such as the Idumeans and their incorporation within the Judean state, a new, political, meaning of </w:t>
      </w:r>
      <w:r w:rsidR="004A79DB" w:rsidRPr="0016152E">
        <w:rPr>
          <w:i/>
          <w:szCs w:val="24"/>
        </w:rPr>
        <w:t>Ioudaios</w:t>
      </w:r>
      <w:r w:rsidR="004A79DB">
        <w:rPr>
          <w:szCs w:val="24"/>
        </w:rPr>
        <w:t xml:space="preserve"> developed, that of “a citizen or ally of the Judean state,” alongside two other meanings, that of “a Judean (a function of birth and/or geography)” and “a Jew (a function of religion or culture).”</w:t>
      </w:r>
      <w:r w:rsidR="004A79DB">
        <w:rPr>
          <w:rStyle w:val="Marquenotebasdepage"/>
          <w:szCs w:val="24"/>
        </w:rPr>
        <w:footnoteReference w:id="10"/>
      </w:r>
      <w:r w:rsidR="005215DD">
        <w:rPr>
          <w:szCs w:val="24"/>
        </w:rPr>
        <w:t xml:space="preserve"> Cohen </w:t>
      </w:r>
      <w:r w:rsidR="00CA42BB">
        <w:rPr>
          <w:szCs w:val="24"/>
        </w:rPr>
        <w:t>thus</w:t>
      </w:r>
      <w:r w:rsidR="005215DD">
        <w:rPr>
          <w:szCs w:val="24"/>
        </w:rPr>
        <w:t xml:space="preserve"> </w:t>
      </w:r>
      <w:r w:rsidR="00CD5AC1">
        <w:rPr>
          <w:szCs w:val="24"/>
        </w:rPr>
        <w:t>writes:</w:t>
      </w:r>
      <w:r w:rsidR="00867048">
        <w:rPr>
          <w:szCs w:val="24"/>
        </w:rPr>
        <w:t xml:space="preserve"> </w:t>
      </w:r>
      <w:r w:rsidR="00790A2E">
        <w:rPr>
          <w:szCs w:val="24"/>
        </w:rPr>
        <w:t>“</w:t>
      </w:r>
      <w:r w:rsidR="00765300">
        <w:rPr>
          <w:szCs w:val="24"/>
        </w:rPr>
        <w:t>Insofar as they</w:t>
      </w:r>
      <w:r w:rsidR="005215DD">
        <w:rPr>
          <w:szCs w:val="24"/>
        </w:rPr>
        <w:t xml:space="preserve"> [</w:t>
      </w:r>
      <w:r w:rsidR="005215DD" w:rsidRPr="005215DD">
        <w:rPr>
          <w:i/>
          <w:szCs w:val="24"/>
        </w:rPr>
        <w:t>the Idumeans and Itureans</w:t>
      </w:r>
      <w:r w:rsidR="005215DD">
        <w:rPr>
          <w:szCs w:val="24"/>
        </w:rPr>
        <w:t>]</w:t>
      </w:r>
      <w:r w:rsidR="00765300">
        <w:rPr>
          <w:szCs w:val="24"/>
        </w:rPr>
        <w:t xml:space="preserve"> became </w:t>
      </w:r>
      <w:r w:rsidR="00C00A28">
        <w:rPr>
          <w:szCs w:val="24"/>
        </w:rPr>
        <w:t>citizens in a state dominated by</w:t>
      </w:r>
      <w:r w:rsidR="00765300">
        <w:rPr>
          <w:szCs w:val="24"/>
        </w:rPr>
        <w:t xml:space="preserve"> the Judaeans, they became Judaeans themselves in a political sense, and obligated themselves to observe the ways of the Judaeans</w:t>
      </w:r>
      <w:r w:rsidR="00B82E1C">
        <w:rPr>
          <w:szCs w:val="24"/>
        </w:rPr>
        <w:t>.</w:t>
      </w:r>
      <w:r w:rsidR="00765300">
        <w:rPr>
          <w:szCs w:val="24"/>
        </w:rPr>
        <w:t>”</w:t>
      </w:r>
      <w:r w:rsidR="00B82E1C">
        <w:rPr>
          <w:szCs w:val="24"/>
        </w:rPr>
        <w:t xml:space="preserve"> And again in the following pages: </w:t>
      </w:r>
      <w:r w:rsidR="00B82E1C">
        <w:t>“The idea that the Idumaeans and Ituraeans could somehow adopt membership in the Judean state, and somehow become Judaean themselves through the observance of the Judaean way of life, presumes the definition of Judaeanness as a wa</w:t>
      </w:r>
      <w:r w:rsidR="005215DD">
        <w:t>y of life and as a citizenship.</w:t>
      </w:r>
      <w:r w:rsidR="00B82E1C">
        <w:t xml:space="preserve"> </w:t>
      </w:r>
      <w:r w:rsidR="00B82E1C" w:rsidRPr="001B41BE">
        <w:rPr>
          <w:i/>
        </w:rPr>
        <w:t>Idumaeans and Ituraeans could be granted citizenship in the Judean polity</w:t>
      </w:r>
      <w:r w:rsidR="00B82E1C">
        <w:t>.”</w:t>
      </w:r>
      <w:r w:rsidR="00B82E1C">
        <w:rPr>
          <w:rStyle w:val="Marquenotebasdepage"/>
          <w:szCs w:val="24"/>
        </w:rPr>
        <w:footnoteReference w:id="11"/>
      </w:r>
      <w:r w:rsidR="00B82E1C">
        <w:rPr>
          <w:szCs w:val="24"/>
        </w:rPr>
        <w:t xml:space="preserve"> </w:t>
      </w:r>
      <w:r w:rsidR="004A79DB">
        <w:rPr>
          <w:szCs w:val="24"/>
        </w:rPr>
        <w:t>In other terms, Shaye Cohen presupposes that there was such a thing as a Judean citizenship in the Hasmonean state.</w:t>
      </w:r>
    </w:p>
    <w:p w14:paraId="1E9A83F0" w14:textId="77777777" w:rsidR="0012688A" w:rsidRDefault="00F61E94" w:rsidP="00140D2A">
      <w:pPr>
        <w:tabs>
          <w:tab w:val="left" w:pos="284"/>
          <w:tab w:val="left" w:pos="567"/>
          <w:tab w:val="left" w:pos="851"/>
        </w:tabs>
        <w:spacing w:line="360" w:lineRule="exact"/>
        <w:rPr>
          <w:szCs w:val="24"/>
        </w:rPr>
      </w:pPr>
      <w:r>
        <w:rPr>
          <w:szCs w:val="24"/>
        </w:rPr>
        <w:tab/>
        <w:t xml:space="preserve">The problem with this thesis is that, from the point of view of the history of institutions, there was no citizenship in Judea at that time, because Jerusalem was not a </w:t>
      </w:r>
      <w:r w:rsidRPr="00F61E94">
        <w:rPr>
          <w:i/>
          <w:szCs w:val="24"/>
        </w:rPr>
        <w:t>polis</w:t>
      </w:r>
      <w:r w:rsidR="00146490">
        <w:rPr>
          <w:szCs w:val="24"/>
        </w:rPr>
        <w:t>. The city</w:t>
      </w:r>
      <w:r>
        <w:rPr>
          <w:szCs w:val="24"/>
        </w:rPr>
        <w:t xml:space="preserve"> could indeed have been a </w:t>
      </w:r>
      <w:r w:rsidRPr="00F61E94">
        <w:rPr>
          <w:i/>
          <w:szCs w:val="24"/>
        </w:rPr>
        <w:t>polis</w:t>
      </w:r>
      <w:r>
        <w:rPr>
          <w:szCs w:val="24"/>
        </w:rPr>
        <w:t xml:space="preserve"> </w:t>
      </w:r>
      <w:r w:rsidR="005A1CC9">
        <w:rPr>
          <w:szCs w:val="24"/>
        </w:rPr>
        <w:t xml:space="preserve">or have </w:t>
      </w:r>
      <w:r w:rsidR="008F7D95">
        <w:rPr>
          <w:szCs w:val="24"/>
        </w:rPr>
        <w:t>included</w:t>
      </w:r>
      <w:r w:rsidR="005A1CC9">
        <w:rPr>
          <w:szCs w:val="24"/>
        </w:rPr>
        <w:t xml:space="preserve"> a </w:t>
      </w:r>
      <w:r w:rsidR="005A1CC9" w:rsidRPr="005A1CC9">
        <w:rPr>
          <w:i/>
          <w:szCs w:val="24"/>
        </w:rPr>
        <w:t>polis</w:t>
      </w:r>
      <w:r w:rsidR="005A1CC9">
        <w:rPr>
          <w:szCs w:val="24"/>
        </w:rPr>
        <w:t xml:space="preserve"> </w:t>
      </w:r>
      <w:r>
        <w:rPr>
          <w:szCs w:val="24"/>
        </w:rPr>
        <w:t>if Jason’s reform</w:t>
      </w:r>
      <w:r w:rsidR="00F13171">
        <w:rPr>
          <w:szCs w:val="24"/>
        </w:rPr>
        <w:t xml:space="preserve"> had </w:t>
      </w:r>
      <w:r w:rsidR="008F7D95">
        <w:rPr>
          <w:szCs w:val="24"/>
        </w:rPr>
        <w:t>succeeded and prevailed over time.</w:t>
      </w:r>
      <w:r w:rsidR="008F7D95">
        <w:rPr>
          <w:rStyle w:val="Marquenotebasdepage"/>
          <w:szCs w:val="24"/>
        </w:rPr>
        <w:footnoteReference w:id="12"/>
      </w:r>
      <w:r w:rsidR="00970816">
        <w:rPr>
          <w:szCs w:val="24"/>
        </w:rPr>
        <w:t xml:space="preserve"> However, t</w:t>
      </w:r>
      <w:r w:rsidR="008F7D95">
        <w:rPr>
          <w:szCs w:val="24"/>
        </w:rPr>
        <w:t xml:space="preserve">he revolt of the Maccabees put an end to this attempt, which was not </w:t>
      </w:r>
      <w:r w:rsidR="00F3566A">
        <w:rPr>
          <w:szCs w:val="24"/>
        </w:rPr>
        <w:t>repeated</w:t>
      </w:r>
      <w:r w:rsidR="008F7D95">
        <w:rPr>
          <w:szCs w:val="24"/>
        </w:rPr>
        <w:t xml:space="preserve"> even during </w:t>
      </w:r>
      <w:r w:rsidR="00F66CF9">
        <w:rPr>
          <w:szCs w:val="24"/>
        </w:rPr>
        <w:t>the reign of Herod</w:t>
      </w:r>
      <w:r w:rsidR="008F7D95">
        <w:rPr>
          <w:szCs w:val="24"/>
        </w:rPr>
        <w:t>.</w:t>
      </w:r>
      <w:r w:rsidR="0066711D">
        <w:rPr>
          <w:rStyle w:val="Marquenotebasdepage"/>
          <w:szCs w:val="24"/>
        </w:rPr>
        <w:footnoteReference w:id="13"/>
      </w:r>
    </w:p>
    <w:p w14:paraId="28C45658" w14:textId="77777777" w:rsidR="00E62EC8" w:rsidRDefault="006B21EE" w:rsidP="002A5B63">
      <w:pPr>
        <w:tabs>
          <w:tab w:val="left" w:pos="284"/>
          <w:tab w:val="left" w:pos="567"/>
          <w:tab w:val="left" w:pos="851"/>
        </w:tabs>
        <w:spacing w:line="360" w:lineRule="exact"/>
      </w:pPr>
      <w:r>
        <w:rPr>
          <w:szCs w:val="24"/>
        </w:rPr>
        <w:tab/>
        <w:t xml:space="preserve">Moreover, the type of state promoted by the Hasmoneans turned out to be a monarchy, </w:t>
      </w:r>
      <w:r w:rsidR="00187E4D">
        <w:rPr>
          <w:szCs w:val="24"/>
        </w:rPr>
        <w:t>in spite of the fact that</w:t>
      </w:r>
      <w:r>
        <w:rPr>
          <w:szCs w:val="24"/>
        </w:rPr>
        <w:t xml:space="preserve"> the dynasty was originally a priestly family. </w:t>
      </w:r>
      <w:r w:rsidR="00A63000">
        <w:rPr>
          <w:szCs w:val="24"/>
        </w:rPr>
        <w:t>According to Josephus, Aristobulus I was the first to have himself called “king,” but his ancestors already displayed many features of royal power. As a matter of fact, the military dimension of the Hasmonean dynasty (whose legitimacy was deeply grounded in military victory) had everything to do with royal power, and not with priestly power. High priests were not supposed to actively participate in battle, be it on</w:t>
      </w:r>
      <w:r w:rsidR="002A2E2A">
        <w:rPr>
          <w:szCs w:val="24"/>
        </w:rPr>
        <w:t>l</w:t>
      </w:r>
      <w:r w:rsidR="00A63000">
        <w:rPr>
          <w:szCs w:val="24"/>
        </w:rPr>
        <w:t xml:space="preserve">y for purity reasons; more fundamentally, though, the army and the battlefield were royal prerogatives according to the traditions of the Hebrew Bible. In any case, the Hasmonean state became a monarchy, which shared many features with other Hellenistic kingdoms (especially with other ethnic kingdoms such as </w:t>
      </w:r>
      <w:r w:rsidR="002A0E15">
        <w:rPr>
          <w:szCs w:val="24"/>
        </w:rPr>
        <w:t xml:space="preserve">that of </w:t>
      </w:r>
      <w:r w:rsidR="00A63000">
        <w:rPr>
          <w:szCs w:val="24"/>
        </w:rPr>
        <w:t>the Nabatean</w:t>
      </w:r>
      <w:r w:rsidR="002A0E15">
        <w:rPr>
          <w:szCs w:val="24"/>
        </w:rPr>
        <w:t>s</w:t>
      </w:r>
      <w:r w:rsidR="00A63000">
        <w:rPr>
          <w:szCs w:val="24"/>
        </w:rPr>
        <w:t>)</w:t>
      </w:r>
      <w:r w:rsidR="00282482">
        <w:rPr>
          <w:szCs w:val="24"/>
        </w:rPr>
        <w:t xml:space="preserve">, while obviously remaining specific in other </w:t>
      </w:r>
      <w:r w:rsidR="00146490">
        <w:rPr>
          <w:szCs w:val="24"/>
        </w:rPr>
        <w:t>respects</w:t>
      </w:r>
      <w:r w:rsidR="002A5B63">
        <w:rPr>
          <w:szCs w:val="24"/>
        </w:rPr>
        <w:t xml:space="preserve"> (monotheism, the unicity of the </w:t>
      </w:r>
      <w:r w:rsidR="00D127FB">
        <w:rPr>
          <w:szCs w:val="24"/>
        </w:rPr>
        <w:t xml:space="preserve">Jerusalem </w:t>
      </w:r>
      <w:r w:rsidR="002A5B63">
        <w:rPr>
          <w:szCs w:val="24"/>
        </w:rPr>
        <w:t xml:space="preserve">temple, </w:t>
      </w:r>
      <w:r w:rsidR="00801870">
        <w:rPr>
          <w:szCs w:val="24"/>
        </w:rPr>
        <w:t xml:space="preserve">purity issues, </w:t>
      </w:r>
      <w:r w:rsidR="002A5B63">
        <w:rPr>
          <w:szCs w:val="24"/>
        </w:rPr>
        <w:t>etc.)</w:t>
      </w:r>
      <w:r w:rsidR="00282482">
        <w:rPr>
          <w:szCs w:val="24"/>
        </w:rPr>
        <w:t>.</w:t>
      </w:r>
      <w:r w:rsidR="002A0E15" w:rsidRPr="002A0E15">
        <w:rPr>
          <w:rStyle w:val="Marquenotebasdepage"/>
        </w:rPr>
        <w:t xml:space="preserve"> </w:t>
      </w:r>
      <w:r w:rsidR="002A0E15">
        <w:rPr>
          <w:rStyle w:val="Marquenotebasdepage"/>
        </w:rPr>
        <w:footnoteReference w:id="14"/>
      </w:r>
      <w:r w:rsidR="00AA59E0">
        <w:rPr>
          <w:szCs w:val="24"/>
        </w:rPr>
        <w:t xml:space="preserve"> </w:t>
      </w:r>
      <w:r w:rsidR="00961D76">
        <w:rPr>
          <w:szCs w:val="24"/>
        </w:rPr>
        <w:t xml:space="preserve">As stated above, </w:t>
      </w:r>
      <w:r w:rsidR="002A5B63">
        <w:rPr>
          <w:szCs w:val="24"/>
        </w:rPr>
        <w:t xml:space="preserve">in the Greco-Roman world a monarchy </w:t>
      </w:r>
      <w:r w:rsidR="00801870">
        <w:rPr>
          <w:szCs w:val="24"/>
        </w:rPr>
        <w:t>implied that people were subjects, not citizens</w:t>
      </w:r>
      <w:r w:rsidR="00961D76">
        <w:rPr>
          <w:szCs w:val="24"/>
        </w:rPr>
        <w:t>. Admittedly</w:t>
      </w:r>
      <w:r w:rsidR="00801870">
        <w:rPr>
          <w:szCs w:val="24"/>
        </w:rPr>
        <w:t xml:space="preserve">, the Hellenistic kingdoms counted numerous </w:t>
      </w:r>
      <w:r w:rsidR="00801870" w:rsidRPr="00801870">
        <w:rPr>
          <w:i/>
          <w:szCs w:val="24"/>
        </w:rPr>
        <w:t>poleis</w:t>
      </w:r>
      <w:r w:rsidR="00801870">
        <w:rPr>
          <w:szCs w:val="24"/>
        </w:rPr>
        <w:t xml:space="preserve"> and Hellenistic kings granted certain groups the privilege to change status</w:t>
      </w:r>
      <w:r w:rsidR="00961D76">
        <w:rPr>
          <w:szCs w:val="24"/>
        </w:rPr>
        <w:t>es</w:t>
      </w:r>
      <w:r w:rsidR="00801870">
        <w:rPr>
          <w:szCs w:val="24"/>
        </w:rPr>
        <w:t xml:space="preserve"> and </w:t>
      </w:r>
      <w:r w:rsidR="00AB7F87">
        <w:rPr>
          <w:szCs w:val="24"/>
        </w:rPr>
        <w:t xml:space="preserve">to </w:t>
      </w:r>
      <w:r w:rsidR="00801870">
        <w:rPr>
          <w:szCs w:val="24"/>
        </w:rPr>
        <w:t xml:space="preserve">become a </w:t>
      </w:r>
      <w:r w:rsidR="00801870" w:rsidRPr="002A0E15">
        <w:rPr>
          <w:i/>
          <w:szCs w:val="24"/>
        </w:rPr>
        <w:t>polis</w:t>
      </w:r>
      <w:r w:rsidR="00AB7F87">
        <w:rPr>
          <w:szCs w:val="24"/>
        </w:rPr>
        <w:t>, to have a gymnasium, etc</w:t>
      </w:r>
      <w:r w:rsidR="00961D76">
        <w:rPr>
          <w:szCs w:val="24"/>
        </w:rPr>
        <w:t>.;</w:t>
      </w:r>
      <w:r w:rsidR="00146490">
        <w:rPr>
          <w:rStyle w:val="Marquenotebasdepage"/>
          <w:szCs w:val="24"/>
        </w:rPr>
        <w:footnoteReference w:id="15"/>
      </w:r>
      <w:r w:rsidR="00961D76">
        <w:rPr>
          <w:szCs w:val="24"/>
        </w:rPr>
        <w:t xml:space="preserve"> b</w:t>
      </w:r>
      <w:r w:rsidR="00801870">
        <w:rPr>
          <w:szCs w:val="24"/>
        </w:rPr>
        <w:t xml:space="preserve">ut it is important to understand that </w:t>
      </w:r>
      <w:r w:rsidR="002A5B63">
        <w:rPr>
          <w:szCs w:val="24"/>
        </w:rPr>
        <w:t>only cities</w:t>
      </w:r>
      <w:r w:rsidR="00801870">
        <w:rPr>
          <w:szCs w:val="24"/>
        </w:rPr>
        <w:t xml:space="preserve"> (in the political sense)</w:t>
      </w:r>
      <w:r w:rsidR="002A5B63">
        <w:rPr>
          <w:szCs w:val="24"/>
        </w:rPr>
        <w:t xml:space="preserve"> had citizenships, Rome being no exception. </w:t>
      </w:r>
      <w:r w:rsidR="002A0E15">
        <w:rPr>
          <w:szCs w:val="24"/>
        </w:rPr>
        <w:t xml:space="preserve">The only citizens within the Seleucid kingdom were </w:t>
      </w:r>
      <w:r w:rsidR="00961D76">
        <w:rPr>
          <w:szCs w:val="24"/>
        </w:rPr>
        <w:t xml:space="preserve">thus </w:t>
      </w:r>
      <w:r w:rsidR="002A0E15">
        <w:rPr>
          <w:szCs w:val="24"/>
        </w:rPr>
        <w:t xml:space="preserve">the citizens of specific </w:t>
      </w:r>
      <w:r w:rsidR="002A0E15" w:rsidRPr="002A0E15">
        <w:rPr>
          <w:i/>
          <w:szCs w:val="24"/>
        </w:rPr>
        <w:t>poleis</w:t>
      </w:r>
      <w:r w:rsidR="002A0E15">
        <w:rPr>
          <w:szCs w:val="24"/>
        </w:rPr>
        <w:t>.</w:t>
      </w:r>
      <w:r w:rsidR="00E62EC8">
        <w:rPr>
          <w:szCs w:val="24"/>
        </w:rPr>
        <w:t xml:space="preserve"> </w:t>
      </w:r>
      <w:r w:rsidR="00E62EC8">
        <w:t xml:space="preserve">It is thus paradoxical to speak about the development of a Judean citizenship </w:t>
      </w:r>
      <w:r w:rsidR="00D127FB">
        <w:t>under the Hasmoneans</w:t>
      </w:r>
      <w:r w:rsidR="00E62EC8">
        <w:t xml:space="preserve">. </w:t>
      </w:r>
    </w:p>
    <w:p w14:paraId="0F3144BD" w14:textId="77777777" w:rsidR="002A5B63" w:rsidRPr="00E62EC8" w:rsidRDefault="00E62EC8" w:rsidP="002A5B63">
      <w:pPr>
        <w:tabs>
          <w:tab w:val="left" w:pos="284"/>
          <w:tab w:val="left" w:pos="567"/>
          <w:tab w:val="left" w:pos="851"/>
        </w:tabs>
        <w:spacing w:line="360" w:lineRule="exact"/>
        <w:rPr>
          <w:szCs w:val="24"/>
        </w:rPr>
      </w:pPr>
      <w:r>
        <w:tab/>
      </w:r>
      <w:r w:rsidR="00984CFA">
        <w:t>As a matter of fact</w:t>
      </w:r>
      <w:r w:rsidR="002A0E15">
        <w:t>, t</w:t>
      </w:r>
      <w:r w:rsidR="002A5B63">
        <w:t>he judaization of the Idumeans nearly coincided with the</w:t>
      </w:r>
      <w:r w:rsidR="00AB7F87">
        <w:t xml:space="preserve"> official</w:t>
      </w:r>
      <w:r w:rsidR="002A5B63">
        <w:t xml:space="preserve"> transformation of the Judean state into a monarchy</w:t>
      </w:r>
      <w:r w:rsidR="002A5B63" w:rsidRPr="00FA53DF">
        <w:rPr>
          <w:szCs w:val="24"/>
        </w:rPr>
        <w:t xml:space="preserve">. </w:t>
      </w:r>
      <w:r w:rsidR="00722B6D">
        <w:t xml:space="preserve">To put things bluntly, </w:t>
      </w:r>
      <w:r w:rsidR="00CA25F8">
        <w:t xml:space="preserve">the logical consequence is that </w:t>
      </w:r>
      <w:r w:rsidR="00722B6D">
        <w:t>the Idumeans never became citizens of the Judean state, because</w:t>
      </w:r>
      <w:r w:rsidR="00C75744">
        <w:t xml:space="preserve"> during this period</w:t>
      </w:r>
      <w:r w:rsidR="00722B6D">
        <w:t xml:space="preserve"> there were no Judean citizens and no Judean citizenship to start with.</w:t>
      </w:r>
      <w:r w:rsidR="00AB7F87">
        <w:t xml:space="preserve"> </w:t>
      </w:r>
      <w:r w:rsidR="00AB7F87" w:rsidRPr="00FA53DF">
        <w:rPr>
          <w:szCs w:val="24"/>
        </w:rPr>
        <w:t>During the Hasmonean period and especially from Aristobulus I onward</w:t>
      </w:r>
      <w:r w:rsidR="00AB7F87">
        <w:rPr>
          <w:szCs w:val="24"/>
        </w:rPr>
        <w:t>s</w:t>
      </w:r>
      <w:r w:rsidR="00AB7F87" w:rsidRPr="00FA53DF">
        <w:rPr>
          <w:szCs w:val="24"/>
        </w:rPr>
        <w:t xml:space="preserve">, </w:t>
      </w:r>
      <w:r w:rsidR="00AB7F87">
        <w:t xml:space="preserve">Judea was in fact as remote from the model of the Hellenistic </w:t>
      </w:r>
      <w:r w:rsidR="00AB7F87" w:rsidRPr="00CA32F1">
        <w:rPr>
          <w:i/>
        </w:rPr>
        <w:t>pol</w:t>
      </w:r>
      <w:r w:rsidR="00AB7F87">
        <w:rPr>
          <w:i/>
        </w:rPr>
        <w:t>e</w:t>
      </w:r>
      <w:r w:rsidR="00AB7F87" w:rsidRPr="00CA32F1">
        <w:rPr>
          <w:i/>
        </w:rPr>
        <w:t>is</w:t>
      </w:r>
      <w:r w:rsidR="00AB7F87">
        <w:t xml:space="preserve"> as it was from the model of the Roman Republic.</w:t>
      </w:r>
    </w:p>
    <w:p w14:paraId="7026C72C" w14:textId="77777777" w:rsidR="00AA59E0" w:rsidRDefault="00AA59E0" w:rsidP="00140D2A">
      <w:pPr>
        <w:tabs>
          <w:tab w:val="left" w:pos="284"/>
          <w:tab w:val="left" w:pos="567"/>
          <w:tab w:val="left" w:pos="851"/>
        </w:tabs>
        <w:spacing w:line="360" w:lineRule="exact"/>
        <w:rPr>
          <w:szCs w:val="24"/>
        </w:rPr>
      </w:pPr>
    </w:p>
    <w:p w14:paraId="1AB3CBE3" w14:textId="77777777" w:rsidR="0072172A" w:rsidRDefault="005215DD" w:rsidP="00140D2A">
      <w:pPr>
        <w:tabs>
          <w:tab w:val="left" w:pos="284"/>
          <w:tab w:val="left" w:pos="567"/>
          <w:tab w:val="left" w:pos="851"/>
        </w:tabs>
        <w:spacing w:line="360" w:lineRule="exact"/>
        <w:rPr>
          <w:szCs w:val="24"/>
        </w:rPr>
      </w:pPr>
      <w:r>
        <w:rPr>
          <w:szCs w:val="24"/>
        </w:rPr>
        <w:t xml:space="preserve">Still, </w:t>
      </w:r>
      <w:r w:rsidR="00FA0B1E">
        <w:rPr>
          <w:szCs w:val="24"/>
        </w:rPr>
        <w:t>one needs to check whether ancient writers referred to</w:t>
      </w:r>
      <w:r>
        <w:rPr>
          <w:szCs w:val="24"/>
        </w:rPr>
        <w:t xml:space="preserve"> the Idumeans as new “citizens” of the Judean state</w:t>
      </w:r>
      <w:r w:rsidR="00FA0B1E">
        <w:rPr>
          <w:szCs w:val="24"/>
        </w:rPr>
        <w:t>,</w:t>
      </w:r>
      <w:r>
        <w:rPr>
          <w:szCs w:val="24"/>
        </w:rPr>
        <w:t xml:space="preserve"> </w:t>
      </w:r>
      <w:r w:rsidR="00FA0B1E">
        <w:rPr>
          <w:szCs w:val="24"/>
        </w:rPr>
        <w:t>either in a matter-of-fact way</w:t>
      </w:r>
      <w:r>
        <w:rPr>
          <w:szCs w:val="24"/>
        </w:rPr>
        <w:t xml:space="preserve">, or by way of analogy with political institutions widely known in the Greco-Roman world. </w:t>
      </w:r>
      <w:r w:rsidR="001D2019">
        <w:rPr>
          <w:szCs w:val="24"/>
        </w:rPr>
        <w:t xml:space="preserve">The </w:t>
      </w:r>
      <w:r w:rsidR="00061AAE">
        <w:rPr>
          <w:szCs w:val="24"/>
        </w:rPr>
        <w:t>transformation</w:t>
      </w:r>
      <w:r w:rsidR="001D2019">
        <w:rPr>
          <w:szCs w:val="24"/>
        </w:rPr>
        <w:t xml:space="preserve"> of the Idumeans </w:t>
      </w:r>
      <w:r w:rsidR="00061AAE">
        <w:rPr>
          <w:szCs w:val="24"/>
        </w:rPr>
        <w:t>into</w:t>
      </w:r>
      <w:r w:rsidR="001D2019">
        <w:rPr>
          <w:szCs w:val="24"/>
        </w:rPr>
        <w:t xml:space="preserve"> </w:t>
      </w:r>
      <w:r w:rsidR="0003677A" w:rsidRPr="0003677A">
        <w:rPr>
          <w:i/>
          <w:szCs w:val="24"/>
        </w:rPr>
        <w:t>Ioudaioi</w:t>
      </w:r>
      <w:r w:rsidR="00C127BD">
        <w:rPr>
          <w:szCs w:val="24"/>
        </w:rPr>
        <w:t xml:space="preserve"> is </w:t>
      </w:r>
      <w:r w:rsidR="00FA0B1E">
        <w:rPr>
          <w:szCs w:val="24"/>
        </w:rPr>
        <w:t>reported</w:t>
      </w:r>
      <w:r w:rsidR="001D2019">
        <w:rPr>
          <w:szCs w:val="24"/>
        </w:rPr>
        <w:t xml:space="preserve"> by a </w:t>
      </w:r>
      <w:r w:rsidR="00C127BD">
        <w:rPr>
          <w:szCs w:val="24"/>
        </w:rPr>
        <w:t>historian named Ptolemy</w:t>
      </w:r>
      <w:r w:rsidR="002D5BB0">
        <w:rPr>
          <w:szCs w:val="24"/>
        </w:rPr>
        <w:t xml:space="preserve"> (probably from the first century BCE or CE, since a biography of Herod is attributed to him)</w:t>
      </w:r>
      <w:r w:rsidR="00C127BD">
        <w:rPr>
          <w:szCs w:val="24"/>
        </w:rPr>
        <w:t>,</w:t>
      </w:r>
      <w:r w:rsidR="001D2019">
        <w:rPr>
          <w:szCs w:val="24"/>
        </w:rPr>
        <w:t xml:space="preserve"> by Strabo</w:t>
      </w:r>
      <w:r w:rsidR="00C127BD">
        <w:rPr>
          <w:szCs w:val="24"/>
        </w:rPr>
        <w:t xml:space="preserve"> and by Josephus</w:t>
      </w:r>
      <w:r w:rsidR="001D2019">
        <w:rPr>
          <w:szCs w:val="24"/>
        </w:rPr>
        <w:t xml:space="preserve">. </w:t>
      </w:r>
      <w:r w:rsidR="007518BB">
        <w:rPr>
          <w:szCs w:val="24"/>
        </w:rPr>
        <w:t xml:space="preserve">Let us start with </w:t>
      </w:r>
      <w:r w:rsidR="001D2019">
        <w:rPr>
          <w:szCs w:val="24"/>
        </w:rPr>
        <w:t>Josephus</w:t>
      </w:r>
      <w:r w:rsidR="007518BB">
        <w:rPr>
          <w:szCs w:val="24"/>
        </w:rPr>
        <w:t>, who</w:t>
      </w:r>
      <w:r w:rsidR="009532DE">
        <w:rPr>
          <w:szCs w:val="24"/>
        </w:rPr>
        <w:t xml:space="preserve"> writes</w:t>
      </w:r>
      <w:r w:rsidR="0072172A">
        <w:rPr>
          <w:szCs w:val="24"/>
        </w:rPr>
        <w:t xml:space="preserve"> that John Hyrcanus</w:t>
      </w:r>
      <w:r w:rsidR="00C127BD">
        <w:rPr>
          <w:szCs w:val="24"/>
        </w:rPr>
        <w:t>,</w:t>
      </w:r>
    </w:p>
    <w:p w14:paraId="7EA18254" w14:textId="77777777" w:rsidR="009532DE" w:rsidRPr="00E0579E" w:rsidRDefault="00323176" w:rsidP="00140D2A">
      <w:pPr>
        <w:tabs>
          <w:tab w:val="left" w:pos="340"/>
        </w:tabs>
        <w:spacing w:line="360" w:lineRule="exact"/>
        <w:ind w:left="340"/>
      </w:pPr>
      <w:r>
        <w:t xml:space="preserve">“after subduing all the Idumaeans, permitted them to remain in their country so long as they had themselves circumcised and were willing to observe the laws of the </w:t>
      </w:r>
      <w:r w:rsidR="000B4BAB">
        <w:t>Judeans</w:t>
      </w:r>
      <w:r>
        <w:t xml:space="preserve"> (</w:t>
      </w:r>
      <w:r>
        <w:rPr>
          <w:rFonts w:ascii="Gentium" w:hAnsi="Gentium" w:cs="Gentium"/>
        </w:rPr>
        <w:t xml:space="preserve">εἰ περιτέμνοιντο τὰ αἰδοῖα καὶ τοῖς Ἰουδαίων νόμοις </w:t>
      </w:r>
      <w:r>
        <w:t xml:space="preserve">[or, according to mss A, M, W and E: </w:t>
      </w:r>
      <w:r>
        <w:rPr>
          <w:rFonts w:ascii="Gentium" w:hAnsi="Gentium" w:cs="Gentium"/>
          <w:lang w:val="en-US"/>
        </w:rPr>
        <w:t>νομίμοις</w:t>
      </w:r>
      <w:r>
        <w:t xml:space="preserve">] </w:t>
      </w:r>
      <w:r>
        <w:rPr>
          <w:rFonts w:ascii="Gentium" w:hAnsi="Gentium" w:cs="Gentium"/>
        </w:rPr>
        <w:t>χρήσασθαι θέλοιεν</w:t>
      </w:r>
      <w:r w:rsidRPr="001E6703">
        <w:rPr>
          <w:szCs w:val="24"/>
        </w:rPr>
        <w:t xml:space="preserve">). </w:t>
      </w:r>
      <w:r w:rsidR="001E6703" w:rsidRPr="001E6703">
        <w:rPr>
          <w:szCs w:val="24"/>
        </w:rPr>
        <w:t>And so, out of attachment to the ancestral land, they accepted [lit.: endured] to practice the same circumcision and the same manner of life, in other [respects as well], as those of the Judeans</w:t>
      </w:r>
      <w:r w:rsidRPr="001E6703">
        <w:rPr>
          <w:szCs w:val="24"/>
        </w:rPr>
        <w:t xml:space="preserve"> </w:t>
      </w:r>
      <w:r>
        <w:t>(</w:t>
      </w:r>
      <w:r>
        <w:rPr>
          <w:rFonts w:ascii="Gentium" w:hAnsi="Gentium" w:cs="Gentium"/>
        </w:rPr>
        <w:t>οἱ δὲ πόθῳ τῆς πατρίου γῆς καὶ τὴν περιτομὴν καὶ τὴν ἄλλην τοῦ βίου δίαιταν ὑπέμειναν τὴν αὐτὴν Ἰουδαίοις ποιήσασθαι</w:t>
      </w:r>
      <w:r>
        <w:t xml:space="preserve">). And from that time on they have </w:t>
      </w:r>
      <w:r w:rsidR="001E6703">
        <w:t>been</w:t>
      </w:r>
      <w:r>
        <w:t xml:space="preserve"> </w:t>
      </w:r>
      <w:r w:rsidR="008756F8">
        <w:t>Judeans</w:t>
      </w:r>
      <w:r w:rsidR="001E6703">
        <w:t xml:space="preserve"> themselves </w:t>
      </w:r>
      <w:r w:rsidR="0072172A">
        <w:t>(</w:t>
      </w:r>
      <w:r w:rsidR="00A70C34" w:rsidRPr="00A70C34">
        <w:rPr>
          <w:rFonts w:ascii="Gentium" w:hAnsi="Gentium" w:cs="Gentium"/>
        </w:rPr>
        <w:t>κἀκείνοις αὐτοῖς χρόνος ὑπῆρχεν ὥστε εἶναι τὸ λοιπὸν Ἰουδαίους</w:t>
      </w:r>
      <w:r>
        <w:t>)”</w:t>
      </w:r>
      <w:r w:rsidR="0072172A">
        <w:t xml:space="preserve"> (</w:t>
      </w:r>
      <w:r w:rsidR="00C624D3">
        <w:rPr>
          <w:rFonts w:ascii="TimesNewRomanPS-ItalicMT" w:hAnsi="TimesNewRomanPS-ItalicMT" w:cs="TimesNewRomanPS-ItalicMT"/>
          <w:i/>
          <w:iCs/>
        </w:rPr>
        <w:t>Ant</w:t>
      </w:r>
      <w:r w:rsidR="0072172A">
        <w:rPr>
          <w:rFonts w:ascii="TimesNewRomanPS-ItalicMT" w:hAnsi="TimesNewRomanPS-ItalicMT" w:cs="TimesNewRomanPS-ItalicMT"/>
          <w:i/>
          <w:iCs/>
        </w:rPr>
        <w:t>.</w:t>
      </w:r>
      <w:r w:rsidR="0072172A">
        <w:t xml:space="preserve"> </w:t>
      </w:r>
      <w:r>
        <w:t>13.</w:t>
      </w:r>
      <w:r w:rsidR="0072172A">
        <w:t>257-258)</w:t>
      </w:r>
      <w:r>
        <w:t>.</w:t>
      </w:r>
      <w:r w:rsidR="0072172A">
        <w:rPr>
          <w:rStyle w:val="Rfdenotedefindepage"/>
        </w:rPr>
        <w:footnoteReference w:id="16"/>
      </w:r>
    </w:p>
    <w:p w14:paraId="1511B991" w14:textId="77777777" w:rsidR="005215DD" w:rsidRDefault="005215DD" w:rsidP="00140D2A">
      <w:pPr>
        <w:tabs>
          <w:tab w:val="left" w:pos="284"/>
          <w:tab w:val="left" w:pos="567"/>
          <w:tab w:val="left" w:pos="851"/>
        </w:tabs>
        <w:spacing w:line="360" w:lineRule="exact"/>
        <w:rPr>
          <w:szCs w:val="24"/>
        </w:rPr>
      </w:pPr>
      <w:r>
        <w:rPr>
          <w:szCs w:val="24"/>
        </w:rPr>
        <w:t xml:space="preserve">Josephus speaks eloquently of the Jewish </w:t>
      </w:r>
      <w:r w:rsidRPr="005215DD">
        <w:rPr>
          <w:i/>
          <w:szCs w:val="24"/>
        </w:rPr>
        <w:t>politeia</w:t>
      </w:r>
      <w:r w:rsidR="00FF22ED">
        <w:rPr>
          <w:szCs w:val="24"/>
        </w:rPr>
        <w:t xml:space="preserve"> in several </w:t>
      </w:r>
      <w:r w:rsidR="001D613A">
        <w:rPr>
          <w:szCs w:val="24"/>
        </w:rPr>
        <w:t>passages</w:t>
      </w:r>
      <w:r w:rsidR="00FF22ED">
        <w:rPr>
          <w:szCs w:val="24"/>
        </w:rPr>
        <w:t xml:space="preserve"> </w:t>
      </w:r>
      <w:r w:rsidR="001D613A">
        <w:rPr>
          <w:szCs w:val="24"/>
        </w:rPr>
        <w:t>of</w:t>
      </w:r>
      <w:r w:rsidR="00FF22ED">
        <w:rPr>
          <w:szCs w:val="24"/>
        </w:rPr>
        <w:t xml:space="preserve"> </w:t>
      </w:r>
      <w:r>
        <w:rPr>
          <w:szCs w:val="24"/>
        </w:rPr>
        <w:t>his work</w:t>
      </w:r>
      <w:r w:rsidR="001D613A">
        <w:rPr>
          <w:szCs w:val="24"/>
        </w:rPr>
        <w:t>s</w:t>
      </w:r>
      <w:r>
        <w:rPr>
          <w:szCs w:val="24"/>
        </w:rPr>
        <w:t>,</w:t>
      </w:r>
      <w:r w:rsidR="001E7C93">
        <w:rPr>
          <w:szCs w:val="24"/>
        </w:rPr>
        <w:t xml:space="preserve"> and </w:t>
      </w:r>
      <w:r w:rsidR="00944CFB">
        <w:rPr>
          <w:szCs w:val="24"/>
        </w:rPr>
        <w:t>he often speaks of</w:t>
      </w:r>
      <w:r w:rsidR="001E7C93">
        <w:rPr>
          <w:szCs w:val="24"/>
        </w:rPr>
        <w:t xml:space="preserve"> Jews as </w:t>
      </w:r>
      <w:r w:rsidR="00944CFB">
        <w:rPr>
          <w:szCs w:val="24"/>
        </w:rPr>
        <w:t>“fellow-</w:t>
      </w:r>
      <w:r w:rsidR="001E7C93">
        <w:rPr>
          <w:szCs w:val="24"/>
        </w:rPr>
        <w:t>citizens,</w:t>
      </w:r>
      <w:r w:rsidR="00944CFB">
        <w:rPr>
          <w:szCs w:val="24"/>
        </w:rPr>
        <w:t>”</w:t>
      </w:r>
      <w:r w:rsidR="001E7C93">
        <w:rPr>
          <w:szCs w:val="24"/>
        </w:rPr>
        <w:t xml:space="preserve"> but </w:t>
      </w:r>
      <w:r w:rsidR="007518BB">
        <w:rPr>
          <w:szCs w:val="24"/>
        </w:rPr>
        <w:t>nowhere</w:t>
      </w:r>
      <w:r w:rsidR="001E7C93">
        <w:rPr>
          <w:szCs w:val="24"/>
        </w:rPr>
        <w:t xml:space="preserve"> does </w:t>
      </w:r>
      <w:r w:rsidR="007518BB">
        <w:rPr>
          <w:szCs w:val="24"/>
        </w:rPr>
        <w:t>he</w:t>
      </w:r>
      <w:r w:rsidR="001E7C93">
        <w:rPr>
          <w:szCs w:val="24"/>
        </w:rPr>
        <w:t xml:space="preserve"> refer to the Idumeans as new citizens of the Judean state.</w:t>
      </w:r>
      <w:r w:rsidR="001E7C93">
        <w:rPr>
          <w:rStyle w:val="Marquenotebasdepage"/>
          <w:szCs w:val="24"/>
        </w:rPr>
        <w:footnoteReference w:id="17"/>
      </w:r>
      <w:r>
        <w:rPr>
          <w:szCs w:val="24"/>
        </w:rPr>
        <w:t xml:space="preserve"> </w:t>
      </w:r>
      <w:r w:rsidR="00FF22ED">
        <w:rPr>
          <w:szCs w:val="24"/>
        </w:rPr>
        <w:t>What he says</w:t>
      </w:r>
      <w:r w:rsidR="007518BB">
        <w:rPr>
          <w:szCs w:val="24"/>
        </w:rPr>
        <w:t xml:space="preserve"> in this particular passage</w:t>
      </w:r>
      <w:r w:rsidR="00FF22ED">
        <w:rPr>
          <w:szCs w:val="24"/>
        </w:rPr>
        <w:t xml:space="preserve"> is that they submitted themselves to the laws of the Judeans, including circumcision, and became Judeans themselve</w:t>
      </w:r>
      <w:r w:rsidR="00470991">
        <w:rPr>
          <w:szCs w:val="24"/>
        </w:rPr>
        <w:t>s. I</w:t>
      </w:r>
      <w:r w:rsidR="00FF22ED">
        <w:rPr>
          <w:szCs w:val="24"/>
        </w:rPr>
        <w:t>n</w:t>
      </w:r>
      <w:r w:rsidR="00470991">
        <w:rPr>
          <w:szCs w:val="24"/>
        </w:rPr>
        <w:t xml:space="preserve"> whic</w:t>
      </w:r>
      <w:r w:rsidR="000C434B">
        <w:rPr>
          <w:szCs w:val="24"/>
        </w:rPr>
        <w:t>h sense did they become Judeans</w:t>
      </w:r>
      <w:r w:rsidR="00470991">
        <w:rPr>
          <w:szCs w:val="24"/>
        </w:rPr>
        <w:t>?</w:t>
      </w:r>
      <w:r w:rsidR="00FF22ED">
        <w:rPr>
          <w:szCs w:val="24"/>
        </w:rPr>
        <w:t xml:space="preserve"> </w:t>
      </w:r>
      <w:r w:rsidR="00470991">
        <w:rPr>
          <w:szCs w:val="24"/>
        </w:rPr>
        <w:t>It</w:t>
      </w:r>
      <w:r w:rsidR="00FF22ED">
        <w:rPr>
          <w:szCs w:val="24"/>
        </w:rPr>
        <w:t xml:space="preserve"> remains unclear</w:t>
      </w:r>
      <w:r w:rsidR="00470991">
        <w:rPr>
          <w:szCs w:val="24"/>
        </w:rPr>
        <w:t xml:space="preserve">, but Josephus seems to imply (and the rest of the </w:t>
      </w:r>
      <w:r w:rsidR="00470991" w:rsidRPr="00470991">
        <w:rPr>
          <w:i/>
          <w:szCs w:val="24"/>
        </w:rPr>
        <w:t>Antiquities</w:t>
      </w:r>
      <w:r w:rsidR="008A2FC8">
        <w:rPr>
          <w:szCs w:val="24"/>
        </w:rPr>
        <w:t xml:space="preserve">, together with the </w:t>
      </w:r>
      <w:r w:rsidR="008A2FC8" w:rsidRPr="008A2FC8">
        <w:rPr>
          <w:i/>
          <w:szCs w:val="24"/>
        </w:rPr>
        <w:t>Jewish War</w:t>
      </w:r>
      <w:r w:rsidR="008A2FC8">
        <w:rPr>
          <w:szCs w:val="24"/>
        </w:rPr>
        <w:t>,</w:t>
      </w:r>
      <w:r w:rsidR="00470991">
        <w:rPr>
          <w:szCs w:val="24"/>
        </w:rPr>
        <w:t xml:space="preserve"> shows) that they</w:t>
      </w:r>
      <w:r w:rsidR="007F6AA4">
        <w:rPr>
          <w:szCs w:val="24"/>
        </w:rPr>
        <w:t xml:space="preserve"> adopted a Judean lifestyle, that they </w:t>
      </w:r>
      <w:r w:rsidR="00470991">
        <w:rPr>
          <w:szCs w:val="24"/>
        </w:rPr>
        <w:t xml:space="preserve">were integrated into Judean society and </w:t>
      </w:r>
      <w:r w:rsidR="007F6AA4">
        <w:rPr>
          <w:szCs w:val="24"/>
        </w:rPr>
        <w:t>became a part of this society</w:t>
      </w:r>
      <w:r w:rsidR="00470991">
        <w:rPr>
          <w:szCs w:val="24"/>
        </w:rPr>
        <w:t xml:space="preserve"> while </w:t>
      </w:r>
      <w:r w:rsidR="008A2FC8">
        <w:rPr>
          <w:szCs w:val="24"/>
        </w:rPr>
        <w:t>continuing to constitute</w:t>
      </w:r>
      <w:r w:rsidR="00470991">
        <w:rPr>
          <w:szCs w:val="24"/>
        </w:rPr>
        <w:t xml:space="preserve"> a distinct </w:t>
      </w:r>
      <w:r w:rsidR="008A2FC8">
        <w:rPr>
          <w:szCs w:val="24"/>
        </w:rPr>
        <w:t>group</w:t>
      </w:r>
      <w:r w:rsidR="00470991">
        <w:rPr>
          <w:szCs w:val="24"/>
        </w:rPr>
        <w:t xml:space="preserve">, probably </w:t>
      </w:r>
      <w:r w:rsidR="008A2FC8">
        <w:rPr>
          <w:szCs w:val="24"/>
        </w:rPr>
        <w:t>as a consequence of</w:t>
      </w:r>
      <w:r w:rsidR="00470991">
        <w:rPr>
          <w:szCs w:val="24"/>
        </w:rPr>
        <w:t xml:space="preserve"> their difference of lineage</w:t>
      </w:r>
      <w:r w:rsidR="00FF22ED">
        <w:rPr>
          <w:szCs w:val="24"/>
        </w:rPr>
        <w:t xml:space="preserve">.  </w:t>
      </w:r>
    </w:p>
    <w:p w14:paraId="6408BCA0" w14:textId="77777777" w:rsidR="009532DE" w:rsidRDefault="00470991" w:rsidP="00140D2A">
      <w:pPr>
        <w:tabs>
          <w:tab w:val="left" w:pos="284"/>
          <w:tab w:val="left" w:pos="567"/>
          <w:tab w:val="left" w:pos="851"/>
        </w:tabs>
        <w:spacing w:line="360" w:lineRule="exact"/>
        <w:rPr>
          <w:szCs w:val="24"/>
        </w:rPr>
      </w:pPr>
      <w:r>
        <w:rPr>
          <w:szCs w:val="24"/>
        </w:rPr>
        <w:tab/>
        <w:t>In that respect, t</w:t>
      </w:r>
      <w:r w:rsidR="00061AAE">
        <w:rPr>
          <w:szCs w:val="24"/>
        </w:rPr>
        <w:t>he testimony of Ptolemy</w:t>
      </w:r>
      <w:r w:rsidR="009532DE">
        <w:rPr>
          <w:szCs w:val="24"/>
        </w:rPr>
        <w:t xml:space="preserve"> is even more telling. Ptolemy </w:t>
      </w:r>
      <w:r w:rsidR="0028135C">
        <w:rPr>
          <w:szCs w:val="24"/>
        </w:rPr>
        <w:t xml:space="preserve">explains that </w:t>
      </w:r>
      <w:r w:rsidR="009532DE">
        <w:rPr>
          <w:szCs w:val="24"/>
        </w:rPr>
        <w:t>Judeans and Idumeans</w:t>
      </w:r>
      <w:r w:rsidR="0028135C">
        <w:rPr>
          <w:szCs w:val="24"/>
        </w:rPr>
        <w:t xml:space="preserve"> “differ</w:t>
      </w:r>
      <w:r w:rsidR="009532DE">
        <w:rPr>
          <w:szCs w:val="24"/>
        </w:rPr>
        <w:t>,</w:t>
      </w:r>
      <w:r w:rsidR="0028135C">
        <w:rPr>
          <w:szCs w:val="24"/>
        </w:rPr>
        <w:t>”</w:t>
      </w:r>
      <w:r w:rsidR="009532DE">
        <w:rPr>
          <w:szCs w:val="24"/>
        </w:rPr>
        <w:t xml:space="preserve"> and that</w:t>
      </w:r>
    </w:p>
    <w:p w14:paraId="3E3934DF" w14:textId="77777777" w:rsidR="00061AAE" w:rsidRDefault="00115AAE" w:rsidP="00140D2A">
      <w:pPr>
        <w:pStyle w:val="Normal1"/>
        <w:widowControl w:val="0"/>
        <w:tabs>
          <w:tab w:val="left" w:pos="280"/>
        </w:tabs>
        <w:spacing w:line="360" w:lineRule="exact"/>
        <w:ind w:left="280"/>
      </w:pPr>
      <w:r>
        <w:rPr>
          <w:rFonts w:hint="cs"/>
        </w:rPr>
        <w:t>“</w:t>
      </w:r>
      <w:r w:rsidR="000B4BAB">
        <w:t>Judeans</w:t>
      </w:r>
      <w:r>
        <w:t xml:space="preserve"> </w:t>
      </w:r>
      <w:r w:rsidRPr="007C1806">
        <w:t>are those who are so</w:t>
      </w:r>
      <w:r w:rsidR="0028135C" w:rsidRPr="007C1806">
        <w:t xml:space="preserve"> </w:t>
      </w:r>
      <w:r w:rsidR="007051D1" w:rsidRPr="007C1806">
        <w:t>originally, by nature</w:t>
      </w:r>
      <w:r w:rsidRPr="007C1806">
        <w:t xml:space="preserve"> </w:t>
      </w:r>
      <w:r w:rsidR="0028135C" w:rsidRPr="007C1806">
        <w:t>(</w:t>
      </w:r>
      <w:r w:rsidR="0028135C" w:rsidRPr="007C1806">
        <w:rPr>
          <w:rFonts w:ascii="Gentium" w:hAnsi="Gentium" w:cs="Gentium"/>
        </w:rPr>
        <w:t>Ἰ</w:t>
      </w:r>
      <w:r w:rsidR="0028135C" w:rsidRPr="007C1806">
        <w:rPr>
          <w:rFonts w:ascii="Gentium" w:hAnsi="Gentium" w:cs="Gentium"/>
          <w:lang w:val="en-US"/>
        </w:rPr>
        <w:t>ουδαῖοι μὲν γάρ εἰσιν οἱ ἐξ ἀρχῆς φυσικοί</w:t>
      </w:r>
      <w:r w:rsidR="0028135C" w:rsidRPr="007C1806">
        <w:t>)</w:t>
      </w:r>
      <w:r w:rsidRPr="007C1806">
        <w:t>. The</w:t>
      </w:r>
      <w:r>
        <w:t xml:space="preserve"> Idumaeans, on the other hand, were not originally </w:t>
      </w:r>
      <w:r w:rsidR="00C86F18">
        <w:t>Judeans</w:t>
      </w:r>
      <w:r>
        <w:t>, but Phoenicians and Syrians (</w:t>
      </w:r>
      <w:r>
        <w:rPr>
          <w:rFonts w:ascii="Gentium" w:hAnsi="Gentium" w:cs="Gentium"/>
        </w:rPr>
        <w:t>Ἰ</w:t>
      </w:r>
      <w:r>
        <w:rPr>
          <w:rFonts w:ascii="Gentium" w:hAnsi="Gentium" w:cs="Gentium"/>
          <w:lang w:val="en-US"/>
        </w:rPr>
        <w:t xml:space="preserve">δουμαῖοι δὲ τὸ μὲν ἀρχῆθεν οὐκ </w:t>
      </w:r>
      <w:r>
        <w:rPr>
          <w:rFonts w:ascii="Gentium" w:hAnsi="Gentium" w:cs="Gentium"/>
        </w:rPr>
        <w:t>Ἰ</w:t>
      </w:r>
      <w:r>
        <w:rPr>
          <w:rFonts w:ascii="Gentium" w:hAnsi="Gentium" w:cs="Gentium"/>
          <w:lang w:val="en-US"/>
        </w:rPr>
        <w:t>ουδαῖοι ἀλλὰ Φοίνικες καὶ Σύροι</w:t>
      </w:r>
      <w:r w:rsidRPr="00804C0A">
        <w:t xml:space="preserve">); </w:t>
      </w:r>
      <w:r w:rsidR="00804C0A" w:rsidRPr="00804C0A">
        <w:t>having been subjugated by them [the Judaeans] and having been forced to undergo circumcision, to contribute [taxes] to the nation,</w:t>
      </w:r>
      <w:r w:rsidR="00804C0A" w:rsidRPr="00804C0A">
        <w:rPr>
          <w:rStyle w:val="Marquenotebasdepage"/>
        </w:rPr>
        <w:footnoteReference w:id="18"/>
      </w:r>
      <w:r w:rsidR="00804C0A" w:rsidRPr="00804C0A">
        <w:t xml:space="preserve"> and to keep the same customs, they were called Judaeans</w:t>
      </w:r>
      <w:r w:rsidR="00804C0A">
        <w:t xml:space="preserve"> </w:t>
      </w:r>
      <w:r w:rsidR="00061AAE">
        <w:t>(</w:t>
      </w:r>
      <w:r w:rsidR="00061AAE">
        <w:rPr>
          <w:rFonts w:ascii="Gentium" w:hAnsi="Gentium" w:cs="Gentium"/>
          <w:lang w:val="en-US"/>
        </w:rPr>
        <w:t>κρατη</w:t>
      </w:r>
      <w:r w:rsidR="00061AAE">
        <w:rPr>
          <w:rFonts w:ascii="Gentium" w:hAnsi="Gentium" w:cs="Gentium"/>
        </w:rPr>
        <w:t>θέντες δὲ ὑπ᾿ αὐτῶν καὶ ἀναγκασθέντες περιτέμνεσθαι καὶ συντελεῖν εἰς τὸ ἔθνος</w:t>
      </w:r>
      <w:r w:rsidR="00061AAE">
        <w:rPr>
          <w:rStyle w:val="Rfdenotedefindepage"/>
        </w:rPr>
        <w:footnoteReference w:id="19"/>
      </w:r>
      <w:r w:rsidR="00061AAE">
        <w:rPr>
          <w:rFonts w:ascii="Gentium" w:hAnsi="Gentium" w:cs="Gentium"/>
        </w:rPr>
        <w:t xml:space="preserve"> </w:t>
      </w:r>
      <w:r w:rsidR="00061AAE">
        <w:rPr>
          <w:rFonts w:ascii="Gentium" w:hAnsi="Gentium" w:cs="Gentium"/>
          <w:lang w:val="en-US"/>
        </w:rPr>
        <w:t xml:space="preserve">καὶ τὰ αὐτὰ νόμιμα ἡγεῖσθαι ἐκλήθησαν </w:t>
      </w:r>
      <w:r w:rsidR="00061AAE">
        <w:rPr>
          <w:rFonts w:ascii="Gentium" w:hAnsi="Gentium" w:cs="Gentium"/>
        </w:rPr>
        <w:t>Ἰ</w:t>
      </w:r>
      <w:r w:rsidR="00061AAE">
        <w:rPr>
          <w:rFonts w:ascii="Gentium" w:hAnsi="Gentium" w:cs="Gentium"/>
          <w:lang w:val="en-US"/>
        </w:rPr>
        <w:t>ουδαῖοι</w:t>
      </w:r>
      <w:r>
        <w:t>)”.</w:t>
      </w:r>
      <w:r w:rsidR="00061AAE">
        <w:rPr>
          <w:rStyle w:val="Rfdenotedefindepage"/>
        </w:rPr>
        <w:footnoteReference w:id="20"/>
      </w:r>
    </w:p>
    <w:p w14:paraId="33AE1452" w14:textId="77777777" w:rsidR="009532DE" w:rsidRDefault="00735A4D" w:rsidP="00140D2A">
      <w:pPr>
        <w:tabs>
          <w:tab w:val="left" w:pos="284"/>
          <w:tab w:val="left" w:pos="567"/>
          <w:tab w:val="left" w:pos="851"/>
        </w:tabs>
        <w:spacing w:line="360" w:lineRule="exact"/>
        <w:rPr>
          <w:szCs w:val="24"/>
        </w:rPr>
      </w:pPr>
      <w:r>
        <w:rPr>
          <w:szCs w:val="24"/>
        </w:rPr>
        <w:t>The notion of “origin” (</w:t>
      </w:r>
      <w:r>
        <w:rPr>
          <w:rFonts w:ascii="Gentium" w:hAnsi="Gentium" w:cs="Gentium"/>
          <w:lang w:val="en-US"/>
        </w:rPr>
        <w:t>ἀρχη</w:t>
      </w:r>
      <w:r w:rsidR="002A4F99">
        <w:rPr>
          <w:rFonts w:ascii="Gentium" w:hAnsi="Gentium" w:cs="Gentium"/>
          <w:lang w:val="en-US"/>
        </w:rPr>
        <w:t>́</w:t>
      </w:r>
      <w:r>
        <w:rPr>
          <w:szCs w:val="24"/>
        </w:rPr>
        <w:t xml:space="preserve">) in Ptolemy’s text seems to be equivalent to that of </w:t>
      </w:r>
      <w:r w:rsidR="00D61B06">
        <w:rPr>
          <w:szCs w:val="24"/>
        </w:rPr>
        <w:t xml:space="preserve">birth, genealogy or </w:t>
      </w:r>
      <w:r>
        <w:rPr>
          <w:szCs w:val="24"/>
        </w:rPr>
        <w:t xml:space="preserve">ethnicity, </w:t>
      </w:r>
      <w:r w:rsidR="005F6D85">
        <w:rPr>
          <w:szCs w:val="24"/>
        </w:rPr>
        <w:t xml:space="preserve">if one </w:t>
      </w:r>
      <w:r w:rsidR="00612915">
        <w:rPr>
          <w:szCs w:val="24"/>
        </w:rPr>
        <w:t>understands</w:t>
      </w:r>
      <w:r w:rsidR="005F6D85">
        <w:rPr>
          <w:szCs w:val="24"/>
        </w:rPr>
        <w:t xml:space="preserve"> ethnicity </w:t>
      </w:r>
      <w:r w:rsidR="00612915">
        <w:rPr>
          <w:szCs w:val="24"/>
        </w:rPr>
        <w:t>as implying</w:t>
      </w:r>
      <w:r w:rsidR="000676CB">
        <w:rPr>
          <w:szCs w:val="24"/>
        </w:rPr>
        <w:t xml:space="preserve"> </w:t>
      </w:r>
      <w:r>
        <w:rPr>
          <w:szCs w:val="24"/>
        </w:rPr>
        <w:t xml:space="preserve">common ancestors. The Idumeans are called </w:t>
      </w:r>
      <w:r w:rsidRPr="00735A4D">
        <w:rPr>
          <w:i/>
          <w:szCs w:val="24"/>
        </w:rPr>
        <w:t>Ioudaioi</w:t>
      </w:r>
      <w:r>
        <w:rPr>
          <w:szCs w:val="24"/>
        </w:rPr>
        <w:t xml:space="preserve"> but are not ethnically</w:t>
      </w:r>
      <w:r w:rsidR="005215DD">
        <w:rPr>
          <w:szCs w:val="24"/>
        </w:rPr>
        <w:t xml:space="preserve"> or genealogically</w:t>
      </w:r>
      <w:r>
        <w:rPr>
          <w:szCs w:val="24"/>
        </w:rPr>
        <w:t xml:space="preserve"> Judean; </w:t>
      </w:r>
      <w:r w:rsidR="00612915">
        <w:rPr>
          <w:szCs w:val="24"/>
        </w:rPr>
        <w:t xml:space="preserve">to put it differently, </w:t>
      </w:r>
      <w:r>
        <w:rPr>
          <w:szCs w:val="24"/>
        </w:rPr>
        <w:t xml:space="preserve">they are not </w:t>
      </w:r>
      <w:r w:rsidRPr="00735A4D">
        <w:rPr>
          <w:i/>
          <w:szCs w:val="24"/>
        </w:rPr>
        <w:t>bene</w:t>
      </w:r>
      <w:r w:rsidR="007C1806">
        <w:rPr>
          <w:i/>
          <w:szCs w:val="24"/>
        </w:rPr>
        <w:t>y</w:t>
      </w:r>
      <w:r w:rsidRPr="00735A4D">
        <w:rPr>
          <w:i/>
          <w:szCs w:val="24"/>
        </w:rPr>
        <w:t xml:space="preserve"> Israel</w:t>
      </w:r>
      <w:r>
        <w:rPr>
          <w:szCs w:val="24"/>
        </w:rPr>
        <w:t>.</w:t>
      </w:r>
      <w:r w:rsidR="00B51111">
        <w:rPr>
          <w:szCs w:val="24"/>
        </w:rPr>
        <w:t xml:space="preserve"> Moreover, in comparison with Josephus’s account, this passage merely states that the Idumeans have been called </w:t>
      </w:r>
      <w:r w:rsidR="00B51111" w:rsidRPr="00B51111">
        <w:rPr>
          <w:i/>
          <w:szCs w:val="24"/>
        </w:rPr>
        <w:t>Ioudaioi</w:t>
      </w:r>
      <w:r w:rsidR="00B51111">
        <w:rPr>
          <w:szCs w:val="24"/>
        </w:rPr>
        <w:t xml:space="preserve">, not that they have become </w:t>
      </w:r>
      <w:r w:rsidR="00B51111" w:rsidRPr="00B51111">
        <w:rPr>
          <w:i/>
          <w:szCs w:val="24"/>
        </w:rPr>
        <w:t>Ioudaioi</w:t>
      </w:r>
      <w:r w:rsidR="00B51111">
        <w:rPr>
          <w:szCs w:val="24"/>
        </w:rPr>
        <w:t>.</w:t>
      </w:r>
    </w:p>
    <w:p w14:paraId="384E684E" w14:textId="77777777" w:rsidR="009532DE" w:rsidRDefault="00735A4D" w:rsidP="00140D2A">
      <w:pPr>
        <w:tabs>
          <w:tab w:val="left" w:pos="284"/>
          <w:tab w:val="left" w:pos="567"/>
          <w:tab w:val="left" w:pos="851"/>
        </w:tabs>
        <w:spacing w:line="360" w:lineRule="exact"/>
        <w:rPr>
          <w:szCs w:val="24"/>
        </w:rPr>
      </w:pPr>
      <w:r>
        <w:rPr>
          <w:szCs w:val="24"/>
        </w:rPr>
        <w:tab/>
      </w:r>
      <w:r w:rsidR="007E10DD">
        <w:rPr>
          <w:szCs w:val="24"/>
        </w:rPr>
        <w:t>Later on i</w:t>
      </w:r>
      <w:r w:rsidR="009532DE">
        <w:rPr>
          <w:szCs w:val="24"/>
        </w:rPr>
        <w:t xml:space="preserve">n his </w:t>
      </w:r>
      <w:r w:rsidR="009532DE" w:rsidRPr="00975359">
        <w:rPr>
          <w:i/>
          <w:szCs w:val="24"/>
        </w:rPr>
        <w:t>Jewish Antiquities</w:t>
      </w:r>
      <w:r w:rsidR="009532DE">
        <w:rPr>
          <w:szCs w:val="24"/>
        </w:rPr>
        <w:t>, Josephus repeatedly refers to the Idumeans as a distinct group within Judean society</w:t>
      </w:r>
      <w:r w:rsidR="005D2BAE">
        <w:rPr>
          <w:szCs w:val="24"/>
        </w:rPr>
        <w:t xml:space="preserve">, </w:t>
      </w:r>
      <w:r w:rsidR="00D61B06">
        <w:rPr>
          <w:szCs w:val="24"/>
        </w:rPr>
        <w:t xml:space="preserve">and even as a distinct </w:t>
      </w:r>
      <w:r w:rsidR="00D61B06" w:rsidRPr="00D61B06">
        <w:rPr>
          <w:i/>
          <w:szCs w:val="24"/>
        </w:rPr>
        <w:t>ethnos</w:t>
      </w:r>
      <w:r w:rsidR="00D61B06">
        <w:rPr>
          <w:szCs w:val="24"/>
        </w:rPr>
        <w:t xml:space="preserve"> within the Judean</w:t>
      </w:r>
      <w:r w:rsidR="005D2BAE">
        <w:rPr>
          <w:szCs w:val="24"/>
        </w:rPr>
        <w:t xml:space="preserve"> </w:t>
      </w:r>
      <w:r w:rsidR="005D2BAE" w:rsidRPr="005D2BAE">
        <w:rPr>
          <w:i/>
          <w:szCs w:val="24"/>
        </w:rPr>
        <w:t>ethnos</w:t>
      </w:r>
      <w:r w:rsidR="009532DE">
        <w:rPr>
          <w:szCs w:val="24"/>
        </w:rPr>
        <w:t xml:space="preserve">. Particularly interesting is the way he describes their participation in the Judean War against the Romans, in which they </w:t>
      </w:r>
      <w:r w:rsidR="005D2BAE">
        <w:rPr>
          <w:szCs w:val="24"/>
        </w:rPr>
        <w:t>showed</w:t>
      </w:r>
      <w:r w:rsidR="009532DE">
        <w:rPr>
          <w:szCs w:val="24"/>
        </w:rPr>
        <w:t xml:space="preserve"> a sincere devotion to the Jerusalem temple and what one co</w:t>
      </w:r>
      <w:r w:rsidR="00E761D3">
        <w:rPr>
          <w:szCs w:val="24"/>
        </w:rPr>
        <w:t xml:space="preserve">uld describe in modern terms as </w:t>
      </w:r>
      <w:r w:rsidR="009532DE">
        <w:rPr>
          <w:szCs w:val="24"/>
        </w:rPr>
        <w:t xml:space="preserve">a </w:t>
      </w:r>
      <w:r w:rsidR="00E761D3">
        <w:rPr>
          <w:szCs w:val="24"/>
        </w:rPr>
        <w:t>kind</w:t>
      </w:r>
      <w:r w:rsidR="009532DE">
        <w:rPr>
          <w:szCs w:val="24"/>
        </w:rPr>
        <w:t xml:space="preserve"> of Judean nationalism.</w:t>
      </w:r>
      <w:r w:rsidR="009532DE">
        <w:rPr>
          <w:rStyle w:val="Marquenotebasdepage"/>
          <w:szCs w:val="24"/>
        </w:rPr>
        <w:footnoteReference w:id="21"/>
      </w:r>
      <w:r w:rsidR="005D2BAE">
        <w:rPr>
          <w:szCs w:val="24"/>
        </w:rPr>
        <w:t xml:space="preserve"> This episode </w:t>
      </w:r>
      <w:r w:rsidR="00C033A0">
        <w:rPr>
          <w:szCs w:val="24"/>
        </w:rPr>
        <w:t>demonstrates</w:t>
      </w:r>
      <w:r w:rsidR="005D2BAE">
        <w:rPr>
          <w:szCs w:val="24"/>
        </w:rPr>
        <w:t xml:space="preserve"> that the</w:t>
      </w:r>
      <w:r w:rsidR="009532DE">
        <w:rPr>
          <w:szCs w:val="24"/>
        </w:rPr>
        <w:t xml:space="preserve"> Idumeans were </w:t>
      </w:r>
      <w:r w:rsidR="005D2BAE">
        <w:rPr>
          <w:szCs w:val="24"/>
        </w:rPr>
        <w:t>integrated</w:t>
      </w:r>
      <w:r w:rsidR="009532DE">
        <w:rPr>
          <w:szCs w:val="24"/>
        </w:rPr>
        <w:t xml:space="preserve"> into the Judean state</w:t>
      </w:r>
      <w:r w:rsidR="00D61B06">
        <w:rPr>
          <w:szCs w:val="24"/>
        </w:rPr>
        <w:t xml:space="preserve"> or society</w:t>
      </w:r>
      <w:r w:rsidR="009532DE">
        <w:rPr>
          <w:szCs w:val="24"/>
        </w:rPr>
        <w:t xml:space="preserve"> and did not estrange themselves from it after the end of the Hasmonean dynasty. However, as </w:t>
      </w:r>
      <w:r w:rsidR="00B51111">
        <w:rPr>
          <w:szCs w:val="24"/>
        </w:rPr>
        <w:t xml:space="preserve">Shaye </w:t>
      </w:r>
      <w:r w:rsidR="009532DE" w:rsidRPr="00975359">
        <w:rPr>
          <w:szCs w:val="24"/>
        </w:rPr>
        <w:t>Cohen</w:t>
      </w:r>
      <w:r w:rsidR="009532DE">
        <w:rPr>
          <w:szCs w:val="24"/>
        </w:rPr>
        <w:t xml:space="preserve"> emphasizes, “</w:t>
      </w:r>
      <w:r w:rsidR="009532DE" w:rsidRPr="00975359">
        <w:rPr>
          <w:szCs w:val="24"/>
        </w:rPr>
        <w:t>Josephus makes abundantly clear that the Idumeans always reta</w:t>
      </w:r>
      <w:r w:rsidR="009532DE">
        <w:rPr>
          <w:szCs w:val="24"/>
        </w:rPr>
        <w:t>ined their own ethnic identity”</w:t>
      </w:r>
      <w:r w:rsidR="009532DE" w:rsidRPr="00975359">
        <w:rPr>
          <w:szCs w:val="24"/>
        </w:rPr>
        <w:t>.</w:t>
      </w:r>
      <w:r w:rsidR="009532DE">
        <w:rPr>
          <w:rStyle w:val="Marquenotebasdepage"/>
          <w:szCs w:val="24"/>
        </w:rPr>
        <w:footnoteReference w:id="22"/>
      </w:r>
      <w:r w:rsidR="009532DE">
        <w:rPr>
          <w:szCs w:val="24"/>
        </w:rPr>
        <w:t xml:space="preserve"> </w:t>
      </w:r>
      <w:r w:rsidR="002F685C">
        <w:rPr>
          <w:szCs w:val="24"/>
        </w:rPr>
        <w:t>Th</w:t>
      </w:r>
      <w:r w:rsidR="005F7EC0">
        <w:rPr>
          <w:szCs w:val="24"/>
        </w:rPr>
        <w:t>us, th</w:t>
      </w:r>
      <w:r w:rsidR="002F685C">
        <w:rPr>
          <w:szCs w:val="24"/>
        </w:rPr>
        <w:t xml:space="preserve">e question of the extent to which the Idumeans </w:t>
      </w:r>
      <w:r w:rsidR="005F7EC0">
        <w:rPr>
          <w:szCs w:val="24"/>
        </w:rPr>
        <w:t>beca</w:t>
      </w:r>
      <w:r w:rsidR="002F685C">
        <w:rPr>
          <w:szCs w:val="24"/>
        </w:rPr>
        <w:t xml:space="preserve">me </w:t>
      </w:r>
      <w:r w:rsidR="002F685C" w:rsidRPr="002F685C">
        <w:rPr>
          <w:i/>
          <w:szCs w:val="24"/>
        </w:rPr>
        <w:t>Ioudaioi</w:t>
      </w:r>
      <w:r w:rsidR="002F685C">
        <w:rPr>
          <w:szCs w:val="24"/>
        </w:rPr>
        <w:t xml:space="preserve"> must remain open.</w:t>
      </w:r>
      <w:r w:rsidR="00441BFD">
        <w:rPr>
          <w:szCs w:val="24"/>
        </w:rPr>
        <w:t xml:space="preserve"> But in any case, so far they are not described as being Judean </w:t>
      </w:r>
      <w:r w:rsidR="00441BFD" w:rsidRPr="00441BFD">
        <w:rPr>
          <w:i/>
          <w:szCs w:val="24"/>
        </w:rPr>
        <w:t>politai</w:t>
      </w:r>
      <w:r w:rsidR="00441BFD">
        <w:rPr>
          <w:szCs w:val="24"/>
        </w:rPr>
        <w:t>.</w:t>
      </w:r>
    </w:p>
    <w:p w14:paraId="33043BFF" w14:textId="77777777" w:rsidR="00242AF7" w:rsidRDefault="00242AF7" w:rsidP="00140D2A">
      <w:pPr>
        <w:tabs>
          <w:tab w:val="left" w:pos="284"/>
          <w:tab w:val="left" w:pos="567"/>
          <w:tab w:val="left" w:pos="851"/>
        </w:tabs>
        <w:spacing w:line="360" w:lineRule="exact"/>
        <w:rPr>
          <w:szCs w:val="24"/>
        </w:rPr>
      </w:pPr>
      <w:r>
        <w:rPr>
          <w:szCs w:val="24"/>
        </w:rPr>
        <w:tab/>
        <w:t xml:space="preserve">The third testimony, that of Strabo, tells a different story than the accounts of Ptolemy and Josephus. According to Strabo, the Idumeans joined the Judeans voluntarily. </w:t>
      </w:r>
      <w:r w:rsidR="00307D11">
        <w:rPr>
          <w:szCs w:val="24"/>
        </w:rPr>
        <w:t xml:space="preserve">The issue of the coercition used by John Hyrcanus shall not detain us here. Suffice is to notice that Strabo does not present the Idumeans as Judean citizens either. </w:t>
      </w:r>
      <w:r w:rsidR="006F0F1E">
        <w:rPr>
          <w:szCs w:val="24"/>
        </w:rPr>
        <w:t>H</w:t>
      </w:r>
      <w:r w:rsidR="00307D11">
        <w:rPr>
          <w:szCs w:val="24"/>
        </w:rPr>
        <w:t xml:space="preserve">e simply </w:t>
      </w:r>
      <w:r w:rsidR="001C56CA">
        <w:rPr>
          <w:szCs w:val="24"/>
        </w:rPr>
        <w:t>states that they ha</w:t>
      </w:r>
      <w:r w:rsidR="006F0F1E">
        <w:rPr>
          <w:szCs w:val="24"/>
        </w:rPr>
        <w:t>ve joined the Judeans and share</w:t>
      </w:r>
      <w:r w:rsidR="001C56CA">
        <w:rPr>
          <w:szCs w:val="24"/>
        </w:rPr>
        <w:t xml:space="preserve"> their </w:t>
      </w:r>
      <w:r w:rsidR="002E7148">
        <w:rPr>
          <w:szCs w:val="24"/>
        </w:rPr>
        <w:t>laws</w:t>
      </w:r>
      <w:r w:rsidR="001C56CA">
        <w:rPr>
          <w:szCs w:val="24"/>
        </w:rPr>
        <w:t xml:space="preserve"> or statutes </w:t>
      </w:r>
      <w:r w:rsidR="001C56CA">
        <w:t>(</w:t>
      </w:r>
      <w:r w:rsidR="001C56CA" w:rsidRPr="00F26E93">
        <w:rPr>
          <w:rFonts w:ascii="Gentium" w:hAnsi="Gentium"/>
          <w:lang w:val="en-US"/>
        </w:rPr>
        <w:t>νόμιμα</w:t>
      </w:r>
      <w:r w:rsidR="001C56CA">
        <w:t>)</w:t>
      </w:r>
      <w:r w:rsidR="00307D11">
        <w:rPr>
          <w:szCs w:val="24"/>
        </w:rPr>
        <w:t>.</w:t>
      </w:r>
      <w:r w:rsidR="00EA50A2">
        <w:rPr>
          <w:rStyle w:val="Marquenotebasdepage"/>
          <w:szCs w:val="24"/>
        </w:rPr>
        <w:footnoteReference w:id="23"/>
      </w:r>
      <w:r w:rsidR="00582DEB">
        <w:rPr>
          <w:szCs w:val="24"/>
        </w:rPr>
        <w:t xml:space="preserve"> Strabo describes </w:t>
      </w:r>
      <w:r w:rsidR="006F0F1E">
        <w:rPr>
          <w:szCs w:val="24"/>
        </w:rPr>
        <w:t>both</w:t>
      </w:r>
      <w:r w:rsidR="00582DEB">
        <w:rPr>
          <w:szCs w:val="24"/>
        </w:rPr>
        <w:t xml:space="preserve"> groups as </w:t>
      </w:r>
      <w:r w:rsidR="00582DEB" w:rsidRPr="00582DEB">
        <w:rPr>
          <w:i/>
          <w:szCs w:val="24"/>
        </w:rPr>
        <w:t>ethnē</w:t>
      </w:r>
      <w:r w:rsidR="00582DEB">
        <w:rPr>
          <w:szCs w:val="24"/>
        </w:rPr>
        <w:t>, and</w:t>
      </w:r>
      <w:r w:rsidR="00AE027D">
        <w:rPr>
          <w:szCs w:val="24"/>
        </w:rPr>
        <w:t xml:space="preserve"> as a Greek he</w:t>
      </w:r>
      <w:r w:rsidR="00582DEB">
        <w:rPr>
          <w:szCs w:val="24"/>
        </w:rPr>
        <w:t xml:space="preserve"> is well aware that </w:t>
      </w:r>
      <w:r w:rsidR="00582DEB" w:rsidRPr="00582DEB">
        <w:rPr>
          <w:i/>
          <w:szCs w:val="24"/>
        </w:rPr>
        <w:t>ethnē</w:t>
      </w:r>
      <w:r w:rsidR="00582DEB">
        <w:rPr>
          <w:szCs w:val="24"/>
        </w:rPr>
        <w:t xml:space="preserve"> do not have civic institutions, hence no citizenship.</w:t>
      </w:r>
    </w:p>
    <w:p w14:paraId="447E804D" w14:textId="77777777" w:rsidR="00E64B24" w:rsidRDefault="00E64B24" w:rsidP="00140D2A">
      <w:pPr>
        <w:tabs>
          <w:tab w:val="left" w:pos="284"/>
          <w:tab w:val="left" w:pos="567"/>
          <w:tab w:val="left" w:pos="851"/>
        </w:tabs>
        <w:spacing w:line="360" w:lineRule="exact"/>
        <w:rPr>
          <w:szCs w:val="24"/>
        </w:rPr>
      </w:pPr>
    </w:p>
    <w:p w14:paraId="440CDB92" w14:textId="77777777" w:rsidR="00F228C5" w:rsidRDefault="008236A7" w:rsidP="00140D2A">
      <w:pPr>
        <w:tabs>
          <w:tab w:val="left" w:pos="284"/>
          <w:tab w:val="left" w:pos="567"/>
          <w:tab w:val="left" w:pos="851"/>
        </w:tabs>
        <w:spacing w:line="360" w:lineRule="exact"/>
      </w:pPr>
      <w:r>
        <w:t>There is thus no basis to the claim that the Idumeans were granted citizenship in Judea. However,</w:t>
      </w:r>
      <w:r w:rsidR="00F228C5">
        <w:t xml:space="preserve"> the fact remains that with John Hyrcanus, the Hasmonean policy</w:t>
      </w:r>
      <w:r w:rsidR="00490CD3">
        <w:t xml:space="preserve"> towards foreign enemies changed</w:t>
      </w:r>
      <w:r w:rsidR="00F228C5">
        <w:t xml:space="preserve">, at least in the case of the Idumeans. They </w:t>
      </w:r>
      <w:r w:rsidR="00490CD3">
        <w:t>were</w:t>
      </w:r>
      <w:r w:rsidR="00F228C5">
        <w:t xml:space="preserve"> not expelled (as Simon did with the inhabitants of Joppa</w:t>
      </w:r>
      <w:r>
        <w:t xml:space="preserve"> for instance</w:t>
      </w:r>
      <w:r w:rsidR="00F228C5">
        <w:t xml:space="preserve">), nor </w:t>
      </w:r>
      <w:r w:rsidR="00490CD3">
        <w:t xml:space="preserve">were they </w:t>
      </w:r>
      <w:r w:rsidR="00F228C5">
        <w:t>sold into slavery or massacred (</w:t>
      </w:r>
      <w:r w:rsidR="00856D56">
        <w:t xml:space="preserve">of these </w:t>
      </w:r>
      <w:r w:rsidR="00F228C5">
        <w:t>two alternative scenarios</w:t>
      </w:r>
      <w:r w:rsidR="00856D56">
        <w:t>, only</w:t>
      </w:r>
      <w:r w:rsidR="00F228C5">
        <w:t xml:space="preserve"> </w:t>
      </w:r>
      <w:r w:rsidR="00856D56">
        <w:t>the second is</w:t>
      </w:r>
      <w:r w:rsidR="00F228C5">
        <w:t xml:space="preserve"> clearly attested in the Books of the Maccabees, </w:t>
      </w:r>
      <w:r w:rsidR="00856D56">
        <w:t>especially</w:t>
      </w:r>
      <w:r w:rsidR="00F228C5">
        <w:t xml:space="preserve"> when Judeans </w:t>
      </w:r>
      <w:r w:rsidR="008A09A2">
        <w:t>are</w:t>
      </w:r>
      <w:r w:rsidR="00F228C5">
        <w:t xml:space="preserve"> attacked).</w:t>
      </w:r>
      <w:r w:rsidR="00490CD3">
        <w:rPr>
          <w:rStyle w:val="Marquenotebasdepage"/>
        </w:rPr>
        <w:footnoteReference w:id="24"/>
      </w:r>
      <w:r w:rsidR="00F228C5">
        <w:t xml:space="preserve"> The idea that former enemies could be integrated into the Judean state seems new, and </w:t>
      </w:r>
      <w:r w:rsidR="00E55A5A">
        <w:t xml:space="preserve">it is </w:t>
      </w:r>
      <w:r>
        <w:t>in this respect</w:t>
      </w:r>
      <w:r w:rsidR="00E55A5A">
        <w:t xml:space="preserve"> that </w:t>
      </w:r>
      <w:r w:rsidR="00F228C5">
        <w:t xml:space="preserve">the question of a possible influence of </w:t>
      </w:r>
      <w:r w:rsidR="00E55A5A">
        <w:t xml:space="preserve">the </w:t>
      </w:r>
      <w:r w:rsidR="00F228C5">
        <w:t>Roman policy upon the Hasmonean dynast deserves some consideration.</w:t>
      </w:r>
    </w:p>
    <w:p w14:paraId="3C504276" w14:textId="77777777" w:rsidR="00F228C5" w:rsidRDefault="00F228C5" w:rsidP="00140D2A">
      <w:pPr>
        <w:tabs>
          <w:tab w:val="left" w:pos="284"/>
          <w:tab w:val="left" w:pos="567"/>
          <w:tab w:val="left" w:pos="851"/>
        </w:tabs>
        <w:spacing w:line="360" w:lineRule="exact"/>
        <w:rPr>
          <w:szCs w:val="24"/>
        </w:rPr>
      </w:pPr>
    </w:p>
    <w:p w14:paraId="6E127B36" w14:textId="77777777" w:rsidR="00E64B24" w:rsidRDefault="00E64B24" w:rsidP="00140D2A">
      <w:pPr>
        <w:tabs>
          <w:tab w:val="left" w:pos="284"/>
          <w:tab w:val="left" w:pos="567"/>
          <w:tab w:val="left" w:pos="851"/>
        </w:tabs>
        <w:spacing w:line="360" w:lineRule="exact"/>
        <w:rPr>
          <w:szCs w:val="24"/>
        </w:rPr>
      </w:pPr>
    </w:p>
    <w:p w14:paraId="560DB85B" w14:textId="77777777" w:rsidR="009532DE" w:rsidRDefault="00E64B24" w:rsidP="00E64B24">
      <w:pPr>
        <w:tabs>
          <w:tab w:val="left" w:pos="284"/>
          <w:tab w:val="left" w:pos="567"/>
          <w:tab w:val="left" w:pos="851"/>
        </w:tabs>
        <w:spacing w:line="360" w:lineRule="exact"/>
      </w:pPr>
      <w:r>
        <w:rPr>
          <w:szCs w:val="24"/>
        </w:rPr>
        <w:tab/>
      </w:r>
      <w:r w:rsidR="009532DE">
        <w:t xml:space="preserve"> </w:t>
      </w:r>
      <w:r>
        <w:t>1.2 Roman and Hasmonean policies</w:t>
      </w:r>
    </w:p>
    <w:p w14:paraId="67667112" w14:textId="77777777" w:rsidR="00E64B24" w:rsidRDefault="00E64B24" w:rsidP="00E64B24">
      <w:pPr>
        <w:tabs>
          <w:tab w:val="left" w:pos="284"/>
          <w:tab w:val="left" w:pos="567"/>
          <w:tab w:val="left" w:pos="851"/>
        </w:tabs>
        <w:spacing w:line="360" w:lineRule="exact"/>
      </w:pPr>
    </w:p>
    <w:p w14:paraId="600C9C99" w14:textId="77777777" w:rsidR="00490CD3" w:rsidRDefault="00BB0262" w:rsidP="00140D2A">
      <w:pPr>
        <w:tabs>
          <w:tab w:val="left" w:pos="284"/>
          <w:tab w:val="left" w:pos="567"/>
          <w:tab w:val="left" w:pos="851"/>
        </w:tabs>
        <w:spacing w:line="360" w:lineRule="exact"/>
      </w:pPr>
      <w:r>
        <w:t>I</w:t>
      </w:r>
      <w:r w:rsidR="00920BA4">
        <w:t>n an article published in 1978 and entitled “Rome and Maccabe</w:t>
      </w:r>
      <w:r w:rsidR="00795F29">
        <w:t>an Conversions: Notes on 1 Macc. </w:t>
      </w:r>
      <w:r w:rsidR="00011F94">
        <w:t>8</w:t>
      </w:r>
      <w:r>
        <w:t>,</w:t>
      </w:r>
      <w:r w:rsidR="00920BA4">
        <w:t>”</w:t>
      </w:r>
      <w:r>
        <w:t xml:space="preserve"> Morton Smith initially explained the judaization of the Idumeans as an influence of Roman policy upon the Hasmonean dynasty</w:t>
      </w:r>
      <w:r w:rsidR="00011F94">
        <w:t>.</w:t>
      </w:r>
      <w:r w:rsidR="00920BA4">
        <w:t xml:space="preserve"> </w:t>
      </w:r>
      <w:r w:rsidR="00011F94">
        <w:t xml:space="preserve">According to </w:t>
      </w:r>
      <w:r w:rsidR="00AD145E">
        <w:t>Smith</w:t>
      </w:r>
      <w:r w:rsidR="00011F94">
        <w:t>,</w:t>
      </w:r>
      <w:r w:rsidR="00AD145E">
        <w:t xml:space="preserve"> </w:t>
      </w:r>
      <w:r w:rsidR="00920BA4">
        <w:t xml:space="preserve">the Hasmoneans </w:t>
      </w:r>
      <w:r w:rsidR="00795F29">
        <w:t xml:space="preserve">had </w:t>
      </w:r>
      <w:r w:rsidR="00920BA4">
        <w:t xml:space="preserve">adopted an “imperialistic” policy towards their neighbours </w:t>
      </w:r>
      <w:r w:rsidR="004F005C">
        <w:t>which</w:t>
      </w:r>
      <w:r w:rsidR="00920BA4">
        <w:t xml:space="preserve"> </w:t>
      </w:r>
      <w:r w:rsidR="004F005C">
        <w:t>imitated</w:t>
      </w:r>
      <w:r w:rsidR="00011F94">
        <w:t xml:space="preserve"> </w:t>
      </w:r>
      <w:r w:rsidR="004F005C">
        <w:t>that of Rome</w:t>
      </w:r>
      <w:r w:rsidR="00011F94">
        <w:t>,</w:t>
      </w:r>
      <w:r w:rsidR="00795F29">
        <w:t xml:space="preserve"> </w:t>
      </w:r>
      <w:r w:rsidR="00011F94">
        <w:t>and</w:t>
      </w:r>
      <w:r w:rsidR="00795F29">
        <w:t xml:space="preserve"> t</w:t>
      </w:r>
      <w:r w:rsidR="00920BA4">
        <w:t xml:space="preserve">he fact that the Hasmoneans offered </w:t>
      </w:r>
      <w:r w:rsidR="00501FCA">
        <w:t xml:space="preserve">their defeated enemies </w:t>
      </w:r>
      <w:r w:rsidR="00920BA4">
        <w:t>an alliance and a part</w:t>
      </w:r>
      <w:r w:rsidR="00501FCA">
        <w:t xml:space="preserve">icipation in </w:t>
      </w:r>
      <w:r w:rsidR="00A24E69">
        <w:t xml:space="preserve">the </w:t>
      </w:r>
      <w:r w:rsidR="00501FCA">
        <w:t xml:space="preserve">Judean </w:t>
      </w:r>
      <w:r w:rsidR="00A24E69">
        <w:t>state</w:t>
      </w:r>
      <w:r w:rsidR="00920BA4">
        <w:t xml:space="preserve"> </w:t>
      </w:r>
      <w:r w:rsidR="00D23DC8">
        <w:t>had to be understood in light of</w:t>
      </w:r>
      <w:r w:rsidR="00920BA4">
        <w:t xml:space="preserve"> the Roman policy of granting citizenship to Rome’</w:t>
      </w:r>
      <w:r w:rsidR="00725D0D">
        <w:t>s former enemies</w:t>
      </w:r>
      <w:r w:rsidR="004658BC">
        <w:t>, who became Roman</w:t>
      </w:r>
      <w:r w:rsidR="004D17A6">
        <w:t xml:space="preserve"> allies</w:t>
      </w:r>
      <w:r w:rsidR="00725D0D">
        <w:t>.</w:t>
      </w:r>
      <w:r w:rsidR="00AD145E">
        <w:rPr>
          <w:rStyle w:val="Marquenotebasdepage"/>
        </w:rPr>
        <w:footnoteReference w:id="25"/>
      </w:r>
      <w:r w:rsidR="00725D0D">
        <w:t xml:space="preserve"> </w:t>
      </w:r>
    </w:p>
    <w:p w14:paraId="5EE08A59" w14:textId="77777777" w:rsidR="001977A5" w:rsidRDefault="00490CD3" w:rsidP="00140D2A">
      <w:pPr>
        <w:tabs>
          <w:tab w:val="left" w:pos="284"/>
          <w:tab w:val="left" w:pos="567"/>
          <w:tab w:val="left" w:pos="851"/>
        </w:tabs>
        <w:spacing w:line="360" w:lineRule="exact"/>
      </w:pPr>
      <w:r>
        <w:tab/>
      </w:r>
      <w:r w:rsidR="00DB1AC0">
        <w:t>L</w:t>
      </w:r>
      <w:r w:rsidR="00725D0D">
        <w:t xml:space="preserve">ater </w:t>
      </w:r>
      <w:r w:rsidR="00DB1AC0">
        <w:t>on</w:t>
      </w:r>
      <w:r w:rsidR="00725D0D">
        <w:t>, however, Smith distance</w:t>
      </w:r>
      <w:r w:rsidR="004D17A6">
        <w:t>d himself from this explanation</w:t>
      </w:r>
      <w:r w:rsidR="00053D96">
        <w:t>.</w:t>
      </w:r>
      <w:r w:rsidR="004D17A6">
        <w:rPr>
          <w:rStyle w:val="Marquenotebasdepage"/>
        </w:rPr>
        <w:footnoteReference w:id="26"/>
      </w:r>
      <w:r w:rsidR="00053D96">
        <w:t xml:space="preserve"> </w:t>
      </w:r>
      <w:r w:rsidR="006E3951">
        <w:t xml:space="preserve">In his article for </w:t>
      </w:r>
      <w:r w:rsidR="00B25F8D">
        <w:t xml:space="preserve">the third volume of </w:t>
      </w:r>
      <w:r w:rsidR="00B25F8D" w:rsidRPr="00444803">
        <w:rPr>
          <w:i/>
          <w:lang w:eastAsia="ja-JP"/>
        </w:rPr>
        <w:t>The Cambridge History of Judaism</w:t>
      </w:r>
      <w:r w:rsidR="00F66A37">
        <w:rPr>
          <w:lang w:eastAsia="ja-JP"/>
        </w:rPr>
        <w:t>, “</w:t>
      </w:r>
      <w:r w:rsidR="00B25F8D">
        <w:rPr>
          <w:lang w:eastAsia="ja-JP"/>
        </w:rPr>
        <w:t xml:space="preserve">The Gentiles in Judaism, 125 BCE – </w:t>
      </w:r>
      <w:r w:rsidR="00B25F8D" w:rsidRPr="00444803">
        <w:rPr>
          <w:lang w:eastAsia="ja-JP"/>
        </w:rPr>
        <w:t>CE 66</w:t>
      </w:r>
      <w:r w:rsidR="00B25F8D">
        <w:rPr>
          <w:lang w:eastAsia="ja-JP"/>
        </w:rPr>
        <w:t>,</w:t>
      </w:r>
      <w:r w:rsidR="00F66A37">
        <w:rPr>
          <w:lang w:eastAsia="ja-JP"/>
        </w:rPr>
        <w:t>”</w:t>
      </w:r>
      <w:r w:rsidR="00B25F8D">
        <w:rPr>
          <w:lang w:eastAsia="ja-JP"/>
        </w:rPr>
        <w:t xml:space="preserve"> </w:t>
      </w:r>
      <w:r w:rsidR="00DB1AC0">
        <w:rPr>
          <w:lang w:eastAsia="ja-JP"/>
        </w:rPr>
        <w:t>first published in</w:t>
      </w:r>
      <w:r w:rsidR="003C31F0">
        <w:rPr>
          <w:lang w:eastAsia="ja-JP"/>
        </w:rPr>
        <w:t xml:space="preserve"> a posthumous volume in</w:t>
      </w:r>
      <w:r w:rsidR="00DB1AC0">
        <w:rPr>
          <w:lang w:eastAsia="ja-JP"/>
        </w:rPr>
        <w:t xml:space="preserve"> 1996,</w:t>
      </w:r>
      <w:r w:rsidR="00DB1AC0">
        <w:rPr>
          <w:rStyle w:val="Marquenotebasdepage"/>
          <w:lang w:eastAsia="ja-JP"/>
        </w:rPr>
        <w:footnoteReference w:id="27"/>
      </w:r>
      <w:r w:rsidR="00DB1AC0">
        <w:rPr>
          <w:lang w:eastAsia="ja-JP"/>
        </w:rPr>
        <w:t xml:space="preserve"> </w:t>
      </w:r>
      <w:r w:rsidR="00B25F8D">
        <w:rPr>
          <w:lang w:eastAsia="ja-JP"/>
        </w:rPr>
        <w:t xml:space="preserve">Smith </w:t>
      </w:r>
      <w:r w:rsidR="00E34062">
        <w:rPr>
          <w:lang w:eastAsia="ja-JP"/>
        </w:rPr>
        <w:t xml:space="preserve">does not </w:t>
      </w:r>
      <w:r w:rsidR="00E7572F">
        <w:rPr>
          <w:lang w:eastAsia="ja-JP"/>
        </w:rPr>
        <w:t>refer to the Roman model</w:t>
      </w:r>
      <w:r w:rsidR="00E34062">
        <w:rPr>
          <w:lang w:eastAsia="ja-JP"/>
        </w:rPr>
        <w:t xml:space="preserve"> any more,</w:t>
      </w:r>
      <w:r w:rsidR="00E7572F">
        <w:rPr>
          <w:rStyle w:val="Marquenotebasdepage"/>
          <w:lang w:eastAsia="ja-JP"/>
        </w:rPr>
        <w:footnoteReference w:id="28"/>
      </w:r>
      <w:r w:rsidR="00E34062">
        <w:rPr>
          <w:lang w:eastAsia="ja-JP"/>
        </w:rPr>
        <w:t xml:space="preserve"> and interprets </w:t>
      </w:r>
      <w:r w:rsidR="006250A7">
        <w:rPr>
          <w:lang w:eastAsia="ja-JP"/>
        </w:rPr>
        <w:t>the judaization of the Samarita</w:t>
      </w:r>
      <w:r w:rsidR="00E34062">
        <w:rPr>
          <w:lang w:eastAsia="ja-JP"/>
        </w:rPr>
        <w:t>ns, the Idumeans, the Itureans and the Galileans as a political and military alliance based on a common hostility toward the Seleucids</w:t>
      </w:r>
      <w:r w:rsidR="006F4A5C">
        <w:rPr>
          <w:lang w:eastAsia="ja-JP"/>
        </w:rPr>
        <w:t xml:space="preserve"> (and, for some of </w:t>
      </w:r>
      <w:r w:rsidR="006A447B">
        <w:rPr>
          <w:lang w:eastAsia="ja-JP"/>
        </w:rPr>
        <w:t>these groups</w:t>
      </w:r>
      <w:r w:rsidR="006F4A5C">
        <w:rPr>
          <w:lang w:eastAsia="ja-JP"/>
        </w:rPr>
        <w:t>, on a common rivalry with the Nabateans)</w:t>
      </w:r>
      <w:r w:rsidR="0012439E">
        <w:rPr>
          <w:lang w:eastAsia="ja-JP"/>
        </w:rPr>
        <w:t>.</w:t>
      </w:r>
      <w:r w:rsidR="0012439E">
        <w:rPr>
          <w:rStyle w:val="Marquenotebasdepage"/>
          <w:lang w:eastAsia="ja-JP"/>
        </w:rPr>
        <w:footnoteReference w:id="29"/>
      </w:r>
      <w:r w:rsidR="001C4D01">
        <w:rPr>
          <w:lang w:eastAsia="ja-JP"/>
        </w:rPr>
        <w:t xml:space="preserve"> As a consequence, Smith argues, the term </w:t>
      </w:r>
      <w:r w:rsidR="00AD145E" w:rsidRPr="00D6195C">
        <w:rPr>
          <w:i/>
        </w:rPr>
        <w:t>Ioudaios</w:t>
      </w:r>
      <w:r w:rsidR="00AD145E">
        <w:t xml:space="preserve"> </w:t>
      </w:r>
      <w:r w:rsidR="00727209">
        <w:t>came</w:t>
      </w:r>
      <w:r w:rsidR="0075122E">
        <w:t xml:space="preserve"> to designate</w:t>
      </w:r>
      <w:r w:rsidR="00AD145E">
        <w:t xml:space="preserve"> </w:t>
      </w:r>
      <w:r w:rsidR="0075122E">
        <w:t>“</w:t>
      </w:r>
      <w:r w:rsidR="00AD145E" w:rsidRPr="00D6195C">
        <w:t>a member of the Judaeo-Samaritan-Iduma</w:t>
      </w:r>
      <w:r w:rsidR="0075122E">
        <w:t>ean-Ituraean-Galilean alliance</w:t>
      </w:r>
      <w:r w:rsidR="00BB0262">
        <w:t>.”</w:t>
      </w:r>
      <w:r w:rsidR="00AD145E">
        <w:t xml:space="preserve"> Smith</w:t>
      </w:r>
      <w:r w:rsidR="0075122E">
        <w:t xml:space="preserve"> goes </w:t>
      </w:r>
      <w:r w:rsidR="000315C6">
        <w:t>as</w:t>
      </w:r>
      <w:r w:rsidR="0075122E">
        <w:t xml:space="preserve"> far as to suppose that the expression</w:t>
      </w:r>
      <w:r w:rsidR="00AD145E">
        <w:t xml:space="preserve"> </w:t>
      </w:r>
      <w:r w:rsidR="00AD145E" w:rsidRPr="0027673B">
        <w:rPr>
          <w:rFonts w:ascii="Times" w:hAnsi="Times" w:cs="TimesNewRomanPSMT"/>
          <w:i/>
          <w:color w:val="000000"/>
          <w:lang w:bidi="fr-FR"/>
        </w:rPr>
        <w:t>ḥ</w:t>
      </w:r>
      <w:r w:rsidR="00AD145E" w:rsidRPr="00C32592">
        <w:rPr>
          <w:i/>
        </w:rPr>
        <w:t>ever ha-Yehudim</w:t>
      </w:r>
      <w:r w:rsidR="00AD145E">
        <w:t xml:space="preserve"> </w:t>
      </w:r>
      <w:r w:rsidR="0075122E">
        <w:t xml:space="preserve">on </w:t>
      </w:r>
      <w:r w:rsidR="00A55637">
        <w:t xml:space="preserve">some </w:t>
      </w:r>
      <w:r w:rsidR="001170D3">
        <w:t xml:space="preserve">of </w:t>
      </w:r>
      <w:r w:rsidR="006A447B">
        <w:t>the coins of Alexander Jannaeus</w:t>
      </w:r>
      <w:r w:rsidR="001170D3">
        <w:t xml:space="preserve"> </w:t>
      </w:r>
      <w:r w:rsidR="00727209">
        <w:t>actually referred</w:t>
      </w:r>
      <w:r w:rsidR="0075122E">
        <w:t xml:space="preserve"> to the members of this league.</w:t>
      </w:r>
      <w:r w:rsidR="00AD145E">
        <w:rPr>
          <w:rStyle w:val="Marquenotebasdepage"/>
        </w:rPr>
        <w:footnoteReference w:id="30"/>
      </w:r>
      <w:r w:rsidR="00666CBA">
        <w:t xml:space="preserve"> </w:t>
      </w:r>
      <w:r w:rsidR="00B07F0E">
        <w:t xml:space="preserve">The model </w:t>
      </w:r>
      <w:r w:rsidR="00467249">
        <w:t>Smith has in mind</w:t>
      </w:r>
      <w:r w:rsidR="00B07F0E">
        <w:t xml:space="preserve"> </w:t>
      </w:r>
      <w:r w:rsidR="00467249">
        <w:t>is that of</w:t>
      </w:r>
      <w:r w:rsidR="00B07F0E">
        <w:t xml:space="preserve"> an</w:t>
      </w:r>
      <w:r w:rsidR="00012E2F">
        <w:t xml:space="preserve"> </w:t>
      </w:r>
      <w:r w:rsidR="00B07F0E">
        <w:t>“</w:t>
      </w:r>
      <w:r w:rsidR="00012E2F">
        <w:t>ethnic-religious-military league</w:t>
      </w:r>
      <w:r w:rsidR="00BB0262">
        <w:t>.”</w:t>
      </w:r>
      <w:r w:rsidR="00B07F0E">
        <w:t xml:space="preserve"> Such leagues, he argues, “</w:t>
      </w:r>
      <w:r w:rsidR="00012E2F">
        <w:t xml:space="preserve">had been common in Hellenistic history. In particular the formation, growth and destruction by Rome of the Aetolian League furnish many parallels to the history of the </w:t>
      </w:r>
      <w:r w:rsidR="00012E2F" w:rsidRPr="00012E2F">
        <w:rPr>
          <w:i/>
        </w:rPr>
        <w:t>Ioudaioi</w:t>
      </w:r>
      <w:r w:rsidR="00BB0262">
        <w:t>.</w:t>
      </w:r>
      <w:r w:rsidR="00012E2F">
        <w:t>”</w:t>
      </w:r>
      <w:r w:rsidR="00B07F0E">
        <w:rPr>
          <w:rStyle w:val="Marquenotebasdepage"/>
        </w:rPr>
        <w:footnoteReference w:id="31"/>
      </w:r>
      <w:r w:rsidR="004F5FF4">
        <w:t xml:space="preserve"> </w:t>
      </w:r>
    </w:p>
    <w:p w14:paraId="67286055" w14:textId="77777777" w:rsidR="00A160CD" w:rsidRDefault="001977A5" w:rsidP="00140D2A">
      <w:pPr>
        <w:tabs>
          <w:tab w:val="left" w:pos="284"/>
          <w:tab w:val="left" w:pos="567"/>
          <w:tab w:val="left" w:pos="851"/>
        </w:tabs>
        <w:spacing w:line="360" w:lineRule="exact"/>
      </w:pPr>
      <w:r>
        <w:tab/>
        <w:t>Although</w:t>
      </w:r>
      <w:r w:rsidR="006A447B">
        <w:t xml:space="preserve"> </w:t>
      </w:r>
      <w:r>
        <w:t>Smith abandoned his</w:t>
      </w:r>
      <w:r w:rsidR="006A447B">
        <w:t xml:space="preserve"> </w:t>
      </w:r>
      <w:r w:rsidR="004F5FF4">
        <w:t xml:space="preserve">initial idea concerning </w:t>
      </w:r>
      <w:r w:rsidR="000939AC">
        <w:t>the influence of the Roman model upon the Hasmoneans</w:t>
      </w:r>
      <w:r>
        <w:t>, this idea</w:t>
      </w:r>
      <w:r w:rsidR="006A447B">
        <w:t xml:space="preserve"> </w:t>
      </w:r>
      <w:r w:rsidR="005E3F88">
        <w:t>has continued</w:t>
      </w:r>
      <w:r w:rsidR="006A447B">
        <w:t xml:space="preserve"> to have an impact</w:t>
      </w:r>
      <w:r w:rsidR="000939AC">
        <w:t>.</w:t>
      </w:r>
      <w:r w:rsidR="005E3F88">
        <w:t xml:space="preserve"> </w:t>
      </w:r>
      <w:r w:rsidR="00FB5406">
        <w:t>Building upon Smith’s original suggestion</w:t>
      </w:r>
      <w:r w:rsidR="001C4D01">
        <w:t>, Martin Goodman wrote</w:t>
      </w:r>
      <w:r w:rsidR="00FB5406">
        <w:t xml:space="preserve"> in his book </w:t>
      </w:r>
      <w:r w:rsidR="00FB5406">
        <w:rPr>
          <w:i/>
        </w:rPr>
        <w:t>Mission and Conversion</w:t>
      </w:r>
      <w:r w:rsidR="00FB5406">
        <w:t xml:space="preserve">: </w:t>
      </w:r>
    </w:p>
    <w:p w14:paraId="13047B37" w14:textId="77777777" w:rsidR="00A160CD" w:rsidRDefault="00FB5406" w:rsidP="00140D2A">
      <w:pPr>
        <w:tabs>
          <w:tab w:val="left" w:pos="284"/>
          <w:tab w:val="left" w:pos="567"/>
          <w:tab w:val="left" w:pos="851"/>
        </w:tabs>
        <w:spacing w:line="360" w:lineRule="exact"/>
        <w:ind w:left="284"/>
      </w:pPr>
      <w:r>
        <w:t xml:space="preserve">“(…) </w:t>
      </w:r>
      <w:r w:rsidRPr="00CE215F">
        <w:t>the notion, at least in theory, of an indefinite expansion of citizenship in this way was found in the ancient world only among Jews and Romans and, since the latter had found it strikingly advantageous in the centuries immediately preceding the Hasmonean dynasty, it would not be at all surprising if the Jewish monarchs, who were eager to maintain contact with the R</w:t>
      </w:r>
      <w:r>
        <w:t>omans, followed suit</w:t>
      </w:r>
      <w:r w:rsidR="001365E6">
        <w:t>.</w:t>
      </w:r>
      <w:r>
        <w:t>”</w:t>
      </w:r>
      <w:r>
        <w:rPr>
          <w:rStyle w:val="Marquenotebasdepage"/>
        </w:rPr>
        <w:footnoteReference w:id="32"/>
      </w:r>
    </w:p>
    <w:p w14:paraId="2DF7BAC2" w14:textId="77777777" w:rsidR="002A4D92" w:rsidRDefault="009F700E" w:rsidP="00140D2A">
      <w:pPr>
        <w:pStyle w:val="Notedebasdepage"/>
        <w:tabs>
          <w:tab w:val="left" w:pos="284"/>
          <w:tab w:val="left" w:pos="567"/>
          <w:tab w:val="left" w:pos="851"/>
        </w:tabs>
        <w:spacing w:line="360" w:lineRule="exact"/>
        <w:rPr>
          <w:sz w:val="24"/>
          <w:szCs w:val="24"/>
        </w:rPr>
      </w:pPr>
      <w:r>
        <w:rPr>
          <w:sz w:val="24"/>
          <w:szCs w:val="24"/>
          <w:lang w:val="en-US"/>
        </w:rPr>
        <w:t xml:space="preserve">In </w:t>
      </w:r>
      <w:r w:rsidRPr="00D03026">
        <w:rPr>
          <w:i/>
          <w:sz w:val="24"/>
          <w:szCs w:val="24"/>
          <w:lang w:val="en-US" w:bidi="fr-FR"/>
        </w:rPr>
        <w:t>Imperialism and Jewish Society</w:t>
      </w:r>
      <w:r>
        <w:rPr>
          <w:sz w:val="24"/>
          <w:szCs w:val="24"/>
        </w:rPr>
        <w:t xml:space="preserve">, </w:t>
      </w:r>
      <w:r w:rsidR="00D03026" w:rsidRPr="00D03026">
        <w:rPr>
          <w:sz w:val="24"/>
          <w:szCs w:val="24"/>
          <w:lang w:val="en-US"/>
        </w:rPr>
        <w:t xml:space="preserve">Seth </w:t>
      </w:r>
      <w:r w:rsidR="00D03026" w:rsidRPr="00D03026">
        <w:rPr>
          <w:smallCaps/>
          <w:sz w:val="24"/>
          <w:szCs w:val="24"/>
          <w:lang w:val="en-US"/>
        </w:rPr>
        <w:t>S</w:t>
      </w:r>
      <w:r w:rsidR="00D03026" w:rsidRPr="00D03026">
        <w:rPr>
          <w:sz w:val="24"/>
          <w:szCs w:val="24"/>
          <w:lang w:val="en-US"/>
        </w:rPr>
        <w:t>chwartz</w:t>
      </w:r>
      <w:r w:rsidR="00D03026">
        <w:rPr>
          <w:sz w:val="24"/>
          <w:szCs w:val="24"/>
          <w:lang w:val="en-US"/>
        </w:rPr>
        <w:t xml:space="preserve"> is also directly inspired by Morton Smith’s theory when</w:t>
      </w:r>
      <w:r>
        <w:rPr>
          <w:sz w:val="24"/>
          <w:szCs w:val="24"/>
          <w:lang w:val="en-US"/>
        </w:rPr>
        <w:t xml:space="preserve"> </w:t>
      </w:r>
      <w:r w:rsidR="009B0FFE">
        <w:rPr>
          <w:sz w:val="24"/>
          <w:szCs w:val="24"/>
          <w:lang w:val="en-US"/>
        </w:rPr>
        <w:t>he writes</w:t>
      </w:r>
      <w:r w:rsidR="002A4D92">
        <w:rPr>
          <w:sz w:val="24"/>
          <w:szCs w:val="24"/>
        </w:rPr>
        <w:t xml:space="preserve"> that</w:t>
      </w:r>
      <w:r w:rsidR="00D03026" w:rsidRPr="00D03026">
        <w:rPr>
          <w:sz w:val="24"/>
          <w:szCs w:val="24"/>
        </w:rPr>
        <w:t xml:space="preserve">: </w:t>
      </w:r>
    </w:p>
    <w:p w14:paraId="13C46CC9" w14:textId="77777777" w:rsidR="002A4D92" w:rsidRDefault="002A4D92" w:rsidP="00140D2A">
      <w:pPr>
        <w:pStyle w:val="Notedebasdepage"/>
        <w:tabs>
          <w:tab w:val="left" w:pos="284"/>
          <w:tab w:val="left" w:pos="567"/>
          <w:tab w:val="left" w:pos="851"/>
        </w:tabs>
        <w:spacing w:line="360" w:lineRule="exact"/>
        <w:ind w:left="284"/>
        <w:rPr>
          <w:sz w:val="24"/>
          <w:szCs w:val="24"/>
        </w:rPr>
      </w:pPr>
      <w:r>
        <w:rPr>
          <w:sz w:val="24"/>
          <w:szCs w:val="24"/>
        </w:rPr>
        <w:t>“</w:t>
      </w:r>
      <w:r w:rsidR="00D03026" w:rsidRPr="00D03026">
        <w:rPr>
          <w:sz w:val="24"/>
          <w:szCs w:val="24"/>
        </w:rPr>
        <w:t xml:space="preserve">When they imposed Judaism on their subjects, the Hasmoneans </w:t>
      </w:r>
      <w:r w:rsidR="000F158E">
        <w:rPr>
          <w:sz w:val="24"/>
          <w:szCs w:val="24"/>
        </w:rPr>
        <w:t>(…)</w:t>
      </w:r>
      <w:r w:rsidR="00D03026" w:rsidRPr="00D03026">
        <w:rPr>
          <w:sz w:val="24"/>
          <w:szCs w:val="24"/>
        </w:rPr>
        <w:t xml:space="preserve"> may have been inspired by the example of their allies and friends the Romans, who had for centuries been successfully expanding their territory by combining exceptionally violent military activity with judicious grants of Roman citizenship to som</w:t>
      </w:r>
      <w:r>
        <w:rPr>
          <w:sz w:val="24"/>
          <w:szCs w:val="24"/>
        </w:rPr>
        <w:t>e of the people they conquered</w:t>
      </w:r>
      <w:r w:rsidR="00BB0262">
        <w:rPr>
          <w:sz w:val="24"/>
          <w:szCs w:val="24"/>
        </w:rPr>
        <w:t>.</w:t>
      </w:r>
      <w:r>
        <w:rPr>
          <w:sz w:val="24"/>
          <w:szCs w:val="24"/>
        </w:rPr>
        <w:t>”</w:t>
      </w:r>
      <w:r>
        <w:rPr>
          <w:rStyle w:val="Marquenotebasdepage"/>
          <w:sz w:val="24"/>
          <w:szCs w:val="24"/>
        </w:rPr>
        <w:footnoteReference w:id="33"/>
      </w:r>
      <w:r w:rsidR="00D03026" w:rsidRPr="00D03026">
        <w:rPr>
          <w:sz w:val="24"/>
          <w:szCs w:val="24"/>
        </w:rPr>
        <w:t xml:space="preserve"> </w:t>
      </w:r>
    </w:p>
    <w:p w14:paraId="718E195B" w14:textId="77777777" w:rsidR="00C64B91" w:rsidRDefault="00EF3AC2" w:rsidP="00140D2A">
      <w:pPr>
        <w:pStyle w:val="Notedebasdepage"/>
        <w:tabs>
          <w:tab w:val="left" w:pos="284"/>
          <w:tab w:val="left" w:pos="567"/>
          <w:tab w:val="left" w:pos="851"/>
        </w:tabs>
        <w:spacing w:line="360" w:lineRule="exact"/>
        <w:rPr>
          <w:sz w:val="24"/>
          <w:szCs w:val="24"/>
        </w:rPr>
      </w:pPr>
      <w:r>
        <w:rPr>
          <w:rFonts w:cs="ElecLH12-BoldCursive"/>
          <w:sz w:val="24"/>
          <w:szCs w:val="24"/>
          <w:lang w:val="en-US" w:bidi="fr-FR"/>
        </w:rPr>
        <w:t xml:space="preserve">Seth Schwartz also </w:t>
      </w:r>
      <w:r>
        <w:rPr>
          <w:rFonts w:ascii="ElecLH12-Regular" w:eastAsia="Times New Roman" w:hAnsi="ElecLH12-Regular" w:cs="ElecLH12-Regular"/>
          <w:sz w:val="24"/>
          <w:szCs w:val="24"/>
          <w:lang w:val="en-US" w:bidi="fr-FR"/>
        </w:rPr>
        <w:t>suggests</w:t>
      </w:r>
      <w:r w:rsidR="00D03026" w:rsidRPr="00D03026">
        <w:rPr>
          <w:rFonts w:ascii="ElecLH12-Regular" w:eastAsia="Times New Roman" w:hAnsi="ElecLH12-Regular" w:cs="ElecLH12-Regular"/>
          <w:sz w:val="24"/>
          <w:szCs w:val="24"/>
          <w:lang w:val="en-US" w:bidi="fr-FR"/>
        </w:rPr>
        <w:t xml:space="preserve"> that </w:t>
      </w:r>
      <w:r>
        <w:rPr>
          <w:rFonts w:ascii="ElecLH12-Regular" w:eastAsia="Times New Roman" w:hAnsi="ElecLH12-Regular" w:cs="ElecLH12-Regular"/>
          <w:sz w:val="24"/>
          <w:szCs w:val="24"/>
          <w:lang w:val="en-US" w:bidi="fr-FR"/>
        </w:rPr>
        <w:t>“</w:t>
      </w:r>
      <w:r w:rsidR="00D03026" w:rsidRPr="00D03026">
        <w:rPr>
          <w:rFonts w:ascii="ElecLH12-Regular" w:eastAsia="Times New Roman" w:hAnsi="ElecLH12-Regular" w:cs="ElecLH12-Regular"/>
          <w:sz w:val="24"/>
          <w:szCs w:val="24"/>
          <w:lang w:val="en-US" w:bidi="fr-FR"/>
        </w:rPr>
        <w:t>Hasmonean imperialism was a small-sca</w:t>
      </w:r>
      <w:r>
        <w:rPr>
          <w:rFonts w:ascii="ElecLH12-Regular" w:eastAsia="Times New Roman" w:hAnsi="ElecLH12-Regular" w:cs="ElecLH12-Regular"/>
          <w:sz w:val="24"/>
          <w:szCs w:val="24"/>
          <w:lang w:val="en-US" w:bidi="fr-FR"/>
        </w:rPr>
        <w:t>le version of Roman imperialism</w:t>
      </w:r>
      <w:r w:rsidR="00BB0262">
        <w:rPr>
          <w:rFonts w:ascii="ElecLH12-Regular" w:eastAsia="Times New Roman" w:hAnsi="ElecLH12-Regular" w:cs="ElecLH12-Regular"/>
          <w:sz w:val="24"/>
          <w:szCs w:val="24"/>
          <w:lang w:val="en-US" w:bidi="fr-FR"/>
        </w:rPr>
        <w:t>.</w:t>
      </w:r>
      <w:r>
        <w:rPr>
          <w:rFonts w:ascii="ElecLH12-Regular" w:eastAsia="Times New Roman" w:hAnsi="ElecLH12-Regular" w:cs="ElecLH12-Regular"/>
          <w:sz w:val="24"/>
          <w:szCs w:val="24"/>
          <w:lang w:val="en-US" w:bidi="fr-FR"/>
        </w:rPr>
        <w:t>”</w:t>
      </w:r>
      <w:r w:rsidR="00BB0262">
        <w:rPr>
          <w:rStyle w:val="Marquenotebasdepage"/>
          <w:rFonts w:ascii="ElecLH12-Regular" w:eastAsia="Times New Roman" w:hAnsi="ElecLH12-Regular" w:cs="ElecLH12-Regular"/>
          <w:sz w:val="24"/>
          <w:szCs w:val="24"/>
          <w:lang w:val="en-US" w:bidi="fr-FR"/>
        </w:rPr>
        <w:footnoteReference w:id="34"/>
      </w:r>
      <w:r w:rsidR="00EB23CF">
        <w:rPr>
          <w:sz w:val="24"/>
          <w:szCs w:val="24"/>
        </w:rPr>
        <w:t xml:space="preserve"> </w:t>
      </w:r>
    </w:p>
    <w:p w14:paraId="736FBD0E" w14:textId="77777777" w:rsidR="00D03026" w:rsidRDefault="00C64B91" w:rsidP="00140D2A">
      <w:pPr>
        <w:pStyle w:val="Notedebasdepage"/>
        <w:tabs>
          <w:tab w:val="left" w:pos="284"/>
          <w:tab w:val="left" w:pos="567"/>
          <w:tab w:val="left" w:pos="851"/>
        </w:tabs>
        <w:spacing w:line="360" w:lineRule="exact"/>
        <w:rPr>
          <w:sz w:val="24"/>
          <w:szCs w:val="24"/>
        </w:rPr>
      </w:pPr>
      <w:r>
        <w:rPr>
          <w:sz w:val="24"/>
          <w:szCs w:val="24"/>
        </w:rPr>
        <w:tab/>
      </w:r>
      <w:r w:rsidR="006A447B">
        <w:rPr>
          <w:bCs/>
          <w:sz w:val="24"/>
          <w:szCs w:val="24"/>
          <w:lang w:bidi="fr-FR"/>
        </w:rPr>
        <w:t>Finally,</w:t>
      </w:r>
      <w:r w:rsidR="00862C63">
        <w:rPr>
          <w:bCs/>
          <w:sz w:val="24"/>
          <w:szCs w:val="24"/>
          <w:lang w:bidi="fr-FR"/>
        </w:rPr>
        <w:t xml:space="preserve"> another</w:t>
      </w:r>
      <w:r w:rsidR="00016DE2">
        <w:rPr>
          <w:bCs/>
          <w:sz w:val="24"/>
          <w:szCs w:val="24"/>
          <w:lang w:bidi="fr-FR"/>
        </w:rPr>
        <w:t xml:space="preserve"> example of the impact</w:t>
      </w:r>
      <w:r w:rsidR="00F4201F">
        <w:rPr>
          <w:bCs/>
          <w:sz w:val="24"/>
          <w:szCs w:val="24"/>
          <w:lang w:bidi="fr-FR"/>
        </w:rPr>
        <w:t xml:space="preserve"> of Morton Smith’s theory is found in </w:t>
      </w:r>
      <w:r w:rsidR="00D03026" w:rsidRPr="00D03026">
        <w:rPr>
          <w:bCs/>
          <w:sz w:val="24"/>
          <w:szCs w:val="24"/>
          <w:lang w:bidi="fr-FR"/>
        </w:rPr>
        <w:t>Avi Avidov</w:t>
      </w:r>
      <w:r w:rsidR="00F4201F">
        <w:rPr>
          <w:bCs/>
          <w:sz w:val="24"/>
          <w:szCs w:val="24"/>
          <w:lang w:bidi="fr-FR"/>
        </w:rPr>
        <w:t xml:space="preserve">’s book </w:t>
      </w:r>
      <w:r w:rsidR="00F4201F" w:rsidRPr="00D03026">
        <w:rPr>
          <w:i/>
          <w:iCs/>
          <w:sz w:val="24"/>
          <w:szCs w:val="24"/>
          <w:lang w:bidi="fr-FR"/>
        </w:rPr>
        <w:t>Not Reckoned among Nations. The Origins of the So-called “Jewish Question” in Roman Antiquity</w:t>
      </w:r>
      <w:r w:rsidR="00F4201F">
        <w:rPr>
          <w:sz w:val="24"/>
          <w:szCs w:val="24"/>
        </w:rPr>
        <w:t xml:space="preserve">, in which he </w:t>
      </w:r>
      <w:r w:rsidR="00F91652">
        <w:rPr>
          <w:sz w:val="24"/>
          <w:szCs w:val="24"/>
        </w:rPr>
        <w:t xml:space="preserve">explains Hasmonean </w:t>
      </w:r>
      <w:r w:rsidR="00EE7BB5">
        <w:rPr>
          <w:sz w:val="24"/>
          <w:szCs w:val="24"/>
        </w:rPr>
        <w:t>expansionism as a mixture of ag</w:t>
      </w:r>
      <w:r w:rsidR="00E07DA4">
        <w:rPr>
          <w:sz w:val="24"/>
          <w:szCs w:val="24"/>
        </w:rPr>
        <w:t>g</w:t>
      </w:r>
      <w:r w:rsidR="00EE7BB5">
        <w:rPr>
          <w:sz w:val="24"/>
          <w:szCs w:val="24"/>
        </w:rPr>
        <w:t xml:space="preserve">ression and integration, similar to </w:t>
      </w:r>
      <w:r w:rsidR="00862C63">
        <w:rPr>
          <w:sz w:val="24"/>
          <w:szCs w:val="24"/>
        </w:rPr>
        <w:t xml:space="preserve">Rome’s </w:t>
      </w:r>
      <w:r w:rsidR="00EE7BB5">
        <w:rPr>
          <w:sz w:val="24"/>
          <w:szCs w:val="24"/>
        </w:rPr>
        <w:t>policy</w:t>
      </w:r>
      <w:r w:rsidR="00862C63">
        <w:rPr>
          <w:sz w:val="24"/>
          <w:szCs w:val="24"/>
        </w:rPr>
        <w:t xml:space="preserve"> towards its enemies</w:t>
      </w:r>
      <w:r w:rsidR="00EE7BB5">
        <w:rPr>
          <w:sz w:val="24"/>
          <w:szCs w:val="24"/>
        </w:rPr>
        <w:t xml:space="preserve">. </w:t>
      </w:r>
      <w:r w:rsidR="00964341">
        <w:rPr>
          <w:sz w:val="24"/>
          <w:szCs w:val="24"/>
        </w:rPr>
        <w:t xml:space="preserve">Following Smith, </w:t>
      </w:r>
      <w:r w:rsidR="00EE7BB5">
        <w:rPr>
          <w:sz w:val="24"/>
          <w:szCs w:val="24"/>
        </w:rPr>
        <w:t xml:space="preserve">Avidov </w:t>
      </w:r>
      <w:r w:rsidR="00964341">
        <w:rPr>
          <w:sz w:val="24"/>
          <w:szCs w:val="24"/>
        </w:rPr>
        <w:t>contemplates the possibility</w:t>
      </w:r>
      <w:r w:rsidR="00EE7BB5">
        <w:rPr>
          <w:sz w:val="24"/>
          <w:szCs w:val="24"/>
        </w:rPr>
        <w:t xml:space="preserve"> that the Hasmoneans </w:t>
      </w:r>
      <w:r w:rsidR="00964341">
        <w:rPr>
          <w:sz w:val="24"/>
          <w:szCs w:val="24"/>
        </w:rPr>
        <w:t xml:space="preserve">may have </w:t>
      </w:r>
      <w:r w:rsidR="00EE7BB5">
        <w:rPr>
          <w:sz w:val="24"/>
          <w:szCs w:val="24"/>
        </w:rPr>
        <w:t>consciously followed the Roman model.</w:t>
      </w:r>
      <w:r w:rsidR="00016DE2">
        <w:rPr>
          <w:rStyle w:val="Marquenotebasdepage"/>
          <w:sz w:val="24"/>
          <w:szCs w:val="24"/>
        </w:rPr>
        <w:footnoteReference w:id="35"/>
      </w:r>
      <w:r w:rsidR="00EE7BB5">
        <w:rPr>
          <w:sz w:val="24"/>
          <w:szCs w:val="24"/>
        </w:rPr>
        <w:t xml:space="preserve"> </w:t>
      </w:r>
    </w:p>
    <w:p w14:paraId="20B4ABD0" w14:textId="77777777" w:rsidR="00C818EB" w:rsidRDefault="00C818EB" w:rsidP="00140D2A">
      <w:pPr>
        <w:pStyle w:val="Notedebasdepage"/>
        <w:tabs>
          <w:tab w:val="left" w:pos="284"/>
          <w:tab w:val="left" w:pos="567"/>
          <w:tab w:val="left" w:pos="851"/>
        </w:tabs>
        <w:spacing w:line="360" w:lineRule="exact"/>
        <w:rPr>
          <w:sz w:val="24"/>
          <w:szCs w:val="24"/>
        </w:rPr>
      </w:pPr>
    </w:p>
    <w:p w14:paraId="4E30096D" w14:textId="77777777" w:rsidR="00C818EB" w:rsidRPr="00C818EB" w:rsidRDefault="00D66B5B" w:rsidP="00140D2A">
      <w:pPr>
        <w:pStyle w:val="Notedebasdepage"/>
        <w:tabs>
          <w:tab w:val="left" w:pos="284"/>
          <w:tab w:val="left" w:pos="567"/>
          <w:tab w:val="left" w:pos="851"/>
        </w:tabs>
        <w:spacing w:line="360" w:lineRule="exact"/>
        <w:rPr>
          <w:sz w:val="24"/>
          <w:szCs w:val="24"/>
        </w:rPr>
      </w:pPr>
      <w:r>
        <w:rPr>
          <w:sz w:val="24"/>
          <w:szCs w:val="24"/>
        </w:rPr>
        <w:t xml:space="preserve">Even if there was no Judean citizenship in the Hasmonean state, the integration of the Idumeans and the careers of some Idumeans at the Hasmonean court, as illustrated by that of Antipater, Herod’s father, could </w:t>
      </w:r>
      <w:r w:rsidR="005C2B0C">
        <w:rPr>
          <w:sz w:val="24"/>
          <w:szCs w:val="24"/>
        </w:rPr>
        <w:t>in theory</w:t>
      </w:r>
      <w:r>
        <w:rPr>
          <w:sz w:val="24"/>
          <w:szCs w:val="24"/>
        </w:rPr>
        <w:t xml:space="preserve"> be compared to the integration of the </w:t>
      </w:r>
      <w:r w:rsidR="004413E9">
        <w:rPr>
          <w:sz w:val="24"/>
          <w:szCs w:val="24"/>
        </w:rPr>
        <w:t>Italian allies</w:t>
      </w:r>
      <w:r>
        <w:rPr>
          <w:sz w:val="24"/>
          <w:szCs w:val="24"/>
        </w:rPr>
        <w:t xml:space="preserve"> by the Romans. </w:t>
      </w:r>
      <w:r w:rsidR="004F7EC0">
        <w:rPr>
          <w:sz w:val="24"/>
          <w:szCs w:val="24"/>
        </w:rPr>
        <w:t xml:space="preserve">The problem with this </w:t>
      </w:r>
      <w:r w:rsidR="00EA3D9D">
        <w:rPr>
          <w:sz w:val="24"/>
          <w:szCs w:val="24"/>
        </w:rPr>
        <w:t xml:space="preserve">general </w:t>
      </w:r>
      <w:r w:rsidR="004F7EC0">
        <w:rPr>
          <w:sz w:val="24"/>
          <w:szCs w:val="24"/>
        </w:rPr>
        <w:t xml:space="preserve">line of argumentation, however, is that it undermines a chronological </w:t>
      </w:r>
      <w:r w:rsidR="002721E8">
        <w:rPr>
          <w:sz w:val="24"/>
          <w:szCs w:val="24"/>
        </w:rPr>
        <w:t>issue</w:t>
      </w:r>
      <w:r w:rsidR="004F7EC0" w:rsidRPr="00C818EB">
        <w:rPr>
          <w:sz w:val="24"/>
          <w:szCs w:val="24"/>
        </w:rPr>
        <w:t xml:space="preserve">. </w:t>
      </w:r>
      <w:r w:rsidR="00C818EB" w:rsidRPr="00C818EB">
        <w:rPr>
          <w:sz w:val="24"/>
          <w:szCs w:val="24"/>
        </w:rPr>
        <w:t>It seems indeed that the Romans were the only ones</w:t>
      </w:r>
      <w:r w:rsidR="005C2B0C">
        <w:rPr>
          <w:sz w:val="24"/>
          <w:szCs w:val="24"/>
        </w:rPr>
        <w:t xml:space="preserve"> in Antiquity</w:t>
      </w:r>
      <w:r w:rsidR="00C818EB" w:rsidRPr="00C818EB">
        <w:rPr>
          <w:sz w:val="24"/>
          <w:szCs w:val="24"/>
        </w:rPr>
        <w:t xml:space="preserve"> </w:t>
      </w:r>
      <w:r w:rsidR="005C2B0C">
        <w:rPr>
          <w:sz w:val="24"/>
          <w:szCs w:val="24"/>
        </w:rPr>
        <w:t>to impose</w:t>
      </w:r>
      <w:r w:rsidR="00C818EB" w:rsidRPr="00C818EB">
        <w:rPr>
          <w:sz w:val="24"/>
          <w:szCs w:val="24"/>
        </w:rPr>
        <w:t xml:space="preserve"> </w:t>
      </w:r>
      <w:r w:rsidR="005C2B0C">
        <w:rPr>
          <w:sz w:val="24"/>
          <w:szCs w:val="24"/>
        </w:rPr>
        <w:t>their</w:t>
      </w:r>
      <w:r w:rsidR="00C818EB" w:rsidRPr="00C818EB">
        <w:rPr>
          <w:sz w:val="24"/>
          <w:szCs w:val="24"/>
        </w:rPr>
        <w:t xml:space="preserve"> citizenship upon former enemies, in the context of the first Roman expansion, when they annexed to the city of Rome whole territories with their population.</w:t>
      </w:r>
      <w:r w:rsidR="00C818EB" w:rsidRPr="00C818EB">
        <w:rPr>
          <w:rStyle w:val="Marquenotebasdepage"/>
          <w:sz w:val="24"/>
          <w:szCs w:val="24"/>
        </w:rPr>
        <w:footnoteReference w:id="36"/>
      </w:r>
      <w:r w:rsidR="00F86AA0">
        <w:rPr>
          <w:sz w:val="24"/>
          <w:szCs w:val="24"/>
        </w:rPr>
        <w:t xml:space="preserve"> However, t</w:t>
      </w:r>
      <w:r w:rsidR="00C818EB">
        <w:rPr>
          <w:sz w:val="24"/>
          <w:szCs w:val="24"/>
        </w:rPr>
        <w:t xml:space="preserve">his type of citizenship </w:t>
      </w:r>
      <w:r w:rsidR="00821A77">
        <w:rPr>
          <w:sz w:val="24"/>
          <w:szCs w:val="24"/>
        </w:rPr>
        <w:t>was in general</w:t>
      </w:r>
      <w:r w:rsidR="001365E6">
        <w:rPr>
          <w:sz w:val="24"/>
          <w:szCs w:val="24"/>
        </w:rPr>
        <w:t xml:space="preserve"> </w:t>
      </w:r>
      <w:r w:rsidR="00C818EB" w:rsidRPr="00F86AA0">
        <w:rPr>
          <w:i/>
          <w:sz w:val="24"/>
          <w:szCs w:val="24"/>
        </w:rPr>
        <w:t>sine suffragio</w:t>
      </w:r>
      <w:r w:rsidR="00C818EB">
        <w:rPr>
          <w:sz w:val="24"/>
          <w:szCs w:val="24"/>
        </w:rPr>
        <w:t>, which means that the new citizens did not enjoy the same political rights as the Romans, and remained</w:t>
      </w:r>
      <w:r w:rsidR="0049773E">
        <w:rPr>
          <w:sz w:val="24"/>
          <w:szCs w:val="24"/>
        </w:rPr>
        <w:t xml:space="preserve"> so to speak</w:t>
      </w:r>
      <w:r w:rsidR="00C818EB">
        <w:rPr>
          <w:sz w:val="24"/>
          <w:szCs w:val="24"/>
        </w:rPr>
        <w:t xml:space="preserve"> “second-class citizens</w:t>
      </w:r>
      <w:r w:rsidR="0049773E">
        <w:rPr>
          <w:sz w:val="24"/>
          <w:szCs w:val="24"/>
        </w:rPr>
        <w:t>.”</w:t>
      </w:r>
      <w:r w:rsidR="00F86AA0">
        <w:rPr>
          <w:sz w:val="24"/>
          <w:szCs w:val="24"/>
        </w:rPr>
        <w:t xml:space="preserve"> Moreover, </w:t>
      </w:r>
      <w:r w:rsidR="0019319A">
        <w:rPr>
          <w:sz w:val="24"/>
          <w:szCs w:val="24"/>
        </w:rPr>
        <w:t>from the third</w:t>
      </w:r>
      <w:r w:rsidR="00E25858">
        <w:rPr>
          <w:sz w:val="24"/>
          <w:szCs w:val="24"/>
        </w:rPr>
        <w:t xml:space="preserve"> century BCE</w:t>
      </w:r>
      <w:r w:rsidR="0019319A">
        <w:rPr>
          <w:sz w:val="24"/>
          <w:szCs w:val="24"/>
        </w:rPr>
        <w:t xml:space="preserve"> onwards</w:t>
      </w:r>
      <w:r w:rsidR="004C1D0D">
        <w:rPr>
          <w:sz w:val="24"/>
          <w:szCs w:val="24"/>
        </w:rPr>
        <w:t xml:space="preserve">, </w:t>
      </w:r>
      <w:r>
        <w:rPr>
          <w:sz w:val="24"/>
          <w:szCs w:val="24"/>
        </w:rPr>
        <w:t>the Roman</w:t>
      </w:r>
      <w:r w:rsidR="00F86AA0">
        <w:rPr>
          <w:sz w:val="24"/>
          <w:szCs w:val="24"/>
        </w:rPr>
        <w:t xml:space="preserve"> poli</w:t>
      </w:r>
      <w:r w:rsidR="004C1D0D">
        <w:rPr>
          <w:sz w:val="24"/>
          <w:szCs w:val="24"/>
        </w:rPr>
        <w:t xml:space="preserve">cy </w:t>
      </w:r>
      <w:r w:rsidR="00E25858">
        <w:rPr>
          <w:sz w:val="24"/>
          <w:szCs w:val="24"/>
        </w:rPr>
        <w:t xml:space="preserve">was </w:t>
      </w:r>
      <w:r w:rsidR="007E0448">
        <w:rPr>
          <w:sz w:val="24"/>
          <w:szCs w:val="24"/>
        </w:rPr>
        <w:t>in fact</w:t>
      </w:r>
      <w:r w:rsidR="00E25858">
        <w:rPr>
          <w:sz w:val="24"/>
          <w:szCs w:val="24"/>
        </w:rPr>
        <w:t xml:space="preserve"> characterized by a</w:t>
      </w:r>
      <w:r w:rsidR="007E0448">
        <w:rPr>
          <w:sz w:val="24"/>
          <w:szCs w:val="24"/>
        </w:rPr>
        <w:t xml:space="preserve"> growing</w:t>
      </w:r>
      <w:r w:rsidR="00E25858">
        <w:rPr>
          <w:sz w:val="24"/>
          <w:szCs w:val="24"/>
        </w:rPr>
        <w:t xml:space="preserve"> reluctance to grant Roman citizenship to the </w:t>
      </w:r>
      <w:r w:rsidR="00F96D85">
        <w:rPr>
          <w:sz w:val="24"/>
          <w:szCs w:val="24"/>
        </w:rPr>
        <w:t>Latins</w:t>
      </w:r>
      <w:r w:rsidR="002B3781">
        <w:rPr>
          <w:sz w:val="24"/>
          <w:szCs w:val="24"/>
        </w:rPr>
        <w:t xml:space="preserve"> (who remained </w:t>
      </w:r>
      <w:r w:rsidR="002B3781" w:rsidRPr="002B3781">
        <w:rPr>
          <w:i/>
          <w:sz w:val="24"/>
          <w:szCs w:val="24"/>
        </w:rPr>
        <w:t>socii</w:t>
      </w:r>
      <w:r w:rsidR="002B3781">
        <w:rPr>
          <w:sz w:val="24"/>
          <w:szCs w:val="24"/>
        </w:rPr>
        <w:t>)</w:t>
      </w:r>
      <w:r w:rsidR="00E25858">
        <w:rPr>
          <w:sz w:val="24"/>
          <w:szCs w:val="24"/>
        </w:rPr>
        <w:t xml:space="preserve">, and by attempts to prevent them from </w:t>
      </w:r>
      <w:r w:rsidR="00C002F4">
        <w:rPr>
          <w:sz w:val="24"/>
          <w:szCs w:val="24"/>
        </w:rPr>
        <w:t>holding</w:t>
      </w:r>
      <w:r w:rsidR="00E25858">
        <w:rPr>
          <w:sz w:val="24"/>
          <w:szCs w:val="24"/>
        </w:rPr>
        <w:t xml:space="preserve"> political</w:t>
      </w:r>
      <w:r w:rsidR="00B23576">
        <w:rPr>
          <w:sz w:val="24"/>
          <w:szCs w:val="24"/>
        </w:rPr>
        <w:t xml:space="preserve"> </w:t>
      </w:r>
      <w:r w:rsidR="00C002F4">
        <w:rPr>
          <w:sz w:val="24"/>
          <w:szCs w:val="24"/>
        </w:rPr>
        <w:t>offices</w:t>
      </w:r>
      <w:r w:rsidR="00E25858">
        <w:rPr>
          <w:sz w:val="24"/>
          <w:szCs w:val="24"/>
        </w:rPr>
        <w:t xml:space="preserve"> at Rome</w:t>
      </w:r>
      <w:r w:rsidR="004C1D0D">
        <w:rPr>
          <w:sz w:val="24"/>
          <w:szCs w:val="24"/>
        </w:rPr>
        <w:t>.</w:t>
      </w:r>
      <w:r w:rsidR="00567157">
        <w:rPr>
          <w:rStyle w:val="Marquenotebasdepage"/>
          <w:sz w:val="24"/>
          <w:szCs w:val="24"/>
        </w:rPr>
        <w:footnoteReference w:id="37"/>
      </w:r>
      <w:r w:rsidR="004C1D0D">
        <w:rPr>
          <w:sz w:val="24"/>
          <w:szCs w:val="24"/>
        </w:rPr>
        <w:t xml:space="preserve"> </w:t>
      </w:r>
      <w:r w:rsidR="00781B82">
        <w:rPr>
          <w:sz w:val="24"/>
          <w:szCs w:val="24"/>
        </w:rPr>
        <w:t>The last quarter of the 2</w:t>
      </w:r>
      <w:r w:rsidR="00781B82" w:rsidRPr="003B7D31">
        <w:rPr>
          <w:sz w:val="24"/>
          <w:szCs w:val="24"/>
          <w:vertAlign w:val="superscript"/>
        </w:rPr>
        <w:t>nd</w:t>
      </w:r>
      <w:r w:rsidR="00781B82">
        <w:rPr>
          <w:sz w:val="24"/>
          <w:szCs w:val="24"/>
        </w:rPr>
        <w:t xml:space="preserve"> century BCE</w:t>
      </w:r>
      <w:r w:rsidR="00F87450">
        <w:rPr>
          <w:sz w:val="24"/>
          <w:szCs w:val="24"/>
        </w:rPr>
        <w:t xml:space="preserve"> in particular</w:t>
      </w:r>
      <w:r w:rsidR="00E25858">
        <w:rPr>
          <w:sz w:val="24"/>
          <w:szCs w:val="24"/>
        </w:rPr>
        <w:t xml:space="preserve"> </w:t>
      </w:r>
      <w:r w:rsidR="00781B82">
        <w:rPr>
          <w:sz w:val="24"/>
          <w:szCs w:val="24"/>
        </w:rPr>
        <w:t xml:space="preserve">was marked by </w:t>
      </w:r>
      <w:r w:rsidR="002B3781">
        <w:rPr>
          <w:sz w:val="24"/>
          <w:szCs w:val="24"/>
        </w:rPr>
        <w:t>such a</w:t>
      </w:r>
      <w:r w:rsidR="00781B82">
        <w:rPr>
          <w:sz w:val="24"/>
          <w:szCs w:val="24"/>
        </w:rPr>
        <w:t xml:space="preserve"> reluctance, and this Roman attitude caused great frustration among Rome’s allies, to the point that it led to the Social War, the war of Rome’s </w:t>
      </w:r>
      <w:r w:rsidR="00781B82" w:rsidRPr="007A18F7">
        <w:rPr>
          <w:i/>
          <w:sz w:val="24"/>
          <w:szCs w:val="24"/>
        </w:rPr>
        <w:t>socii</w:t>
      </w:r>
      <w:r w:rsidR="002B3781">
        <w:rPr>
          <w:sz w:val="24"/>
          <w:szCs w:val="24"/>
        </w:rPr>
        <w:t xml:space="preserve">, in </w:t>
      </w:r>
      <w:r w:rsidR="002C082B">
        <w:rPr>
          <w:sz w:val="24"/>
          <w:szCs w:val="24"/>
        </w:rPr>
        <w:t>91-88 BCE</w:t>
      </w:r>
      <w:r w:rsidR="002B3781">
        <w:rPr>
          <w:sz w:val="24"/>
          <w:szCs w:val="24"/>
        </w:rPr>
        <w:t>.</w:t>
      </w:r>
    </w:p>
    <w:p w14:paraId="23E683A6" w14:textId="77777777" w:rsidR="004A0521" w:rsidRDefault="00D66B5B" w:rsidP="00140D2A">
      <w:pPr>
        <w:pStyle w:val="Notedebasdepage"/>
        <w:tabs>
          <w:tab w:val="left" w:pos="284"/>
          <w:tab w:val="left" w:pos="567"/>
          <w:tab w:val="left" w:pos="851"/>
        </w:tabs>
        <w:spacing w:line="360" w:lineRule="exact"/>
        <w:rPr>
          <w:sz w:val="24"/>
          <w:szCs w:val="24"/>
        </w:rPr>
      </w:pPr>
      <w:r>
        <w:rPr>
          <w:sz w:val="24"/>
          <w:szCs w:val="24"/>
        </w:rPr>
        <w:tab/>
      </w:r>
      <w:r w:rsidR="00A0621E">
        <w:rPr>
          <w:sz w:val="24"/>
          <w:szCs w:val="24"/>
        </w:rPr>
        <w:t xml:space="preserve">It is </w:t>
      </w:r>
      <w:r w:rsidR="00A0621E" w:rsidRPr="00E72FBE">
        <w:rPr>
          <w:sz w:val="24"/>
          <w:szCs w:val="24"/>
        </w:rPr>
        <w:t xml:space="preserve">probably not by chance that </w:t>
      </w:r>
      <w:r w:rsidR="002C17B8">
        <w:rPr>
          <w:sz w:val="24"/>
          <w:szCs w:val="24"/>
        </w:rPr>
        <w:t xml:space="preserve">most of the sources celebrating </w:t>
      </w:r>
      <w:r w:rsidR="00A0621E" w:rsidRPr="00E72FBE">
        <w:rPr>
          <w:sz w:val="24"/>
          <w:szCs w:val="24"/>
        </w:rPr>
        <w:t xml:space="preserve">Roman grants of citizenship to former enemies </w:t>
      </w:r>
      <w:r w:rsidR="002D17BA">
        <w:rPr>
          <w:sz w:val="24"/>
          <w:szCs w:val="24"/>
        </w:rPr>
        <w:t>are dated from</w:t>
      </w:r>
      <w:r w:rsidR="00A0621E" w:rsidRPr="00E72FBE">
        <w:rPr>
          <w:sz w:val="24"/>
          <w:szCs w:val="24"/>
        </w:rPr>
        <w:t xml:space="preserve"> </w:t>
      </w:r>
      <w:r w:rsidR="00A0621E" w:rsidRPr="00C221B1">
        <w:rPr>
          <w:i/>
          <w:sz w:val="24"/>
          <w:szCs w:val="24"/>
        </w:rPr>
        <w:t>after</w:t>
      </w:r>
      <w:r w:rsidR="00A0621E" w:rsidRPr="00E72FBE">
        <w:rPr>
          <w:sz w:val="24"/>
          <w:szCs w:val="24"/>
        </w:rPr>
        <w:t xml:space="preserve"> the Social War</w:t>
      </w:r>
      <w:r w:rsidR="0028103E">
        <w:rPr>
          <w:sz w:val="24"/>
          <w:szCs w:val="24"/>
        </w:rPr>
        <w:t xml:space="preserve">, and try to erase the memory of the policy </w:t>
      </w:r>
      <w:r w:rsidR="00F22A67">
        <w:rPr>
          <w:sz w:val="24"/>
          <w:szCs w:val="24"/>
        </w:rPr>
        <w:t>carried out</w:t>
      </w:r>
      <w:r w:rsidR="0028103E">
        <w:rPr>
          <w:sz w:val="24"/>
          <w:szCs w:val="24"/>
        </w:rPr>
        <w:t xml:space="preserve"> </w:t>
      </w:r>
      <w:r w:rsidR="00F22A67">
        <w:rPr>
          <w:sz w:val="24"/>
          <w:szCs w:val="24"/>
        </w:rPr>
        <w:t>during</w:t>
      </w:r>
      <w:r w:rsidR="0028103E">
        <w:rPr>
          <w:sz w:val="24"/>
          <w:szCs w:val="24"/>
        </w:rPr>
        <w:t xml:space="preserve"> the</w:t>
      </w:r>
      <w:r w:rsidR="00F22A67">
        <w:rPr>
          <w:sz w:val="24"/>
          <w:szCs w:val="24"/>
        </w:rPr>
        <w:t xml:space="preserve"> </w:t>
      </w:r>
      <w:r w:rsidR="007B1484">
        <w:rPr>
          <w:sz w:val="24"/>
          <w:szCs w:val="24"/>
        </w:rPr>
        <w:t xml:space="preserve">second </w:t>
      </w:r>
      <w:r w:rsidR="0028103E">
        <w:rPr>
          <w:sz w:val="24"/>
          <w:szCs w:val="24"/>
        </w:rPr>
        <w:t>century</w:t>
      </w:r>
      <w:r w:rsidR="00F22A67">
        <w:rPr>
          <w:sz w:val="24"/>
          <w:szCs w:val="24"/>
        </w:rPr>
        <w:t xml:space="preserve"> BCE,</w:t>
      </w:r>
      <w:r w:rsidR="0028103E">
        <w:rPr>
          <w:sz w:val="24"/>
          <w:szCs w:val="24"/>
        </w:rPr>
        <w:t xml:space="preserve"> by presenting Roman generosity as a choice going back to the founder of Rome</w:t>
      </w:r>
      <w:r w:rsidR="00A0621E" w:rsidRPr="00E72FBE">
        <w:rPr>
          <w:sz w:val="24"/>
          <w:szCs w:val="24"/>
        </w:rPr>
        <w:t xml:space="preserve">. </w:t>
      </w:r>
      <w:r w:rsidR="00A0621E" w:rsidRPr="00E72FBE">
        <w:rPr>
          <w:rFonts w:ascii="TimesNewRomanPS" w:hAnsi="TimesNewRomanPS" w:cs="TimesNewRomanPS"/>
          <w:sz w:val="24"/>
          <w:szCs w:val="24"/>
        </w:rPr>
        <w:t>Cicero for instance praises “the Roman capacity to turn enemies into fellow citizens;” since Romulus, he claims, “our forefathers have never ceased to make others citizens</w:t>
      </w:r>
      <w:r w:rsidR="00A0621E" w:rsidRPr="00E72FBE">
        <w:rPr>
          <w:rFonts w:ascii="TimesNewRomanPS" w:hAnsi="TimesNewRomanPS" w:cs="TimesNewRomanPS"/>
          <w:sz w:val="24"/>
          <w:szCs w:val="24"/>
        </w:rPr>
        <w:softHyphen/>
        <w:t>—not only towns, but whole nations (</w:t>
      </w:r>
      <w:r w:rsidR="00A0621E" w:rsidRPr="00E72FBE">
        <w:rPr>
          <w:rFonts w:ascii="TimesNewRomanPS" w:hAnsi="TimesNewRomanPS" w:cs="TimesNewRomanPS"/>
          <w:i/>
          <w:iCs/>
          <w:sz w:val="24"/>
          <w:szCs w:val="24"/>
        </w:rPr>
        <w:t>gentes universae</w:t>
      </w:r>
      <w:r w:rsidR="00A0621E" w:rsidRPr="00E72FBE">
        <w:rPr>
          <w:rFonts w:ascii="TimesNewRomanPS" w:hAnsi="TimesNewRomanPS" w:cs="TimesNewRomanPS"/>
          <w:sz w:val="24"/>
          <w:szCs w:val="24"/>
        </w:rPr>
        <w:t>)” (</w:t>
      </w:r>
      <w:r w:rsidR="00A0621E" w:rsidRPr="00E72FBE">
        <w:rPr>
          <w:rFonts w:ascii="TimesNewRomanPS" w:hAnsi="TimesNewRomanPS" w:cs="TimesNewRomanPS"/>
          <w:i/>
          <w:sz w:val="24"/>
          <w:szCs w:val="24"/>
        </w:rPr>
        <w:t xml:space="preserve">Pro </w:t>
      </w:r>
      <w:r w:rsidR="00A0621E" w:rsidRPr="00E72FBE">
        <w:rPr>
          <w:rFonts w:ascii="TimesNewRomanPS" w:hAnsi="TimesNewRomanPS" w:cs="TimesNewRomanPS"/>
          <w:i/>
          <w:iCs/>
          <w:sz w:val="24"/>
          <w:szCs w:val="24"/>
        </w:rPr>
        <w:t>Balb</w:t>
      </w:r>
      <w:r w:rsidR="00A0621E" w:rsidRPr="00E72FBE">
        <w:rPr>
          <w:rFonts w:ascii="TimesNewRomanPS" w:hAnsi="TimesNewRomanPS" w:cs="TimesNewRomanPS"/>
          <w:i/>
          <w:sz w:val="24"/>
          <w:szCs w:val="24"/>
        </w:rPr>
        <w:t>o</w:t>
      </w:r>
      <w:r w:rsidR="008268B3">
        <w:rPr>
          <w:rFonts w:ascii="TimesNewRomanPS" w:hAnsi="TimesNewRomanPS" w:cs="TimesNewRomanPS"/>
          <w:sz w:val="24"/>
          <w:szCs w:val="24"/>
        </w:rPr>
        <w:t xml:space="preserve"> 31</w:t>
      </w:r>
      <w:r w:rsidR="00A0621E" w:rsidRPr="00E72FBE">
        <w:rPr>
          <w:rFonts w:ascii="TimesNewRomanPS" w:hAnsi="TimesNewRomanPS" w:cs="TimesNewRomanPS"/>
          <w:sz w:val="24"/>
          <w:szCs w:val="24"/>
        </w:rPr>
        <w:t>).</w:t>
      </w:r>
      <w:r w:rsidR="00A0621E" w:rsidRPr="00E72FBE">
        <w:rPr>
          <w:rStyle w:val="Marquenotebasdepage"/>
          <w:rFonts w:ascii="TimesNewRomanPS" w:hAnsi="TimesNewRomanPS" w:cs="TimesNewRomanPS"/>
          <w:sz w:val="24"/>
          <w:szCs w:val="24"/>
        </w:rPr>
        <w:footnoteReference w:id="38"/>
      </w:r>
      <w:r w:rsidR="00A0621E" w:rsidRPr="00E72FBE">
        <w:rPr>
          <w:rFonts w:ascii="TimesNewRomanPS" w:hAnsi="TimesNewRomanPS" w:cs="TimesNewRomanPS"/>
          <w:sz w:val="24"/>
          <w:szCs w:val="24"/>
        </w:rPr>
        <w:t xml:space="preserve"> </w:t>
      </w:r>
      <w:r w:rsidR="00A0621E" w:rsidRPr="00E72FBE">
        <w:rPr>
          <w:sz w:val="24"/>
          <w:szCs w:val="24"/>
        </w:rPr>
        <w:t>Tacitus attributes a similar type of discourse to Claudius, who declare</w:t>
      </w:r>
      <w:r w:rsidR="00345870">
        <w:rPr>
          <w:sz w:val="24"/>
          <w:szCs w:val="24"/>
        </w:rPr>
        <w:t>s</w:t>
      </w:r>
      <w:r w:rsidR="00A0621E" w:rsidRPr="00E72FBE">
        <w:rPr>
          <w:sz w:val="24"/>
          <w:szCs w:val="24"/>
        </w:rPr>
        <w:t xml:space="preserve">: </w:t>
      </w:r>
    </w:p>
    <w:p w14:paraId="5D55441B" w14:textId="77777777" w:rsidR="004A0521" w:rsidRDefault="00A0621E" w:rsidP="004A0521">
      <w:pPr>
        <w:pStyle w:val="Notedebasdepage"/>
        <w:tabs>
          <w:tab w:val="left" w:pos="284"/>
          <w:tab w:val="left" w:pos="567"/>
          <w:tab w:val="left" w:pos="851"/>
        </w:tabs>
        <w:spacing w:line="360" w:lineRule="exact"/>
        <w:ind w:left="284"/>
        <w:rPr>
          <w:sz w:val="24"/>
          <w:szCs w:val="24"/>
        </w:rPr>
      </w:pPr>
      <w:r w:rsidRPr="00E72FBE">
        <w:rPr>
          <w:sz w:val="24"/>
          <w:szCs w:val="24"/>
        </w:rPr>
        <w:t>“What else was it that spelled destruction for the Spartans and the Athenians, militarily powerful though they were, if not their segregation of conquered peoples as foreigners? By contrast, our founder Romulus showed such wisdom that he regarded numerous peoples as his enemies and then as his fellow-citizens on the very same day!”</w:t>
      </w:r>
      <w:r w:rsidR="00E72FBE">
        <w:rPr>
          <w:rStyle w:val="Marquenotebasdepage"/>
          <w:sz w:val="24"/>
          <w:szCs w:val="24"/>
        </w:rPr>
        <w:footnoteReference w:id="39"/>
      </w:r>
      <w:r w:rsidR="00F22A67">
        <w:rPr>
          <w:sz w:val="24"/>
          <w:szCs w:val="24"/>
        </w:rPr>
        <w:t xml:space="preserve"> </w:t>
      </w:r>
    </w:p>
    <w:p w14:paraId="2B22A09E" w14:textId="77777777" w:rsidR="004F7EC0" w:rsidRDefault="008D0FCA" w:rsidP="00140D2A">
      <w:pPr>
        <w:pStyle w:val="Notedebasdepage"/>
        <w:tabs>
          <w:tab w:val="left" w:pos="284"/>
          <w:tab w:val="left" w:pos="567"/>
          <w:tab w:val="left" w:pos="851"/>
        </w:tabs>
        <w:spacing w:line="360" w:lineRule="exact"/>
        <w:rPr>
          <w:sz w:val="24"/>
          <w:szCs w:val="24"/>
        </w:rPr>
      </w:pPr>
      <w:r>
        <w:rPr>
          <w:sz w:val="24"/>
          <w:szCs w:val="24"/>
        </w:rPr>
        <w:t>S</w:t>
      </w:r>
      <w:r w:rsidR="00C221B1">
        <w:rPr>
          <w:sz w:val="24"/>
          <w:szCs w:val="24"/>
        </w:rPr>
        <w:t xml:space="preserve">uch discourses were </w:t>
      </w:r>
      <w:r>
        <w:rPr>
          <w:sz w:val="24"/>
          <w:szCs w:val="24"/>
        </w:rPr>
        <w:t>certainly not</w:t>
      </w:r>
      <w:r w:rsidR="00C221B1">
        <w:rPr>
          <w:sz w:val="24"/>
          <w:szCs w:val="24"/>
        </w:rPr>
        <w:t xml:space="preserve"> frequent in Rome at the end of the 2</w:t>
      </w:r>
      <w:r w:rsidR="00C221B1" w:rsidRPr="00C221B1">
        <w:rPr>
          <w:sz w:val="24"/>
          <w:szCs w:val="24"/>
          <w:vertAlign w:val="superscript"/>
        </w:rPr>
        <w:t>nd</w:t>
      </w:r>
      <w:r w:rsidR="00F22A67">
        <w:rPr>
          <w:sz w:val="24"/>
          <w:szCs w:val="24"/>
        </w:rPr>
        <w:t xml:space="preserve"> century BCE…</w:t>
      </w:r>
    </w:p>
    <w:p w14:paraId="6A789AF2" w14:textId="77777777" w:rsidR="00AF5BD3" w:rsidRPr="00377F55" w:rsidRDefault="00D66B5B" w:rsidP="00377F55">
      <w:pPr>
        <w:pStyle w:val="Notedebasdepage"/>
        <w:tabs>
          <w:tab w:val="left" w:pos="284"/>
          <w:tab w:val="left" w:pos="567"/>
          <w:tab w:val="left" w:pos="851"/>
        </w:tabs>
        <w:spacing w:line="360" w:lineRule="exact"/>
        <w:rPr>
          <w:sz w:val="24"/>
          <w:szCs w:val="24"/>
        </w:rPr>
      </w:pPr>
      <w:r>
        <w:rPr>
          <w:sz w:val="24"/>
          <w:szCs w:val="24"/>
        </w:rPr>
        <w:tab/>
        <w:t>John Hyrcanus’s conquests, and the judaization of the Idumeans that ensued, happened between 111 and 107 BCE</w:t>
      </w:r>
      <w:r w:rsidR="000118BB">
        <w:rPr>
          <w:sz w:val="24"/>
          <w:szCs w:val="24"/>
        </w:rPr>
        <w:t>,</w:t>
      </w:r>
      <w:r>
        <w:rPr>
          <w:rStyle w:val="Marquenotebasdepage"/>
          <w:sz w:val="24"/>
          <w:szCs w:val="24"/>
        </w:rPr>
        <w:footnoteReference w:id="40"/>
      </w:r>
      <w:r>
        <w:rPr>
          <w:sz w:val="24"/>
          <w:szCs w:val="24"/>
        </w:rPr>
        <w:t xml:space="preserve"> one of the worst periods for the policy of integration within the </w:t>
      </w:r>
      <w:r w:rsidRPr="0048733D">
        <w:rPr>
          <w:i/>
          <w:sz w:val="24"/>
          <w:szCs w:val="24"/>
        </w:rPr>
        <w:t>civitas Romana</w:t>
      </w:r>
      <w:r>
        <w:rPr>
          <w:sz w:val="24"/>
          <w:szCs w:val="24"/>
        </w:rPr>
        <w:t xml:space="preserve">, and one of great </w:t>
      </w:r>
      <w:r w:rsidRPr="00377F55">
        <w:rPr>
          <w:sz w:val="24"/>
          <w:szCs w:val="24"/>
        </w:rPr>
        <w:t xml:space="preserve">tensions. </w:t>
      </w:r>
      <w:r w:rsidR="00377F55" w:rsidRPr="00377F55">
        <w:rPr>
          <w:sz w:val="24"/>
          <w:szCs w:val="24"/>
        </w:rPr>
        <w:t>Admittedly</w:t>
      </w:r>
      <w:r w:rsidR="00081F03" w:rsidRPr="00377F55">
        <w:rPr>
          <w:sz w:val="24"/>
          <w:szCs w:val="24"/>
        </w:rPr>
        <w:t>, o</w:t>
      </w:r>
      <w:r w:rsidR="00FC701F" w:rsidRPr="00377F55">
        <w:rPr>
          <w:sz w:val="24"/>
          <w:szCs w:val="24"/>
        </w:rPr>
        <w:t>ne</w:t>
      </w:r>
      <w:r w:rsidR="00392C07" w:rsidRPr="00377F55">
        <w:rPr>
          <w:sz w:val="24"/>
          <w:szCs w:val="24"/>
        </w:rPr>
        <w:t xml:space="preserve"> could </w:t>
      </w:r>
      <w:r w:rsidR="00377F55" w:rsidRPr="00377F55">
        <w:rPr>
          <w:sz w:val="24"/>
          <w:szCs w:val="24"/>
        </w:rPr>
        <w:t xml:space="preserve">still </w:t>
      </w:r>
      <w:r w:rsidR="00FC701F" w:rsidRPr="00377F55">
        <w:rPr>
          <w:sz w:val="24"/>
          <w:szCs w:val="24"/>
        </w:rPr>
        <w:t>argue</w:t>
      </w:r>
      <w:r w:rsidR="00392C07" w:rsidRPr="00377F55">
        <w:rPr>
          <w:sz w:val="24"/>
          <w:szCs w:val="24"/>
        </w:rPr>
        <w:t xml:space="preserve"> that </w:t>
      </w:r>
      <w:r w:rsidR="006A447B" w:rsidRPr="00377F55">
        <w:rPr>
          <w:sz w:val="24"/>
          <w:szCs w:val="24"/>
        </w:rPr>
        <w:t xml:space="preserve">John </w:t>
      </w:r>
      <w:r w:rsidR="00392C07" w:rsidRPr="00377F55">
        <w:rPr>
          <w:sz w:val="24"/>
          <w:szCs w:val="24"/>
        </w:rPr>
        <w:t>Hyrcanus</w:t>
      </w:r>
      <w:r w:rsidR="0016152E" w:rsidRPr="00377F55">
        <w:rPr>
          <w:sz w:val="24"/>
          <w:szCs w:val="24"/>
        </w:rPr>
        <w:t xml:space="preserve"> or his counsellors</w:t>
      </w:r>
      <w:r w:rsidR="00392C07" w:rsidRPr="00377F55">
        <w:rPr>
          <w:sz w:val="24"/>
          <w:szCs w:val="24"/>
        </w:rPr>
        <w:t xml:space="preserve">, having only a vague knowledge of the situation in Italy, </w:t>
      </w:r>
      <w:r w:rsidR="00DA5584" w:rsidRPr="00377F55">
        <w:rPr>
          <w:sz w:val="24"/>
          <w:szCs w:val="24"/>
        </w:rPr>
        <w:t>drew inspiration from the</w:t>
      </w:r>
      <w:r w:rsidR="00D14E7B" w:rsidRPr="00377F55">
        <w:rPr>
          <w:sz w:val="24"/>
          <w:szCs w:val="24"/>
        </w:rPr>
        <w:t xml:space="preserve"> general </w:t>
      </w:r>
      <w:r w:rsidR="000979C5" w:rsidRPr="00377F55">
        <w:rPr>
          <w:sz w:val="24"/>
          <w:szCs w:val="24"/>
        </w:rPr>
        <w:t>representation</w:t>
      </w:r>
      <w:r w:rsidR="00D14E7B" w:rsidRPr="00377F55">
        <w:rPr>
          <w:sz w:val="24"/>
          <w:szCs w:val="24"/>
        </w:rPr>
        <w:t xml:space="preserve"> </w:t>
      </w:r>
      <w:r w:rsidR="00DA5584" w:rsidRPr="00377F55">
        <w:rPr>
          <w:sz w:val="24"/>
          <w:szCs w:val="24"/>
        </w:rPr>
        <w:t>they had of</w:t>
      </w:r>
      <w:r w:rsidR="00D14E7B" w:rsidRPr="00377F55">
        <w:rPr>
          <w:sz w:val="24"/>
          <w:szCs w:val="24"/>
        </w:rPr>
        <w:t xml:space="preserve"> the political </w:t>
      </w:r>
      <w:r w:rsidR="003F05BF" w:rsidRPr="00377F55">
        <w:rPr>
          <w:sz w:val="24"/>
          <w:szCs w:val="24"/>
        </w:rPr>
        <w:t xml:space="preserve">strategy of the Romans. But it is </w:t>
      </w:r>
      <w:r w:rsidR="0082420B" w:rsidRPr="00377F55">
        <w:rPr>
          <w:sz w:val="24"/>
          <w:szCs w:val="24"/>
        </w:rPr>
        <w:t>dubious</w:t>
      </w:r>
      <w:r w:rsidR="003F05BF" w:rsidRPr="00377F55">
        <w:rPr>
          <w:sz w:val="24"/>
          <w:szCs w:val="24"/>
        </w:rPr>
        <w:t xml:space="preserve"> that the Roman model</w:t>
      </w:r>
      <w:r w:rsidR="00DA2B8B" w:rsidRPr="00377F55">
        <w:rPr>
          <w:sz w:val="24"/>
          <w:szCs w:val="24"/>
        </w:rPr>
        <w:t xml:space="preserve"> in itself</w:t>
      </w:r>
      <w:r w:rsidR="003F05BF" w:rsidRPr="00377F55">
        <w:rPr>
          <w:sz w:val="24"/>
          <w:szCs w:val="24"/>
        </w:rPr>
        <w:t xml:space="preserve"> </w:t>
      </w:r>
      <w:r w:rsidR="0082420B" w:rsidRPr="00377F55">
        <w:rPr>
          <w:sz w:val="24"/>
          <w:szCs w:val="24"/>
        </w:rPr>
        <w:t>was</w:t>
      </w:r>
      <w:r w:rsidR="00DA2B8B" w:rsidRPr="00377F55">
        <w:rPr>
          <w:sz w:val="24"/>
          <w:szCs w:val="24"/>
        </w:rPr>
        <w:t xml:space="preserve"> the factor t</w:t>
      </w:r>
      <w:r w:rsidR="0082420B" w:rsidRPr="00377F55">
        <w:rPr>
          <w:sz w:val="24"/>
          <w:szCs w:val="24"/>
        </w:rPr>
        <w:t>hat prompted</w:t>
      </w:r>
      <w:r w:rsidR="00377F55">
        <w:rPr>
          <w:sz w:val="24"/>
          <w:szCs w:val="24"/>
        </w:rPr>
        <w:t xml:space="preserve"> Hyrcanus to integrate the Idumeans</w:t>
      </w:r>
      <w:r w:rsidR="00140ED9">
        <w:rPr>
          <w:sz w:val="24"/>
          <w:szCs w:val="24"/>
        </w:rPr>
        <w:t xml:space="preserve">, </w:t>
      </w:r>
      <w:r w:rsidR="00140ED9" w:rsidRPr="00377F55">
        <w:rPr>
          <w:sz w:val="24"/>
          <w:szCs w:val="24"/>
        </w:rPr>
        <w:t>especially if one considers that the beginning of Hyrcanus’s conquests is also the point at which we stop to have evidence for contacts between the Hasmoneans and the Romans (up to Pompey’s intervention).</w:t>
      </w:r>
      <w:r w:rsidR="003F6F70">
        <w:rPr>
          <w:rStyle w:val="Marquenotebasdepage"/>
          <w:sz w:val="24"/>
          <w:szCs w:val="24"/>
        </w:rPr>
        <w:footnoteReference w:id="41"/>
      </w:r>
      <w:r w:rsidR="00377F55">
        <w:rPr>
          <w:sz w:val="24"/>
          <w:szCs w:val="24"/>
        </w:rPr>
        <w:t xml:space="preserve"> Many other factors provide better explanations, such as the need for</w:t>
      </w:r>
      <w:r w:rsidR="00140ED9">
        <w:rPr>
          <w:sz w:val="24"/>
          <w:szCs w:val="24"/>
        </w:rPr>
        <w:t xml:space="preserve"> </w:t>
      </w:r>
      <w:r w:rsidR="00511F84">
        <w:rPr>
          <w:sz w:val="24"/>
          <w:szCs w:val="24"/>
        </w:rPr>
        <w:t>allies</w:t>
      </w:r>
      <w:r w:rsidR="00B95F93">
        <w:rPr>
          <w:sz w:val="24"/>
          <w:szCs w:val="24"/>
        </w:rPr>
        <w:t>,</w:t>
      </w:r>
      <w:r w:rsidR="00511F84">
        <w:rPr>
          <w:sz w:val="24"/>
          <w:szCs w:val="24"/>
        </w:rPr>
        <w:t xml:space="preserve"> in order to control the newly conquered territories and to pursue the conquest even further</w:t>
      </w:r>
      <w:r w:rsidR="00B95F93">
        <w:rPr>
          <w:sz w:val="24"/>
          <w:szCs w:val="24"/>
        </w:rPr>
        <w:t>;</w:t>
      </w:r>
      <w:r w:rsidR="003E03E4">
        <w:rPr>
          <w:sz w:val="24"/>
          <w:szCs w:val="24"/>
        </w:rPr>
        <w:t xml:space="preserve"> the cultural proximi</w:t>
      </w:r>
      <w:r w:rsidR="00B95F93">
        <w:rPr>
          <w:sz w:val="24"/>
          <w:szCs w:val="24"/>
        </w:rPr>
        <w:t>ty between Judeans and Idumeans;</w:t>
      </w:r>
      <w:r w:rsidR="003E03E4">
        <w:rPr>
          <w:sz w:val="24"/>
          <w:szCs w:val="24"/>
        </w:rPr>
        <w:t xml:space="preserve"> the biblical genealogy making </w:t>
      </w:r>
      <w:r w:rsidR="00511F84">
        <w:rPr>
          <w:sz w:val="24"/>
          <w:szCs w:val="24"/>
        </w:rPr>
        <w:t xml:space="preserve">the </w:t>
      </w:r>
      <w:r w:rsidR="003E03E4">
        <w:rPr>
          <w:sz w:val="24"/>
          <w:szCs w:val="24"/>
        </w:rPr>
        <w:t>Edomit</w:t>
      </w:r>
      <w:r w:rsidR="00511F84">
        <w:rPr>
          <w:sz w:val="24"/>
          <w:szCs w:val="24"/>
        </w:rPr>
        <w:t>es (</w:t>
      </w:r>
      <w:r w:rsidR="003E03E4">
        <w:rPr>
          <w:sz w:val="24"/>
          <w:szCs w:val="24"/>
        </w:rPr>
        <w:t>Idumeans</w:t>
      </w:r>
      <w:r w:rsidR="00511F84">
        <w:rPr>
          <w:sz w:val="24"/>
          <w:szCs w:val="24"/>
        </w:rPr>
        <w:t>)</w:t>
      </w:r>
      <w:r w:rsidR="003E03E4">
        <w:rPr>
          <w:sz w:val="24"/>
          <w:szCs w:val="24"/>
        </w:rPr>
        <w:t xml:space="preserve"> “brothers” of the Israel</w:t>
      </w:r>
      <w:r w:rsidR="00D75F73">
        <w:rPr>
          <w:sz w:val="24"/>
          <w:szCs w:val="24"/>
        </w:rPr>
        <w:t>ites</w:t>
      </w:r>
      <w:r w:rsidR="003E03E4">
        <w:rPr>
          <w:sz w:val="24"/>
          <w:szCs w:val="24"/>
        </w:rPr>
        <w:t xml:space="preserve">, etc. </w:t>
      </w:r>
      <w:r w:rsidR="00AF5BD3">
        <w:rPr>
          <w:sz w:val="24"/>
          <w:szCs w:val="24"/>
        </w:rPr>
        <w:t>All in all,</w:t>
      </w:r>
      <w:r w:rsidR="00763769">
        <w:rPr>
          <w:sz w:val="24"/>
          <w:szCs w:val="24"/>
        </w:rPr>
        <w:t xml:space="preserve"> thus,</w:t>
      </w:r>
      <w:r w:rsidR="00AF5BD3">
        <w:rPr>
          <w:sz w:val="24"/>
          <w:szCs w:val="24"/>
        </w:rPr>
        <w:t xml:space="preserve"> </w:t>
      </w:r>
      <w:r w:rsidR="002F4454">
        <w:rPr>
          <w:sz w:val="24"/>
          <w:szCs w:val="24"/>
        </w:rPr>
        <w:t>the hypothesis according to which</w:t>
      </w:r>
      <w:r w:rsidR="00BA0D5C">
        <w:rPr>
          <w:sz w:val="24"/>
          <w:szCs w:val="24"/>
        </w:rPr>
        <w:t xml:space="preserve"> </w:t>
      </w:r>
      <w:r w:rsidR="00AF5BD3">
        <w:rPr>
          <w:sz w:val="24"/>
          <w:szCs w:val="24"/>
        </w:rPr>
        <w:t xml:space="preserve">the judaization of the Idumeans </w:t>
      </w:r>
      <w:r w:rsidR="003F4934">
        <w:rPr>
          <w:sz w:val="24"/>
          <w:szCs w:val="24"/>
        </w:rPr>
        <w:t>is</w:t>
      </w:r>
      <w:r w:rsidR="002F4454">
        <w:rPr>
          <w:sz w:val="24"/>
          <w:szCs w:val="24"/>
        </w:rPr>
        <w:t xml:space="preserve"> to be explained by an impact of </w:t>
      </w:r>
      <w:r w:rsidR="005345E2">
        <w:rPr>
          <w:sz w:val="24"/>
          <w:szCs w:val="24"/>
        </w:rPr>
        <w:t xml:space="preserve">the </w:t>
      </w:r>
      <w:r w:rsidR="002F4454">
        <w:rPr>
          <w:sz w:val="24"/>
          <w:szCs w:val="24"/>
        </w:rPr>
        <w:t>Roman policy</w:t>
      </w:r>
      <w:r w:rsidR="00DB4DC4">
        <w:rPr>
          <w:sz w:val="24"/>
          <w:szCs w:val="24"/>
        </w:rPr>
        <w:t xml:space="preserve"> upon the Hasmoneans</w:t>
      </w:r>
      <w:r w:rsidR="00652B93">
        <w:rPr>
          <w:sz w:val="24"/>
          <w:szCs w:val="24"/>
        </w:rPr>
        <w:t xml:space="preserve"> </w:t>
      </w:r>
      <w:r w:rsidR="00C5795F">
        <w:rPr>
          <w:sz w:val="24"/>
          <w:szCs w:val="24"/>
        </w:rPr>
        <w:t xml:space="preserve">remains </w:t>
      </w:r>
      <w:r w:rsidR="00652B93">
        <w:rPr>
          <w:sz w:val="24"/>
          <w:szCs w:val="24"/>
        </w:rPr>
        <w:t>very unlikely</w:t>
      </w:r>
      <w:r w:rsidR="003F4934">
        <w:rPr>
          <w:sz w:val="24"/>
          <w:szCs w:val="24"/>
        </w:rPr>
        <w:t>.</w:t>
      </w:r>
    </w:p>
    <w:p w14:paraId="2FDD360B" w14:textId="77777777" w:rsidR="00CC270F" w:rsidRDefault="00CC270F" w:rsidP="00140D2A">
      <w:pPr>
        <w:tabs>
          <w:tab w:val="left" w:pos="284"/>
          <w:tab w:val="left" w:pos="567"/>
          <w:tab w:val="left" w:pos="851"/>
        </w:tabs>
        <w:spacing w:line="360" w:lineRule="exact"/>
        <w:rPr>
          <w:color w:val="FF0000"/>
          <w:szCs w:val="24"/>
        </w:rPr>
      </w:pPr>
    </w:p>
    <w:p w14:paraId="546F0EB3" w14:textId="77777777" w:rsidR="000E6895" w:rsidRDefault="000E6895" w:rsidP="00140D2A">
      <w:pPr>
        <w:tabs>
          <w:tab w:val="left" w:pos="284"/>
          <w:tab w:val="left" w:pos="567"/>
          <w:tab w:val="left" w:pos="851"/>
        </w:tabs>
        <w:spacing w:line="360" w:lineRule="exact"/>
      </w:pPr>
    </w:p>
    <w:p w14:paraId="4393C68A" w14:textId="77777777" w:rsidR="002A5B63" w:rsidRDefault="002A5B63" w:rsidP="00140D2A">
      <w:pPr>
        <w:tabs>
          <w:tab w:val="left" w:pos="284"/>
          <w:tab w:val="left" w:pos="567"/>
          <w:tab w:val="left" w:pos="851"/>
        </w:tabs>
        <w:spacing w:line="360" w:lineRule="exact"/>
      </w:pPr>
    </w:p>
    <w:p w14:paraId="173469FC" w14:textId="77777777" w:rsidR="00B34740" w:rsidRDefault="0009282D" w:rsidP="00140D2A">
      <w:pPr>
        <w:tabs>
          <w:tab w:val="left" w:pos="284"/>
          <w:tab w:val="left" w:pos="567"/>
          <w:tab w:val="left" w:pos="851"/>
        </w:tabs>
        <w:spacing w:line="360" w:lineRule="exact"/>
        <w:rPr>
          <w:b/>
        </w:rPr>
      </w:pPr>
      <w:r w:rsidRPr="0009282D">
        <w:rPr>
          <w:b/>
        </w:rPr>
        <w:t xml:space="preserve">2. </w:t>
      </w:r>
      <w:r w:rsidR="00B34740">
        <w:rPr>
          <w:b/>
        </w:rPr>
        <w:t xml:space="preserve">The acceptance of new “citizens” in the Jewish communities of the </w:t>
      </w:r>
      <w:r w:rsidR="00B9493F">
        <w:rPr>
          <w:b/>
        </w:rPr>
        <w:t>Roman empire</w:t>
      </w:r>
    </w:p>
    <w:p w14:paraId="50D2B7D2" w14:textId="77777777" w:rsidR="00B34740" w:rsidRDefault="00B34740" w:rsidP="00140D2A">
      <w:pPr>
        <w:tabs>
          <w:tab w:val="left" w:pos="284"/>
          <w:tab w:val="left" w:pos="567"/>
          <w:tab w:val="left" w:pos="851"/>
        </w:tabs>
        <w:spacing w:line="360" w:lineRule="exact"/>
        <w:rPr>
          <w:b/>
        </w:rPr>
      </w:pPr>
    </w:p>
    <w:p w14:paraId="3EE2D3DF" w14:textId="77777777" w:rsidR="0009282D" w:rsidRPr="005F00E4" w:rsidRDefault="00B34740" w:rsidP="00140D2A">
      <w:pPr>
        <w:tabs>
          <w:tab w:val="left" w:pos="284"/>
          <w:tab w:val="left" w:pos="567"/>
          <w:tab w:val="left" w:pos="851"/>
        </w:tabs>
        <w:spacing w:line="360" w:lineRule="exact"/>
      </w:pPr>
      <w:r w:rsidRPr="005F00E4">
        <w:tab/>
        <w:t xml:space="preserve">2.1 </w:t>
      </w:r>
      <w:r w:rsidR="00193F0E" w:rsidRPr="005F00E4">
        <w:t>Jewish</w:t>
      </w:r>
      <w:r w:rsidR="007E46F5" w:rsidRPr="005F00E4">
        <w:t xml:space="preserve"> use of</w:t>
      </w:r>
      <w:r w:rsidR="00C356C5">
        <w:t xml:space="preserve"> </w:t>
      </w:r>
      <w:r w:rsidR="00C74380">
        <w:t>civic</w:t>
      </w:r>
      <w:r w:rsidR="00193F0E" w:rsidRPr="005F00E4">
        <w:t xml:space="preserve"> </w:t>
      </w:r>
      <w:r w:rsidR="005131E7">
        <w:t>vocabulary in the D</w:t>
      </w:r>
      <w:r w:rsidR="007E46F5" w:rsidRPr="005F00E4">
        <w:t>iaspora</w:t>
      </w:r>
    </w:p>
    <w:p w14:paraId="1EE6F106" w14:textId="77777777" w:rsidR="00AD145E" w:rsidRDefault="00AD145E" w:rsidP="00140D2A">
      <w:pPr>
        <w:tabs>
          <w:tab w:val="left" w:pos="284"/>
          <w:tab w:val="left" w:pos="567"/>
          <w:tab w:val="left" w:pos="851"/>
        </w:tabs>
        <w:spacing w:line="360" w:lineRule="exact"/>
      </w:pPr>
    </w:p>
    <w:p w14:paraId="1CB932F2" w14:textId="77777777" w:rsidR="007F6C7C" w:rsidRDefault="004B0D0D" w:rsidP="00140D2A">
      <w:pPr>
        <w:tabs>
          <w:tab w:val="left" w:pos="284"/>
          <w:tab w:val="left" w:pos="567"/>
          <w:tab w:val="left" w:pos="851"/>
        </w:tabs>
        <w:spacing w:line="360" w:lineRule="exact"/>
      </w:pPr>
      <w:r>
        <w:t xml:space="preserve">If one looks at the books of the Septuagint that were translated from Hebrew, very few occurrences of </w:t>
      </w:r>
      <w:r w:rsidRPr="004B0D0D">
        <w:rPr>
          <w:i/>
        </w:rPr>
        <w:t>politēs</w:t>
      </w:r>
      <w:r>
        <w:t xml:space="preserve">, </w:t>
      </w:r>
      <w:r w:rsidRPr="004B0D0D">
        <w:rPr>
          <w:i/>
        </w:rPr>
        <w:t>politeia</w:t>
      </w:r>
      <w:r>
        <w:t xml:space="preserve">, </w:t>
      </w:r>
      <w:r w:rsidRPr="004B0D0D">
        <w:rPr>
          <w:i/>
        </w:rPr>
        <w:t>politeuma</w:t>
      </w:r>
      <w:r w:rsidR="00C12098">
        <w:t xml:space="preserve"> or</w:t>
      </w:r>
      <w:r>
        <w:t xml:space="preserve"> </w:t>
      </w:r>
      <w:r w:rsidR="00DD6790">
        <w:rPr>
          <w:i/>
        </w:rPr>
        <w:t>politeuom</w:t>
      </w:r>
      <w:r w:rsidRPr="004B0D0D">
        <w:rPr>
          <w:i/>
        </w:rPr>
        <w:t>ai</w:t>
      </w:r>
      <w:r w:rsidR="00DD6790">
        <w:t xml:space="preserve"> </w:t>
      </w:r>
      <w:r w:rsidR="00DB1DEC">
        <w:t>are</w:t>
      </w:r>
      <w:r w:rsidR="00DD6790">
        <w:t xml:space="preserve"> found.</w:t>
      </w:r>
      <w:r>
        <w:t xml:space="preserve"> </w:t>
      </w:r>
      <w:r w:rsidR="007F6C7C">
        <w:t xml:space="preserve">In Genesis 23:11, the expression </w:t>
      </w:r>
      <w:r w:rsidR="007F6C7C" w:rsidRPr="007F6C7C">
        <w:rPr>
          <w:i/>
        </w:rPr>
        <w:t>beney ‘ami</w:t>
      </w:r>
      <w:r w:rsidR="007F6C7C">
        <w:t xml:space="preserve">, “sons of my people,” used by Ephron the Hittite, is translated </w:t>
      </w:r>
      <w:r w:rsidR="004B4E5F">
        <w:t>by</w:t>
      </w:r>
      <w:r w:rsidR="007F6C7C">
        <w:t xml:space="preserve"> </w:t>
      </w:r>
      <w:r w:rsidR="007F6C7C" w:rsidRPr="007F6C7C">
        <w:rPr>
          <w:i/>
        </w:rPr>
        <w:t>politai</w:t>
      </w:r>
      <w:r w:rsidR="007F6C7C">
        <w:t xml:space="preserve">. </w:t>
      </w:r>
      <w:r w:rsidR="00F10C50">
        <w:t xml:space="preserve">In Proverbs 11:9.12, 24:28, </w:t>
      </w:r>
      <w:r w:rsidR="007F7635">
        <w:t xml:space="preserve">Jer 36:23 (LXX; TM 29:23), 38:34 (LXX; TM 31:34), the term </w:t>
      </w:r>
      <w:r w:rsidR="007F7635" w:rsidRPr="004B0D0D">
        <w:rPr>
          <w:i/>
        </w:rPr>
        <w:t>politēs</w:t>
      </w:r>
      <w:r w:rsidR="007F7635">
        <w:t xml:space="preserve"> is used to translate the Hebrew </w:t>
      </w:r>
      <w:r w:rsidR="007F7635" w:rsidRPr="007F7635">
        <w:rPr>
          <w:i/>
        </w:rPr>
        <w:t>re‘a</w:t>
      </w:r>
      <w:r w:rsidR="007F7635">
        <w:t xml:space="preserve">, “neighbour”; finally, Zechariah 13:7 uses </w:t>
      </w:r>
      <w:r w:rsidR="007F7635" w:rsidRPr="004B0D0D">
        <w:rPr>
          <w:i/>
        </w:rPr>
        <w:t>politēs</w:t>
      </w:r>
      <w:r w:rsidR="007F7635">
        <w:t xml:space="preserve"> for </w:t>
      </w:r>
      <w:r w:rsidR="007F7635" w:rsidRPr="007F7635">
        <w:rPr>
          <w:i/>
        </w:rPr>
        <w:t>‘amit</w:t>
      </w:r>
      <w:r w:rsidR="007F7635">
        <w:t xml:space="preserve">, “fellow”. </w:t>
      </w:r>
      <w:r w:rsidR="00D45562">
        <w:t xml:space="preserve">Insofar as ancient Israel was a monarchy and not a </w:t>
      </w:r>
      <w:r w:rsidR="00D45562" w:rsidRPr="00D45562">
        <w:rPr>
          <w:i/>
        </w:rPr>
        <w:t>polis</w:t>
      </w:r>
      <w:r w:rsidR="00D45562">
        <w:t>, it is not surprising that the Jewish translators refrained from using civic vocabulary in their work.</w:t>
      </w:r>
    </w:p>
    <w:p w14:paraId="07E4377F" w14:textId="77777777" w:rsidR="00BE074C" w:rsidRDefault="00D45562" w:rsidP="00140D2A">
      <w:pPr>
        <w:tabs>
          <w:tab w:val="left" w:pos="284"/>
          <w:tab w:val="left" w:pos="567"/>
          <w:tab w:val="left" w:pos="851"/>
        </w:tabs>
        <w:spacing w:line="360" w:lineRule="exact"/>
      </w:pPr>
      <w:r>
        <w:tab/>
      </w:r>
      <w:r w:rsidR="000502BA">
        <w:t>I</w:t>
      </w:r>
      <w:r w:rsidR="00AB406E">
        <w:t>n Jewish literature written</w:t>
      </w:r>
      <w:r>
        <w:t xml:space="preserve"> directly</w:t>
      </w:r>
      <w:r w:rsidR="00AB406E">
        <w:t xml:space="preserve"> in Greek</w:t>
      </w:r>
      <w:r>
        <w:t xml:space="preserve"> during the Hellenistic and Roman period</w:t>
      </w:r>
      <w:r w:rsidR="00AB406E">
        <w:t xml:space="preserve">, </w:t>
      </w:r>
      <w:r>
        <w:t xml:space="preserve">the situation is very different, and </w:t>
      </w:r>
      <w:r w:rsidR="007A6942">
        <w:t>the use of Greek political vocabulary in order to describe</w:t>
      </w:r>
      <w:r w:rsidR="0044050D">
        <w:t xml:space="preserve"> the Jewish people and its laws can be traced back to</w:t>
      </w:r>
      <w:r w:rsidR="00AB406E">
        <w:t xml:space="preserve"> the 2</w:t>
      </w:r>
      <w:r w:rsidR="00AB406E" w:rsidRPr="00AB406E">
        <w:rPr>
          <w:vertAlign w:val="superscript"/>
        </w:rPr>
        <w:t>nd</w:t>
      </w:r>
      <w:r w:rsidR="00AB406E">
        <w:t xml:space="preserve"> century BCE</w:t>
      </w:r>
      <w:r>
        <w:t xml:space="preserve"> at least</w:t>
      </w:r>
      <w:r w:rsidR="00AB406E">
        <w:t xml:space="preserve">. </w:t>
      </w:r>
      <w:r w:rsidR="007A6942">
        <w:t>I</w:t>
      </w:r>
      <w:r w:rsidR="00AB406E">
        <w:t>n</w:t>
      </w:r>
      <w:r>
        <w:t xml:space="preserve"> the </w:t>
      </w:r>
      <w:r w:rsidRPr="0044050D">
        <w:rPr>
          <w:i/>
        </w:rPr>
        <w:t>Letter of Aristeas</w:t>
      </w:r>
      <w:r w:rsidR="00AB406E">
        <w:t xml:space="preserve"> </w:t>
      </w:r>
      <w:r>
        <w:t xml:space="preserve">and in </w:t>
      </w:r>
      <w:r w:rsidR="00AB406E" w:rsidRPr="00482E51">
        <w:t>2 Maccabees</w:t>
      </w:r>
      <w:r w:rsidR="007A6942">
        <w:t xml:space="preserve">, for instance, </w:t>
      </w:r>
      <w:r w:rsidR="00B105A2">
        <w:t xml:space="preserve">the </w:t>
      </w:r>
      <w:r w:rsidR="0044050D">
        <w:t xml:space="preserve">members of the Jewish </w:t>
      </w:r>
      <w:r w:rsidR="0044050D" w:rsidRPr="00AB406E">
        <w:rPr>
          <w:i/>
        </w:rPr>
        <w:t>ethnos</w:t>
      </w:r>
      <w:r w:rsidR="0044050D">
        <w:t xml:space="preserve"> are described as </w:t>
      </w:r>
      <w:r w:rsidR="005F00E4">
        <w:t xml:space="preserve">fellow </w:t>
      </w:r>
      <w:r w:rsidR="0044050D">
        <w:t xml:space="preserve">citizens, </w:t>
      </w:r>
      <w:r w:rsidR="0044050D" w:rsidRPr="00AB406E">
        <w:rPr>
          <w:i/>
        </w:rPr>
        <w:t>politai</w:t>
      </w:r>
      <w:r w:rsidR="00AB406E">
        <w:t>.</w:t>
      </w:r>
      <w:r w:rsidR="00B96E0C">
        <w:rPr>
          <w:rStyle w:val="Marquenotebasdepage"/>
        </w:rPr>
        <w:footnoteReference w:id="42"/>
      </w:r>
      <w:r w:rsidR="00AB406E">
        <w:t xml:space="preserve"> The term </w:t>
      </w:r>
      <w:r w:rsidR="00AB406E" w:rsidRPr="00AB406E">
        <w:rPr>
          <w:i/>
        </w:rPr>
        <w:t>politeia</w:t>
      </w:r>
      <w:r w:rsidR="00AB406E">
        <w:t xml:space="preserve"> </w:t>
      </w:r>
      <w:r w:rsidR="00A80F8E">
        <w:t xml:space="preserve">is used as well and </w:t>
      </w:r>
      <w:r w:rsidR="00873AE7">
        <w:t xml:space="preserve">generally </w:t>
      </w:r>
      <w:r w:rsidR="00AB406E">
        <w:t>refers to the constitution or the body of laws and customs followed by the Jews, who are</w:t>
      </w:r>
      <w:r w:rsidR="00C41824">
        <w:t xml:space="preserve"> fellow</w:t>
      </w:r>
      <w:r w:rsidR="00AB406E">
        <w:t xml:space="preserve"> </w:t>
      </w:r>
      <w:r w:rsidR="00AB406E" w:rsidRPr="00B96E0C">
        <w:rPr>
          <w:i/>
        </w:rPr>
        <w:t>politai</w:t>
      </w:r>
      <w:r w:rsidR="000502BA">
        <w:t xml:space="preserve"> to one another</w:t>
      </w:r>
      <w:r w:rsidR="00AB406E">
        <w:t xml:space="preserve">, no matter where they </w:t>
      </w:r>
      <w:r w:rsidR="000502BA">
        <w:t>dwell</w:t>
      </w:r>
      <w:r w:rsidR="00AB406E">
        <w:t xml:space="preserve">, insofar as they live </w:t>
      </w:r>
      <w:r w:rsidR="00B96E0C">
        <w:t>under</w:t>
      </w:r>
      <w:r w:rsidR="00AB406E">
        <w:t xml:space="preserve"> the same laws.</w:t>
      </w:r>
      <w:r w:rsidR="00540284">
        <w:rPr>
          <w:rStyle w:val="Marquenotebasdepage"/>
        </w:rPr>
        <w:footnoteReference w:id="43"/>
      </w:r>
      <w:r w:rsidR="00AB406E">
        <w:t xml:space="preserve"> </w:t>
      </w:r>
      <w:r w:rsidR="005749B7">
        <w:t xml:space="preserve">The main idea is that the Law of Moses is the ancestral constitution of the Jewish </w:t>
      </w:r>
      <w:r w:rsidR="005749B7" w:rsidRPr="005749B7">
        <w:rPr>
          <w:i/>
        </w:rPr>
        <w:t>ethnos</w:t>
      </w:r>
      <w:r w:rsidR="005749B7">
        <w:t>.</w:t>
      </w:r>
      <w:r w:rsidR="005E77FB">
        <w:rPr>
          <w:rStyle w:val="Marquenotebasdepage"/>
        </w:rPr>
        <w:footnoteReference w:id="44"/>
      </w:r>
      <w:r w:rsidR="003A2A3E">
        <w:t xml:space="preserve"> </w:t>
      </w:r>
      <w:r w:rsidR="00482E51">
        <w:t xml:space="preserve">In one case at least, 2 Maccabees 13:14, </w:t>
      </w:r>
      <w:r w:rsidR="00482E51" w:rsidRPr="00482E51">
        <w:rPr>
          <w:i/>
        </w:rPr>
        <w:t>politeia</w:t>
      </w:r>
      <w:r w:rsidR="00482E51">
        <w:t xml:space="preserve"> may</w:t>
      </w:r>
      <w:r w:rsidR="00BA36C9">
        <w:t xml:space="preserve"> however</w:t>
      </w:r>
      <w:r w:rsidR="00482E51">
        <w:t xml:space="preserve"> designate the body of the citizens, a meaning that goes back to Aristotle and which is frequent in Philo’s work.</w:t>
      </w:r>
      <w:r w:rsidR="00BA36C9">
        <w:rPr>
          <w:rStyle w:val="Marquenotebasdepage"/>
        </w:rPr>
        <w:footnoteReference w:id="45"/>
      </w:r>
      <w:r w:rsidR="00482E51">
        <w:t xml:space="preserve"> </w:t>
      </w:r>
    </w:p>
    <w:p w14:paraId="5931C4D9" w14:textId="77777777" w:rsidR="00CF55D5" w:rsidRDefault="00BC1C5E" w:rsidP="00140D2A">
      <w:pPr>
        <w:tabs>
          <w:tab w:val="left" w:pos="284"/>
          <w:tab w:val="left" w:pos="567"/>
          <w:tab w:val="left" w:pos="851"/>
        </w:tabs>
        <w:spacing w:line="360" w:lineRule="exact"/>
      </w:pPr>
      <w:r>
        <w:tab/>
        <w:t xml:space="preserve">In the Hellenistic and Roman world, Jews were sometimes citizens of the </w:t>
      </w:r>
      <w:r w:rsidRPr="00BC1C5E">
        <w:rPr>
          <w:i/>
        </w:rPr>
        <w:t>poleis</w:t>
      </w:r>
      <w:r>
        <w:t xml:space="preserve"> in which they dwelt. From the first century BCE onwards, some Jews also received Roman citizenship.</w:t>
      </w:r>
      <w:r w:rsidR="00714D86">
        <w:rPr>
          <w:rStyle w:val="Marquenotebasdepage"/>
        </w:rPr>
        <w:footnoteReference w:id="46"/>
      </w:r>
      <w:r w:rsidR="003E7A56">
        <w:t xml:space="preserve"> Jews in the diapora therefore had quite an extensive knowledge of the way civic institutions worked. </w:t>
      </w:r>
      <w:r w:rsidR="00E91D0B">
        <w:t xml:space="preserve">The fact that they tended to describe </w:t>
      </w:r>
      <w:r w:rsidR="00CC4F21">
        <w:t>membership with</w:t>
      </w:r>
      <w:r w:rsidR="00E91D0B">
        <w:t xml:space="preserve"> the Jewish </w:t>
      </w:r>
      <w:r w:rsidR="00E91D0B" w:rsidRPr="00C74380">
        <w:rPr>
          <w:i/>
        </w:rPr>
        <w:t>ethnos</w:t>
      </w:r>
      <w:r w:rsidR="00CC4F21">
        <w:t xml:space="preserve"> in terms of citizenship</w:t>
      </w:r>
      <w:r w:rsidR="00E91D0B">
        <w:t xml:space="preserve">, despite the fact that Jerusalem was not a </w:t>
      </w:r>
      <w:r w:rsidR="00E91D0B" w:rsidRPr="00E91D0B">
        <w:rPr>
          <w:i/>
        </w:rPr>
        <w:t>polis</w:t>
      </w:r>
      <w:r w:rsidR="00E91D0B">
        <w:t xml:space="preserve"> and the subsequent lack of a Judean citizenship, </w:t>
      </w:r>
      <w:r w:rsidR="00104A9D">
        <w:t xml:space="preserve">tells a lot about the power of attraction of the Greek model upon </w:t>
      </w:r>
      <w:r w:rsidR="00C74380">
        <w:t xml:space="preserve">the </w:t>
      </w:r>
      <w:r w:rsidR="00104A9D">
        <w:t>Jews.</w:t>
      </w:r>
    </w:p>
    <w:p w14:paraId="65599E22" w14:textId="77777777" w:rsidR="00104A9D" w:rsidRDefault="0040679D" w:rsidP="00140D2A">
      <w:pPr>
        <w:tabs>
          <w:tab w:val="left" w:pos="284"/>
          <w:tab w:val="left" w:pos="567"/>
          <w:tab w:val="left" w:pos="851"/>
        </w:tabs>
        <w:spacing w:line="360" w:lineRule="exact"/>
      </w:pPr>
      <w:r>
        <w:tab/>
      </w:r>
      <w:r w:rsidR="00CC4F21">
        <w:t>For sure</w:t>
      </w:r>
      <w:r>
        <w:t xml:space="preserve">, Jewish communities in the Diaspora were sometimes organized as </w:t>
      </w:r>
      <w:r w:rsidRPr="0040679D">
        <w:rPr>
          <w:i/>
        </w:rPr>
        <w:t>politeumata</w:t>
      </w:r>
      <w:r w:rsidR="007F0F56">
        <w:t>.</w:t>
      </w:r>
      <w:r w:rsidR="007F0F56">
        <w:rPr>
          <w:rStyle w:val="Marquenotebasdepage"/>
        </w:rPr>
        <w:footnoteReference w:id="47"/>
      </w:r>
      <w:r>
        <w:t xml:space="preserve"> </w:t>
      </w:r>
      <w:r w:rsidR="0093685D">
        <w:t>However,</w:t>
      </w:r>
      <w:r w:rsidR="00CC4F21">
        <w:t xml:space="preserve"> these </w:t>
      </w:r>
      <w:r w:rsidR="00CC4F21" w:rsidRPr="00CC4F21">
        <w:rPr>
          <w:i/>
        </w:rPr>
        <w:t>politeumata</w:t>
      </w:r>
      <w:r>
        <w:t xml:space="preserve"> were not civic bodies, but rather a kind of association</w:t>
      </w:r>
      <w:r w:rsidR="00153753">
        <w:t xml:space="preserve">. Members of a </w:t>
      </w:r>
      <w:r w:rsidR="00153753" w:rsidRPr="00153753">
        <w:rPr>
          <w:i/>
        </w:rPr>
        <w:t>politeuma</w:t>
      </w:r>
      <w:r w:rsidR="00153753">
        <w:t xml:space="preserve"> were not necessarily citizens of the city in which the </w:t>
      </w:r>
      <w:r w:rsidR="00153753" w:rsidRPr="00153753">
        <w:rPr>
          <w:i/>
        </w:rPr>
        <w:t>politeuma</w:t>
      </w:r>
      <w:r w:rsidR="00153753">
        <w:t xml:space="preserve"> was found, but on the other hand, </w:t>
      </w:r>
      <w:r w:rsidR="0093685D">
        <w:t xml:space="preserve">membership in a </w:t>
      </w:r>
      <w:r w:rsidR="0093685D" w:rsidRPr="00110E02">
        <w:rPr>
          <w:i/>
        </w:rPr>
        <w:t>politeuma</w:t>
      </w:r>
      <w:r w:rsidR="0093685D">
        <w:t xml:space="preserve"> was</w:t>
      </w:r>
      <w:r w:rsidR="00153753">
        <w:t xml:space="preserve"> not </w:t>
      </w:r>
      <w:r w:rsidR="001D5937">
        <w:t>necessarily</w:t>
      </w:r>
      <w:r w:rsidR="0093685D">
        <w:t xml:space="preserve"> incompatible with a proper local citizenship</w:t>
      </w:r>
      <w:r>
        <w:t>.</w:t>
      </w:r>
      <w:r w:rsidR="0093685D">
        <w:rPr>
          <w:rStyle w:val="Marquenotebasdepage"/>
        </w:rPr>
        <w:footnoteReference w:id="48"/>
      </w:r>
      <w:r w:rsidR="00110E02">
        <w:t xml:space="preserve"> </w:t>
      </w:r>
      <w:r w:rsidR="00F2341F">
        <w:t>Whatever</w:t>
      </w:r>
      <w:r w:rsidR="00D33927">
        <w:t xml:space="preserve"> the exact status of the Jewish communities (whether they were </w:t>
      </w:r>
      <w:r w:rsidR="00D33927" w:rsidRPr="00D33927">
        <w:rPr>
          <w:i/>
        </w:rPr>
        <w:t>politeumata</w:t>
      </w:r>
      <w:r w:rsidR="00D33927">
        <w:t xml:space="preserve"> or not), s</w:t>
      </w:r>
      <w:r w:rsidR="00153753">
        <w:t>ome</w:t>
      </w:r>
      <w:r w:rsidR="00110E02">
        <w:t xml:space="preserve"> sources attr</w:t>
      </w:r>
      <w:r w:rsidR="00153753">
        <w:t>ibute a lot of autonomy to the</w:t>
      </w:r>
      <w:r w:rsidR="00110E02">
        <w:t xml:space="preserve"> Jewish communities</w:t>
      </w:r>
      <w:r w:rsidR="00153753">
        <w:t xml:space="preserve"> in the Diaspora</w:t>
      </w:r>
      <w:r w:rsidR="007809A8">
        <w:t>, to the point of describing a k</w:t>
      </w:r>
      <w:r w:rsidR="00110E02">
        <w:t xml:space="preserve">ind of self-administration. Thus Josephus attributes to Strabo </w:t>
      </w:r>
      <w:r w:rsidR="006B2B3E">
        <w:t>the following statement:</w:t>
      </w:r>
    </w:p>
    <w:p w14:paraId="3A146E5F" w14:textId="77777777" w:rsidR="006B2B3E" w:rsidRDefault="006B2B3E" w:rsidP="00D05736">
      <w:pPr>
        <w:tabs>
          <w:tab w:val="left" w:pos="284"/>
          <w:tab w:val="left" w:pos="567"/>
          <w:tab w:val="left" w:pos="851"/>
        </w:tabs>
        <w:spacing w:line="360" w:lineRule="exact"/>
        <w:ind w:left="284"/>
      </w:pPr>
      <w:r>
        <w:t>“</w:t>
      </w:r>
      <w:r w:rsidRPr="006B2B3E">
        <w:t>And it has come about that Cyre</w:t>
      </w:r>
      <w:r>
        <w:t xml:space="preserve">ne, which had the same rulers </w:t>
      </w:r>
      <w:r w:rsidRPr="006B2B3E">
        <w:t>as Egypt, has imitated it in many respects, particularly in notably encouraging and aiding the expansion of the organized groups of Jews</w:t>
      </w:r>
      <w:r w:rsidR="00456D53">
        <w:t xml:space="preserve"> (</w:t>
      </w:r>
      <w:r w:rsidR="00456D53" w:rsidRPr="00456D53">
        <w:rPr>
          <w:rFonts w:ascii="Gentium" w:hAnsi="Gentium"/>
        </w:rPr>
        <w:t>τ</w:t>
      </w:r>
      <w:r w:rsidR="00456D53" w:rsidRPr="00456D53">
        <w:rPr>
          <w:rFonts w:ascii="Gentium" w:hAnsi="Gentium" w:cs="New Athena Unicode"/>
        </w:rPr>
        <w:t>ὰ</w:t>
      </w:r>
      <w:r w:rsidR="00456D53" w:rsidRPr="00456D53">
        <w:rPr>
          <w:rFonts w:ascii="Gentium" w:hAnsi="Gentium"/>
        </w:rPr>
        <w:t xml:space="preserve"> συντ</w:t>
      </w:r>
      <w:r w:rsidR="00456D53" w:rsidRPr="00456D53">
        <w:rPr>
          <w:rFonts w:ascii="Gentium" w:hAnsi="Gentium" w:cs="New Athena Unicode"/>
        </w:rPr>
        <w:t>ά</w:t>
      </w:r>
      <w:r w:rsidR="00456D53" w:rsidRPr="00456D53">
        <w:rPr>
          <w:rFonts w:ascii="Gentium" w:hAnsi="Gentium"/>
        </w:rPr>
        <w:t>γματα τ</w:t>
      </w:r>
      <w:r w:rsidR="00456D53" w:rsidRPr="00456D53">
        <w:rPr>
          <w:rFonts w:ascii="Gentium" w:hAnsi="Gentium" w:cs="New Athena Unicode"/>
        </w:rPr>
        <w:t>ῶ</w:t>
      </w:r>
      <w:r w:rsidR="00456D53" w:rsidRPr="00456D53">
        <w:rPr>
          <w:rFonts w:ascii="Gentium" w:hAnsi="Gentium"/>
        </w:rPr>
        <w:t xml:space="preserve">ν </w:t>
      </w:r>
      <w:r w:rsidR="00456D53" w:rsidRPr="00456D53">
        <w:rPr>
          <w:rFonts w:ascii="Gentium" w:hAnsi="Gentium" w:cs="New Athena Unicode"/>
        </w:rPr>
        <w:t>Ἰ</w:t>
      </w:r>
      <w:r w:rsidR="00456D53" w:rsidRPr="00456D53">
        <w:rPr>
          <w:rFonts w:ascii="Gentium" w:hAnsi="Gentium"/>
        </w:rPr>
        <w:t>ουδα</w:t>
      </w:r>
      <w:r w:rsidR="00456D53" w:rsidRPr="00456D53">
        <w:rPr>
          <w:rFonts w:ascii="Gentium" w:hAnsi="Gentium" w:cs="New Athena Unicode"/>
        </w:rPr>
        <w:t>ί</w:t>
      </w:r>
      <w:r w:rsidR="00456D53" w:rsidRPr="00456D53">
        <w:rPr>
          <w:rFonts w:ascii="Gentium" w:hAnsi="Gentium"/>
        </w:rPr>
        <w:t>ων</w:t>
      </w:r>
      <w:r w:rsidR="00456D53">
        <w:t>)</w:t>
      </w:r>
      <w:r w:rsidRPr="006B2B3E">
        <w:t>, which observe the national Jewish laws (</w:t>
      </w:r>
      <w:r w:rsidR="00456D53" w:rsidRPr="00456D53">
        <w:rPr>
          <w:rFonts w:ascii="Gentium" w:hAnsi="Gentium"/>
        </w:rPr>
        <w:t>το</w:t>
      </w:r>
      <w:r w:rsidR="00456D53" w:rsidRPr="00456D53">
        <w:rPr>
          <w:rFonts w:ascii="Gentium" w:hAnsi="Gentium" w:cs="New Athena Unicode"/>
        </w:rPr>
        <w:t>ῖ</w:t>
      </w:r>
      <w:r w:rsidR="00456D53" w:rsidRPr="00456D53">
        <w:rPr>
          <w:rFonts w:ascii="Gentium" w:hAnsi="Gentium"/>
        </w:rPr>
        <w:t>ς πατρ</w:t>
      </w:r>
      <w:r w:rsidR="00456D53" w:rsidRPr="00456D53">
        <w:rPr>
          <w:rFonts w:ascii="Gentium" w:hAnsi="Gentium" w:cs="New Athena Unicode"/>
        </w:rPr>
        <w:t>ί</w:t>
      </w:r>
      <w:r w:rsidR="00456D53" w:rsidRPr="00456D53">
        <w:rPr>
          <w:rFonts w:ascii="Gentium" w:hAnsi="Gentium"/>
        </w:rPr>
        <w:t>οις τ</w:t>
      </w:r>
      <w:r w:rsidR="00456D53" w:rsidRPr="00456D53">
        <w:rPr>
          <w:rFonts w:ascii="Gentium" w:hAnsi="Gentium" w:cs="New Athena Unicode"/>
        </w:rPr>
        <w:t>ῶ</w:t>
      </w:r>
      <w:r w:rsidR="00456D53" w:rsidRPr="00456D53">
        <w:rPr>
          <w:rFonts w:ascii="Gentium" w:hAnsi="Gentium"/>
        </w:rPr>
        <w:t xml:space="preserve">ν </w:t>
      </w:r>
      <w:r w:rsidR="00456D53" w:rsidRPr="00456D53">
        <w:rPr>
          <w:rFonts w:ascii="Gentium" w:hAnsi="Gentium" w:cs="New Athena Unicode"/>
        </w:rPr>
        <w:t>Ἰ</w:t>
      </w:r>
      <w:r w:rsidR="00456D53" w:rsidRPr="00456D53">
        <w:rPr>
          <w:rFonts w:ascii="Gentium" w:hAnsi="Gentium"/>
        </w:rPr>
        <w:t>ουδα</w:t>
      </w:r>
      <w:r w:rsidR="00456D53" w:rsidRPr="00456D53">
        <w:rPr>
          <w:rFonts w:ascii="Gentium" w:hAnsi="Gentium" w:cs="New Athena Unicode"/>
        </w:rPr>
        <w:t>ί</w:t>
      </w:r>
      <w:r w:rsidR="00456D53" w:rsidRPr="00456D53">
        <w:rPr>
          <w:rFonts w:ascii="Gentium" w:hAnsi="Gentium"/>
        </w:rPr>
        <w:t>ων ν</w:t>
      </w:r>
      <w:r w:rsidR="00456D53" w:rsidRPr="00456D53">
        <w:rPr>
          <w:rFonts w:ascii="Gentium" w:hAnsi="Gentium" w:cs="New Athena Unicode"/>
        </w:rPr>
        <w:t>ό</w:t>
      </w:r>
      <w:r w:rsidR="00456D53" w:rsidRPr="00456D53">
        <w:rPr>
          <w:rFonts w:ascii="Gentium" w:hAnsi="Gentium"/>
        </w:rPr>
        <w:t>μοις</w:t>
      </w:r>
      <w:r w:rsidRPr="006B2B3E">
        <w:t>). In Egypt, for example, territory has been set a</w:t>
      </w:r>
      <w:r w:rsidR="00456D53">
        <w:t>part for a Jewish settlement,</w:t>
      </w:r>
      <w:r w:rsidRPr="006B2B3E">
        <w:t xml:space="preserve"> and in Alexandria a great part of the city has been allocated to this nation (</w:t>
      </w:r>
      <w:r w:rsidR="00456D53" w:rsidRPr="00456D53">
        <w:rPr>
          <w:rFonts w:ascii="Gentium" w:hAnsi="Gentium"/>
        </w:rPr>
        <w:t>τ</w:t>
      </w:r>
      <w:r w:rsidR="00456D53" w:rsidRPr="00456D53">
        <w:rPr>
          <w:rFonts w:ascii="Gentium" w:hAnsi="Gentium" w:cs="New Athena Unicode"/>
        </w:rPr>
        <w:t>ῷ</w:t>
      </w:r>
      <w:r w:rsidR="00456D53" w:rsidRPr="00456D53">
        <w:rPr>
          <w:rFonts w:ascii="Gentium" w:hAnsi="Gentium"/>
        </w:rPr>
        <w:t xml:space="preserve"> </w:t>
      </w:r>
      <w:r w:rsidR="00456D53" w:rsidRPr="00456D53">
        <w:rPr>
          <w:rFonts w:ascii="Gentium" w:hAnsi="Gentium" w:cs="New Athena Unicode"/>
        </w:rPr>
        <w:t>ἔ</w:t>
      </w:r>
      <w:r w:rsidR="00456D53" w:rsidRPr="00456D53">
        <w:rPr>
          <w:rFonts w:ascii="Gentium" w:hAnsi="Gentium"/>
        </w:rPr>
        <w:t>θνει το</w:t>
      </w:r>
      <w:r w:rsidR="00456D53" w:rsidRPr="00456D53">
        <w:rPr>
          <w:rFonts w:ascii="Gentium" w:hAnsi="Gentium" w:cs="New Athena Unicode"/>
        </w:rPr>
        <w:t>ύ</w:t>
      </w:r>
      <w:r w:rsidR="00456D53" w:rsidRPr="00456D53">
        <w:rPr>
          <w:rFonts w:ascii="Gentium" w:hAnsi="Gentium"/>
        </w:rPr>
        <w:t>τ</w:t>
      </w:r>
      <w:r w:rsidR="00456D53" w:rsidRPr="00456D53">
        <w:rPr>
          <w:rFonts w:ascii="Gentium" w:hAnsi="Gentium" w:cs="New Athena Unicode"/>
        </w:rPr>
        <w:t>ῳ</w:t>
      </w:r>
      <w:r w:rsidR="00456D53">
        <w:t>).</w:t>
      </w:r>
      <w:r w:rsidRPr="006B2B3E">
        <w:t xml:space="preserve"> And an ethnarch of their own has been installed, who governs the people (</w:t>
      </w:r>
      <w:r w:rsidR="00456D53" w:rsidRPr="00456D53">
        <w:rPr>
          <w:rFonts w:ascii="Gentium" w:hAnsi="Gentium"/>
        </w:rPr>
        <w:t>τ</w:t>
      </w:r>
      <w:r w:rsidR="00456D53" w:rsidRPr="00456D53">
        <w:rPr>
          <w:rFonts w:ascii="Gentium" w:hAnsi="Gentium" w:cs="New Athena Unicode"/>
        </w:rPr>
        <w:t>ὸ</w:t>
      </w:r>
      <w:r w:rsidR="00456D53" w:rsidRPr="00456D53">
        <w:rPr>
          <w:rFonts w:ascii="Gentium" w:hAnsi="Gentium"/>
        </w:rPr>
        <w:t xml:space="preserve"> </w:t>
      </w:r>
      <w:r w:rsidR="00456D53" w:rsidRPr="00456D53">
        <w:rPr>
          <w:rFonts w:ascii="Gentium" w:hAnsi="Gentium" w:cs="New Athena Unicode"/>
        </w:rPr>
        <w:t>ἔ</w:t>
      </w:r>
      <w:r w:rsidR="00456D53" w:rsidRPr="00456D53">
        <w:rPr>
          <w:rFonts w:ascii="Gentium" w:hAnsi="Gentium"/>
        </w:rPr>
        <w:t>θνος</w:t>
      </w:r>
      <w:r w:rsidRPr="006B2B3E">
        <w:t>) and adjudicates suits and supervises contracts and ordinances, just as if he were the head of</w:t>
      </w:r>
      <w:r>
        <w:t xml:space="preserve"> a sovereign state (</w:t>
      </w:r>
      <w:r w:rsidR="00DE6214" w:rsidRPr="00DE6214">
        <w:rPr>
          <w:rFonts w:ascii="Gentium" w:hAnsi="Gentium" w:cs="New Athena Unicode"/>
        </w:rPr>
        <w:t>ὡ</w:t>
      </w:r>
      <w:r w:rsidR="00DE6214" w:rsidRPr="00DE6214">
        <w:rPr>
          <w:rFonts w:ascii="Gentium" w:hAnsi="Gentium"/>
        </w:rPr>
        <w:t xml:space="preserve">ς </w:t>
      </w:r>
      <w:r w:rsidR="00DE6214" w:rsidRPr="00DE6214">
        <w:rPr>
          <w:rFonts w:ascii="Gentium" w:hAnsi="Gentium" w:cs="New Athena Unicode"/>
        </w:rPr>
        <w:t>ἂ</w:t>
      </w:r>
      <w:r w:rsidR="00DE6214" w:rsidRPr="00DE6214">
        <w:rPr>
          <w:rFonts w:ascii="Gentium" w:hAnsi="Gentium"/>
        </w:rPr>
        <w:t>ν πολιτε</w:t>
      </w:r>
      <w:r w:rsidR="00DE6214" w:rsidRPr="00DE6214">
        <w:rPr>
          <w:rFonts w:ascii="Gentium" w:hAnsi="Gentium" w:cs="New Athena Unicode"/>
        </w:rPr>
        <w:t>ί</w:t>
      </w:r>
      <w:r w:rsidR="00DE6214" w:rsidRPr="00DE6214">
        <w:rPr>
          <w:rFonts w:ascii="Gentium" w:hAnsi="Gentium"/>
        </w:rPr>
        <w:t xml:space="preserve">ας </w:t>
      </w:r>
      <w:r w:rsidR="00DE6214" w:rsidRPr="00DE6214">
        <w:rPr>
          <w:rFonts w:ascii="Gentium" w:hAnsi="Gentium" w:cs="New Athena Unicode"/>
        </w:rPr>
        <w:t>ἄ</w:t>
      </w:r>
      <w:r w:rsidR="00DE6214" w:rsidRPr="00DE6214">
        <w:rPr>
          <w:rFonts w:ascii="Gentium" w:hAnsi="Gentium"/>
        </w:rPr>
        <w:t>ρχων α</w:t>
      </w:r>
      <w:r w:rsidR="00DE6214" w:rsidRPr="00DE6214">
        <w:rPr>
          <w:rFonts w:ascii="Gentium" w:hAnsi="Gentium" w:cs="New Athena Unicode"/>
        </w:rPr>
        <w:t>ὐ</w:t>
      </w:r>
      <w:r w:rsidR="00DE6214" w:rsidRPr="00DE6214">
        <w:rPr>
          <w:rFonts w:ascii="Gentium" w:hAnsi="Gentium"/>
        </w:rPr>
        <w:t>τοτελο</w:t>
      </w:r>
      <w:r w:rsidR="00DE6214" w:rsidRPr="00DE6214">
        <w:rPr>
          <w:rFonts w:ascii="Gentium" w:hAnsi="Gentium" w:cs="New Athena Unicode"/>
        </w:rPr>
        <w:t>ῦ</w:t>
      </w:r>
      <w:r w:rsidR="00DE6214" w:rsidRPr="00DE6214">
        <w:rPr>
          <w:rFonts w:ascii="Gentium" w:hAnsi="Gentium"/>
        </w:rPr>
        <w:t>ς</w:t>
      </w:r>
      <w:r>
        <w:t>).”</w:t>
      </w:r>
      <w:r>
        <w:rPr>
          <w:rStyle w:val="Marquenotebasdepage"/>
        </w:rPr>
        <w:footnoteReference w:id="49"/>
      </w:r>
    </w:p>
    <w:p w14:paraId="3CDAFB31" w14:textId="77777777" w:rsidR="00A031E3" w:rsidRDefault="00D05736" w:rsidP="00140D2A">
      <w:pPr>
        <w:tabs>
          <w:tab w:val="left" w:pos="284"/>
          <w:tab w:val="left" w:pos="567"/>
          <w:tab w:val="left" w:pos="851"/>
        </w:tabs>
        <w:spacing w:line="360" w:lineRule="exact"/>
      </w:pPr>
      <w:r>
        <w:t xml:space="preserve">Even if Josephus is to be trusted and these are the exact words of Strabo, he is merely comparing the Jewish </w:t>
      </w:r>
      <w:r w:rsidRPr="007809A8">
        <w:rPr>
          <w:i/>
        </w:rPr>
        <w:t>ethnos</w:t>
      </w:r>
      <w:r>
        <w:t xml:space="preserve"> with a civic entity. The Jewish ethnarch behave</w:t>
      </w:r>
      <w:r w:rsidR="007809A8">
        <w:t>s</w:t>
      </w:r>
      <w:r>
        <w:t xml:space="preserve"> </w:t>
      </w:r>
      <w:r w:rsidRPr="00D05736">
        <w:rPr>
          <w:i/>
        </w:rPr>
        <w:t>as if</w:t>
      </w:r>
      <w:r>
        <w:t xml:space="preserve"> (</w:t>
      </w:r>
      <w:r w:rsidRPr="00DE6214">
        <w:rPr>
          <w:rFonts w:ascii="Gentium" w:hAnsi="Gentium" w:cs="New Athena Unicode"/>
        </w:rPr>
        <w:t>ὡ</w:t>
      </w:r>
      <w:r w:rsidRPr="00DE6214">
        <w:rPr>
          <w:rFonts w:ascii="Gentium" w:hAnsi="Gentium"/>
        </w:rPr>
        <w:t>ς</w:t>
      </w:r>
      <w:r>
        <w:t xml:space="preserve">) he were the head of a sovereign </w:t>
      </w:r>
      <w:r w:rsidRPr="00D05736">
        <w:rPr>
          <w:i/>
        </w:rPr>
        <w:t>politeia</w:t>
      </w:r>
      <w:r>
        <w:t xml:space="preserve">. It does not mean that the Jewish group is in fact a </w:t>
      </w:r>
      <w:r w:rsidRPr="00D05736">
        <w:rPr>
          <w:i/>
        </w:rPr>
        <w:t>politeia</w:t>
      </w:r>
      <w:r>
        <w:t>.</w:t>
      </w:r>
      <w:r w:rsidR="003C3042">
        <w:t xml:space="preserve"> </w:t>
      </w:r>
      <w:r w:rsidR="004C0812">
        <w:t xml:space="preserve">It is still described as an </w:t>
      </w:r>
      <w:r w:rsidR="004C0812" w:rsidRPr="004C0812">
        <w:rPr>
          <w:i/>
        </w:rPr>
        <w:t>ethnos</w:t>
      </w:r>
      <w:r w:rsidR="004C0812">
        <w:t xml:space="preserve">. </w:t>
      </w:r>
      <w:r w:rsidR="0081365E">
        <w:t xml:space="preserve">Nonetheless, this text may help understand why Jews in the Diaspora </w:t>
      </w:r>
      <w:r w:rsidR="0077276B">
        <w:t>sometimes</w:t>
      </w:r>
      <w:r w:rsidR="0081365E">
        <w:t xml:space="preserve"> call</w:t>
      </w:r>
      <w:r w:rsidR="0077276B">
        <w:t>ed</w:t>
      </w:r>
      <w:r w:rsidR="0081365E">
        <w:t xml:space="preserve"> themselves </w:t>
      </w:r>
      <w:r w:rsidR="0077276B" w:rsidRPr="0077276B">
        <w:rPr>
          <w:i/>
        </w:rPr>
        <w:t>politai</w:t>
      </w:r>
      <w:r w:rsidR="0077276B">
        <w:t xml:space="preserve"> of a Jewish polity.</w:t>
      </w:r>
    </w:p>
    <w:p w14:paraId="37E367FC" w14:textId="77777777" w:rsidR="00D05736" w:rsidRDefault="00D05736" w:rsidP="00140D2A">
      <w:pPr>
        <w:tabs>
          <w:tab w:val="left" w:pos="284"/>
          <w:tab w:val="left" w:pos="567"/>
          <w:tab w:val="left" w:pos="851"/>
        </w:tabs>
        <w:spacing w:line="360" w:lineRule="exact"/>
      </w:pPr>
    </w:p>
    <w:p w14:paraId="2A18F894" w14:textId="77777777" w:rsidR="00D87937" w:rsidRDefault="00D87937" w:rsidP="00140D2A">
      <w:pPr>
        <w:tabs>
          <w:tab w:val="left" w:pos="284"/>
          <w:tab w:val="left" w:pos="567"/>
          <w:tab w:val="left" w:pos="851"/>
        </w:tabs>
        <w:spacing w:line="360" w:lineRule="exact"/>
      </w:pPr>
    </w:p>
    <w:p w14:paraId="1B050AED" w14:textId="77777777" w:rsidR="00D87937" w:rsidRDefault="00C74380" w:rsidP="00D87937">
      <w:pPr>
        <w:tabs>
          <w:tab w:val="left" w:pos="280"/>
          <w:tab w:val="left" w:pos="560"/>
          <w:tab w:val="left" w:pos="1120"/>
          <w:tab w:val="left" w:pos="1700"/>
          <w:tab w:val="left" w:pos="2260"/>
        </w:tabs>
        <w:spacing w:line="360" w:lineRule="exact"/>
      </w:pPr>
      <w:r>
        <w:tab/>
        <w:t>2.2</w:t>
      </w:r>
      <w:r w:rsidR="00D87937">
        <w:t xml:space="preserve"> Proselytes as new “citizens”</w:t>
      </w:r>
    </w:p>
    <w:p w14:paraId="2B80F2AD" w14:textId="77777777" w:rsidR="00D87937" w:rsidRDefault="00D87937" w:rsidP="00140D2A">
      <w:pPr>
        <w:tabs>
          <w:tab w:val="left" w:pos="284"/>
          <w:tab w:val="left" w:pos="567"/>
          <w:tab w:val="left" w:pos="851"/>
        </w:tabs>
        <w:spacing w:line="360" w:lineRule="exact"/>
      </w:pPr>
    </w:p>
    <w:p w14:paraId="0CEAA2C1" w14:textId="77777777" w:rsidR="007F3C65" w:rsidRDefault="0044050D" w:rsidP="00140D2A">
      <w:pPr>
        <w:tabs>
          <w:tab w:val="left" w:pos="284"/>
          <w:tab w:val="left" w:pos="567"/>
          <w:tab w:val="left" w:pos="851"/>
        </w:tabs>
        <w:spacing w:line="360" w:lineRule="exact"/>
      </w:pPr>
      <w:r>
        <w:t>Philo</w:t>
      </w:r>
      <w:r w:rsidR="00C74380">
        <w:t xml:space="preserve"> of Alexandria seems to be the first to</w:t>
      </w:r>
      <w:r>
        <w:t xml:space="preserve"> </w:t>
      </w:r>
      <w:r w:rsidR="00C74380">
        <w:t>formulate</w:t>
      </w:r>
      <w:r>
        <w:t xml:space="preserve"> the idea that proselytes who </w:t>
      </w:r>
      <w:r w:rsidR="00B5022A">
        <w:t>choose to embrace the</w:t>
      </w:r>
      <w:r w:rsidR="00284D48">
        <w:t xml:space="preserve"> creed and the</w:t>
      </w:r>
      <w:r w:rsidR="00B5022A">
        <w:t xml:space="preserve"> lifestyle of the Jews</w:t>
      </w:r>
      <w:r>
        <w:t xml:space="preserve"> become</w:t>
      </w:r>
      <w:r w:rsidR="00156964">
        <w:t xml:space="preserve"> </w:t>
      </w:r>
      <w:r>
        <w:t>citizens</w:t>
      </w:r>
      <w:r w:rsidR="00C74380">
        <w:t xml:space="preserve"> of</w:t>
      </w:r>
      <w:r w:rsidR="00156964">
        <w:t xml:space="preserve"> the </w:t>
      </w:r>
      <w:r w:rsidR="00156964" w:rsidRPr="006657FB">
        <w:rPr>
          <w:i/>
        </w:rPr>
        <w:t>politeia</w:t>
      </w:r>
      <w:r w:rsidR="00156964">
        <w:t xml:space="preserve"> of Moses.</w:t>
      </w:r>
      <w:r w:rsidR="00156964">
        <w:rPr>
          <w:rStyle w:val="Marquenotebasdepage"/>
        </w:rPr>
        <w:footnoteReference w:id="50"/>
      </w:r>
      <w:r w:rsidR="00156964">
        <w:t xml:space="preserve"> </w:t>
      </w:r>
      <w:r w:rsidR="005C222A">
        <w:t xml:space="preserve">In this case, </w:t>
      </w:r>
      <w:r w:rsidR="005C222A" w:rsidRPr="005C222A">
        <w:rPr>
          <w:i/>
        </w:rPr>
        <w:t>politeia</w:t>
      </w:r>
      <w:r w:rsidR="005C222A">
        <w:t xml:space="preserve"> </w:t>
      </w:r>
      <w:r w:rsidR="00E26BFC">
        <w:t>refers to</w:t>
      </w:r>
      <w:r w:rsidR="005C222A">
        <w:t xml:space="preserve"> the community of the citizens rather than </w:t>
      </w:r>
      <w:r w:rsidR="00D96E30">
        <w:t xml:space="preserve">to </w:t>
      </w:r>
      <w:r w:rsidR="005C222A">
        <w:t>the constitution.</w:t>
      </w:r>
      <w:r w:rsidR="00F064EB">
        <w:rPr>
          <w:rStyle w:val="Marquenotebasdepage"/>
        </w:rPr>
        <w:footnoteReference w:id="51"/>
      </w:r>
      <w:r w:rsidR="005C222A">
        <w:t xml:space="preserve"> </w:t>
      </w:r>
      <w:r w:rsidR="00831367">
        <w:t xml:space="preserve">Of course, in Philo’s </w:t>
      </w:r>
      <w:r w:rsidR="00625CEF">
        <w:t>work</w:t>
      </w:r>
      <w:r w:rsidR="00831367">
        <w:t xml:space="preserve">, </w:t>
      </w:r>
      <w:r w:rsidR="00A160CD">
        <w:t>the discourse about the integration of new “citizens” in</w:t>
      </w:r>
      <w:r w:rsidR="007F3C65">
        <w:t>to</w:t>
      </w:r>
      <w:r w:rsidR="00A160CD">
        <w:t xml:space="preserve"> the </w:t>
      </w:r>
      <w:r w:rsidR="00A160CD" w:rsidRPr="009A34C1">
        <w:rPr>
          <w:i/>
        </w:rPr>
        <w:t>politeia</w:t>
      </w:r>
      <w:r w:rsidR="00831367">
        <w:t xml:space="preserve"> of Moses is</w:t>
      </w:r>
      <w:r w:rsidR="00A160CD">
        <w:t xml:space="preserve"> a metaphor</w:t>
      </w:r>
      <w:r w:rsidR="003A2A3E">
        <w:t>,</w:t>
      </w:r>
      <w:r w:rsidR="00A160CD">
        <w:t xml:space="preserve"> </w:t>
      </w:r>
      <w:r w:rsidR="003A2A3E">
        <w:t>not</w:t>
      </w:r>
      <w:r w:rsidR="00831367">
        <w:t xml:space="preserve"> a political reality, but </w:t>
      </w:r>
      <w:r w:rsidR="00FE6B4D">
        <w:t>some of his remarks probably</w:t>
      </w:r>
      <w:r w:rsidR="00831367">
        <w:t xml:space="preserve"> </w:t>
      </w:r>
      <w:r w:rsidR="000502BA">
        <w:t>have to do with</w:t>
      </w:r>
      <w:r w:rsidR="00831367">
        <w:t xml:space="preserve"> the </w:t>
      </w:r>
      <w:r w:rsidR="002B5082">
        <w:t>phenomenon</w:t>
      </w:r>
      <w:r w:rsidR="00831367">
        <w:t xml:space="preserve"> of </w:t>
      </w:r>
      <w:r w:rsidR="002B5082">
        <w:t xml:space="preserve">non-Jews </w:t>
      </w:r>
      <w:r w:rsidR="00113715">
        <w:t>joining</w:t>
      </w:r>
      <w:r w:rsidR="002B5082">
        <w:t xml:space="preserve"> the Jewish community </w:t>
      </w:r>
      <w:r w:rsidR="00831367">
        <w:t>in Alexandria.</w:t>
      </w:r>
    </w:p>
    <w:p w14:paraId="207279AB" w14:textId="77777777" w:rsidR="00C63D29" w:rsidRPr="00C63D29" w:rsidRDefault="007F3C65" w:rsidP="00140D2A">
      <w:pPr>
        <w:tabs>
          <w:tab w:val="left" w:pos="284"/>
          <w:tab w:val="left" w:pos="567"/>
          <w:tab w:val="left" w:pos="851"/>
        </w:tabs>
        <w:spacing w:line="360" w:lineRule="exact"/>
      </w:pPr>
      <w:r>
        <w:tab/>
      </w:r>
      <w:r w:rsidR="00625CEF">
        <w:t>According to Philo, the p</w:t>
      </w:r>
      <w:r w:rsidR="006820BC">
        <w:t>roselytes</w:t>
      </w:r>
      <w:r w:rsidR="00625CEF">
        <w:t>,</w:t>
      </w:r>
      <w:r w:rsidR="006820BC">
        <w:t xml:space="preserve"> </w:t>
      </w:r>
      <w:r w:rsidR="00625CEF">
        <w:t>as</w:t>
      </w:r>
      <w:r w:rsidR="00831367">
        <w:t xml:space="preserve"> new citizens in the Mosaic </w:t>
      </w:r>
      <w:r w:rsidR="00831367" w:rsidRPr="00C16830">
        <w:rPr>
          <w:i/>
        </w:rPr>
        <w:t>politeia</w:t>
      </w:r>
      <w:r w:rsidR="00831367">
        <w:t>, receive rights that are equal to those of native citizens</w:t>
      </w:r>
      <w:r w:rsidR="00F32165">
        <w:t>. In the treatise</w:t>
      </w:r>
      <w:r w:rsidR="00C63D29">
        <w:t xml:space="preserve"> </w:t>
      </w:r>
      <w:r w:rsidR="00C63D29">
        <w:rPr>
          <w:i/>
        </w:rPr>
        <w:t>On the Special Laws</w:t>
      </w:r>
      <w:r w:rsidR="00C63D29">
        <w:t xml:space="preserve">, </w:t>
      </w:r>
      <w:r w:rsidR="006820BC">
        <w:t xml:space="preserve">in particular, </w:t>
      </w:r>
      <w:r w:rsidR="003662CD">
        <w:t>Philo</w:t>
      </w:r>
      <w:r w:rsidR="00C63D29">
        <w:t xml:space="preserve"> writes:</w:t>
      </w:r>
    </w:p>
    <w:p w14:paraId="62B24765" w14:textId="77777777" w:rsidR="00C63D29" w:rsidRDefault="00C63D29" w:rsidP="00140D2A">
      <w:pPr>
        <w:tabs>
          <w:tab w:val="left" w:pos="284"/>
          <w:tab w:val="left" w:pos="567"/>
          <w:tab w:val="left" w:pos="851"/>
        </w:tabs>
        <w:spacing w:line="360" w:lineRule="exact"/>
        <w:ind w:left="284"/>
      </w:pPr>
      <w:r>
        <w:t>“</w:t>
      </w:r>
      <w:r w:rsidR="00D93BB3">
        <w:t xml:space="preserve">51 </w:t>
      </w:r>
      <w:r w:rsidR="000F1091">
        <w:t>[…]</w:t>
      </w:r>
      <w:r w:rsidR="007B1CF8">
        <w:t xml:space="preserve"> </w:t>
      </w:r>
      <w:r w:rsidR="002D0018">
        <w:t xml:space="preserve">These last he calls ‘proselytes,’ or newly-joined, because they have joined the new and </w:t>
      </w:r>
      <w:r w:rsidR="005B0DAB">
        <w:t>God-loving</w:t>
      </w:r>
      <w:r w:rsidR="002D0018">
        <w:t xml:space="preserve"> commonwealth (</w:t>
      </w:r>
      <w:r w:rsidR="002D0018" w:rsidRPr="002D0018">
        <w:rPr>
          <w:i/>
        </w:rPr>
        <w:t>politeia</w:t>
      </w:r>
      <w:r w:rsidR="002D0018">
        <w:t>)</w:t>
      </w:r>
      <w:r w:rsidR="00B16E62">
        <w:t xml:space="preserve">; they disregard mythical fictions and </w:t>
      </w:r>
      <w:r w:rsidR="004800E8">
        <w:t>seize the pure truth</w:t>
      </w:r>
      <w:r w:rsidR="002D0018">
        <w:t xml:space="preserve">. </w:t>
      </w:r>
      <w:r w:rsidR="005C32DB">
        <w:t>52 </w:t>
      </w:r>
      <w:r w:rsidR="002D0018">
        <w:t xml:space="preserve">Thus, while giving equal </w:t>
      </w:r>
      <w:r w:rsidR="007B1CF8">
        <w:t>honour (</w:t>
      </w:r>
      <w:r w:rsidR="007B1CF8" w:rsidRPr="007B1CF8">
        <w:rPr>
          <w:i/>
        </w:rPr>
        <w:t>isotimia</w:t>
      </w:r>
      <w:r w:rsidR="007B1CF8">
        <w:t>)</w:t>
      </w:r>
      <w:r w:rsidR="002D0018">
        <w:t xml:space="preserve"> to all in-comers with all the privileges which he gives to the native-born, he exhorts the old nobility to honour them not only with marks of respect but with special friendship and with more than ordinary goodwill. And surely there is good reason for this; they have left, he says, their country (</w:t>
      </w:r>
      <w:r w:rsidR="002D0018" w:rsidRPr="002D0018">
        <w:rPr>
          <w:i/>
        </w:rPr>
        <w:t>patris</w:t>
      </w:r>
      <w:r w:rsidR="002D0018">
        <w:t xml:space="preserve">), their kinsfolk and their friends for the sake of virtue and </w:t>
      </w:r>
      <w:r w:rsidR="00F64A1F">
        <w:t>holiness</w:t>
      </w:r>
      <w:r w:rsidR="002D0018">
        <w:t>. Let them not be denied another cit</w:t>
      </w:r>
      <w:r w:rsidR="00F64A1F">
        <w:t>y (</w:t>
      </w:r>
      <w:r w:rsidR="00F64A1F" w:rsidRPr="00F64A1F">
        <w:rPr>
          <w:i/>
        </w:rPr>
        <w:t>polis</w:t>
      </w:r>
      <w:r w:rsidR="00F64A1F">
        <w:t>)</w:t>
      </w:r>
      <w:r w:rsidR="002D0018">
        <w:t xml:space="preserve"> or other ties of family and friendship, and let them find places of shelter standing ready for refugees to the camp of piety</w:t>
      </w:r>
      <w:r w:rsidR="005C1CCB">
        <w:t xml:space="preserve"> […]</w:t>
      </w:r>
      <w:r w:rsidR="007B1CF8">
        <w:t>. 53 </w:t>
      </w:r>
      <w:r w:rsidR="007B2C48">
        <w:t>Yet he counsels them that they must not, presuming on the equal</w:t>
      </w:r>
      <w:r w:rsidR="007B1CF8">
        <w:t>ity before the laws (</w:t>
      </w:r>
      <w:r w:rsidR="007B1CF8" w:rsidRPr="0006539D">
        <w:rPr>
          <w:i/>
        </w:rPr>
        <w:t>isonomia</w:t>
      </w:r>
      <w:r w:rsidR="007B1CF8">
        <w:t xml:space="preserve">) and the tributes </w:t>
      </w:r>
      <w:r w:rsidR="0006539D">
        <w:t>(</w:t>
      </w:r>
      <w:r w:rsidR="0006539D" w:rsidRPr="0006539D">
        <w:rPr>
          <w:i/>
        </w:rPr>
        <w:t>isoteleia</w:t>
      </w:r>
      <w:r w:rsidR="0006539D">
        <w:t>)</w:t>
      </w:r>
      <w:r w:rsidR="007B2C48">
        <w:t xml:space="preserve"> which He grants them because they have denounced the vain imaginings of their fathers and ancestors, deal in idle talk or revile with an unbridled tongue the gods whom others acknowledge, lest they on their part be moved to utter profane words against Him Who truly is. </w:t>
      </w:r>
      <w:r w:rsidR="000F1091">
        <w:t>[…]</w:t>
      </w:r>
      <w:r w:rsidR="00731FDF">
        <w:t>”</w:t>
      </w:r>
      <w:r w:rsidR="00731FDF">
        <w:rPr>
          <w:rStyle w:val="Marquenotebasdepage"/>
        </w:rPr>
        <w:footnoteReference w:id="52"/>
      </w:r>
      <w:r w:rsidR="00831367">
        <w:t xml:space="preserve"> </w:t>
      </w:r>
    </w:p>
    <w:p w14:paraId="6C69E952" w14:textId="77777777" w:rsidR="00291879" w:rsidRDefault="008C3540" w:rsidP="00140D2A">
      <w:pPr>
        <w:tabs>
          <w:tab w:val="left" w:pos="284"/>
          <w:tab w:val="left" w:pos="567"/>
          <w:tab w:val="left" w:pos="851"/>
        </w:tabs>
        <w:spacing w:line="360" w:lineRule="exact"/>
      </w:pPr>
      <w:r>
        <w:t>On the one hand, t</w:t>
      </w:r>
      <w:r w:rsidR="00683E5C">
        <w:t>he idea that the “native-born” (</w:t>
      </w:r>
      <w:r w:rsidR="00534BC7" w:rsidRPr="00534BC7">
        <w:rPr>
          <w:rFonts w:ascii="Gentium" w:hAnsi="Gentium"/>
        </w:rPr>
        <w:t>α</w:t>
      </w:r>
      <w:r w:rsidR="00534BC7" w:rsidRPr="00534BC7">
        <w:rPr>
          <w:rFonts w:ascii="Gentium" w:hAnsi="Gentium" w:cs="Arial"/>
        </w:rPr>
        <w:t>ὐ</w:t>
      </w:r>
      <w:r w:rsidR="00534BC7" w:rsidRPr="00534BC7">
        <w:rPr>
          <w:rFonts w:ascii="Gentium" w:hAnsi="Gentium"/>
        </w:rPr>
        <w:t>τ</w:t>
      </w:r>
      <w:r w:rsidR="00534BC7" w:rsidRPr="00534BC7">
        <w:rPr>
          <w:rFonts w:ascii="Gentium" w:hAnsi="Gentium" w:cs="Arial"/>
        </w:rPr>
        <w:t>ό</w:t>
      </w:r>
      <w:r w:rsidR="00534BC7" w:rsidRPr="00534BC7">
        <w:rPr>
          <w:rFonts w:ascii="Gentium" w:hAnsi="Gentium"/>
        </w:rPr>
        <w:t>χθ</w:t>
      </w:r>
      <w:r w:rsidR="00534BC7" w:rsidRPr="00534BC7">
        <w:rPr>
          <w:rFonts w:ascii="Gentium" w:hAnsi="Gentium"/>
          <w:lang w:val="en-US"/>
        </w:rPr>
        <w:t>ων</w:t>
      </w:r>
      <w:r w:rsidR="00534BC7">
        <w:t xml:space="preserve">, </w:t>
      </w:r>
      <w:r w:rsidR="00534BC7" w:rsidRPr="00534BC7">
        <w:rPr>
          <w:rFonts w:ascii="Times" w:hAnsi="Times"/>
          <w:i/>
        </w:rPr>
        <w:t>ezra</w:t>
      </w:r>
      <w:r w:rsidR="00534BC7" w:rsidRPr="00534BC7">
        <w:rPr>
          <w:rFonts w:ascii="Times" w:hAnsi="Times" w:cs="American Typewriter"/>
          <w:i/>
        </w:rPr>
        <w:t>ḥ</w:t>
      </w:r>
      <w:r w:rsidR="00534BC7">
        <w:t xml:space="preserve"> in Hebrew</w:t>
      </w:r>
      <w:r w:rsidR="00683E5C">
        <w:t>)</w:t>
      </w:r>
      <w:r w:rsidR="00534BC7">
        <w:t xml:space="preserve"> and the proselyte (</w:t>
      </w:r>
      <w:r w:rsidR="00534BC7" w:rsidRPr="00C72933">
        <w:rPr>
          <w:rFonts w:ascii="Gentium" w:hAnsi="Gentium"/>
        </w:rPr>
        <w:t>προση</w:t>
      </w:r>
      <w:r w:rsidR="00534BC7" w:rsidRPr="00C72933">
        <w:rPr>
          <w:rFonts w:ascii="Gentium" w:hAnsi="Gentium"/>
          <w:lang w:val="en-US"/>
        </w:rPr>
        <w:t>́</w:t>
      </w:r>
      <w:r w:rsidR="00534BC7" w:rsidRPr="00C72933">
        <w:rPr>
          <w:rFonts w:ascii="Gentium" w:hAnsi="Gentium"/>
        </w:rPr>
        <w:t>λυτος</w:t>
      </w:r>
      <w:r w:rsidR="00534BC7">
        <w:t xml:space="preserve"> or </w:t>
      </w:r>
      <w:r w:rsidR="00534BC7" w:rsidRPr="00D06DF5">
        <w:rPr>
          <w:rFonts w:ascii="Gentium" w:hAnsi="Gentium" w:cs="Arial"/>
        </w:rPr>
        <w:t>ἐ</w:t>
      </w:r>
      <w:r w:rsidR="00534BC7" w:rsidRPr="00D06DF5">
        <w:rPr>
          <w:rFonts w:ascii="Gentium" w:hAnsi="Gentium"/>
        </w:rPr>
        <w:t>πηλ</w:t>
      </w:r>
      <w:r w:rsidR="00534BC7" w:rsidRPr="00D06DF5">
        <w:rPr>
          <w:rFonts w:ascii="Gentium" w:hAnsi="Gentium" w:cs="Arial"/>
        </w:rPr>
        <w:t>ύ</w:t>
      </w:r>
      <w:r w:rsidR="00534BC7" w:rsidRPr="00D06DF5">
        <w:rPr>
          <w:rFonts w:ascii="Gentium" w:hAnsi="Gentium"/>
        </w:rPr>
        <w:t>τ</w:t>
      </w:r>
      <w:r w:rsidR="00D06DF5" w:rsidRPr="00D06DF5">
        <w:rPr>
          <w:rFonts w:ascii="Gentium" w:hAnsi="Gentium"/>
          <w:lang w:val="en-US"/>
        </w:rPr>
        <w:t>η</w:t>
      </w:r>
      <w:r w:rsidR="00534BC7" w:rsidRPr="00D06DF5">
        <w:rPr>
          <w:rFonts w:ascii="Gentium" w:hAnsi="Gentium"/>
        </w:rPr>
        <w:t>ς</w:t>
      </w:r>
      <w:r w:rsidR="00534BC7">
        <w:t xml:space="preserve">, </w:t>
      </w:r>
      <w:r w:rsidR="00534BC7" w:rsidRPr="00534BC7">
        <w:rPr>
          <w:i/>
        </w:rPr>
        <w:t>ger</w:t>
      </w:r>
      <w:r w:rsidR="00534BC7">
        <w:t xml:space="preserve"> in Hebrew) are equal in front of the Law is found in several passages of the Pentateuch, for instance in </w:t>
      </w:r>
      <w:r w:rsidR="006E272F">
        <w:t xml:space="preserve">Exodus 12:49 (in connection with Passover) or in </w:t>
      </w:r>
      <w:r w:rsidR="00534BC7">
        <w:t>Leviticus 19:34.</w:t>
      </w:r>
      <w:r w:rsidR="00683E5C">
        <w:t xml:space="preserve"> </w:t>
      </w:r>
      <w:r>
        <w:t>On the other hand, several concepts used by Philo in these paragraphs</w:t>
      </w:r>
      <w:r w:rsidR="00B06E70">
        <w:t xml:space="preserve">, such as </w:t>
      </w:r>
      <w:r w:rsidR="00B06E70" w:rsidRPr="005D4BC8">
        <w:rPr>
          <w:i/>
        </w:rPr>
        <w:t>isotimia</w:t>
      </w:r>
      <w:r w:rsidR="00B06E70">
        <w:t xml:space="preserve"> (§52), </w:t>
      </w:r>
      <w:r w:rsidR="00B06E70" w:rsidRPr="005D4BC8">
        <w:rPr>
          <w:i/>
        </w:rPr>
        <w:t>isonomia</w:t>
      </w:r>
      <w:r w:rsidR="00B06E70">
        <w:t xml:space="preserve"> and </w:t>
      </w:r>
      <w:r w:rsidR="00B06E70" w:rsidRPr="00286CDC">
        <w:rPr>
          <w:i/>
        </w:rPr>
        <w:t>isoteleia</w:t>
      </w:r>
      <w:r w:rsidR="00B06E70">
        <w:t xml:space="preserve"> (§53),</w:t>
      </w:r>
      <w:r>
        <w:t xml:space="preserve"> are thoroughly Greek and </w:t>
      </w:r>
      <w:r w:rsidR="00B06E70">
        <w:t>are absent from the Septuagint</w:t>
      </w:r>
      <w:r>
        <w:t xml:space="preserve">. </w:t>
      </w:r>
      <w:r w:rsidR="00831367">
        <w:t xml:space="preserve">By emphasizing </w:t>
      </w:r>
      <w:r w:rsidR="00831367" w:rsidRPr="005D4BC8">
        <w:rPr>
          <w:i/>
        </w:rPr>
        <w:t>isotimia</w:t>
      </w:r>
      <w:r w:rsidR="00831367">
        <w:t xml:space="preserve">, </w:t>
      </w:r>
      <w:r w:rsidR="00831367" w:rsidRPr="005D4BC8">
        <w:rPr>
          <w:i/>
        </w:rPr>
        <w:t>isonomia</w:t>
      </w:r>
      <w:r w:rsidR="00831367">
        <w:t xml:space="preserve"> and </w:t>
      </w:r>
      <w:r w:rsidR="00831367" w:rsidRPr="00286CDC">
        <w:rPr>
          <w:i/>
        </w:rPr>
        <w:t>isoteleia</w:t>
      </w:r>
      <w:r w:rsidR="00831367">
        <w:t>,</w:t>
      </w:r>
      <w:r w:rsidR="00683E5C">
        <w:t xml:space="preserve"> </w:t>
      </w:r>
      <w:r w:rsidR="00B06E70">
        <w:t xml:space="preserve">however, </w:t>
      </w:r>
      <w:r w:rsidR="00831367">
        <w:t xml:space="preserve">Philo </w:t>
      </w:r>
      <w:r w:rsidR="00C447FD">
        <w:t>tends to define</w:t>
      </w:r>
      <w:r w:rsidR="00831367">
        <w:t xml:space="preserve"> the Mosaic </w:t>
      </w:r>
      <w:r w:rsidR="00831367" w:rsidRPr="00C16830">
        <w:rPr>
          <w:i/>
        </w:rPr>
        <w:t>politeia</w:t>
      </w:r>
      <w:r w:rsidR="00831367">
        <w:t xml:space="preserve"> as a “structure of integration”</w:t>
      </w:r>
      <w:r w:rsidR="00342BFE">
        <w:t xml:space="preserve"> rather than a “structure of participation,”</w:t>
      </w:r>
      <w:r w:rsidR="003A2A3E">
        <w:t xml:space="preserve"> to use Philippe Gauthier’s expression</w:t>
      </w:r>
      <w:r w:rsidR="00342BFE">
        <w:t>s</w:t>
      </w:r>
      <w:r w:rsidR="00831367">
        <w:t>.</w:t>
      </w:r>
      <w:r w:rsidR="00831367">
        <w:rPr>
          <w:rStyle w:val="Marquenotebasdepage"/>
        </w:rPr>
        <w:footnoteReference w:id="53"/>
      </w:r>
      <w:r w:rsidR="003A2A3E">
        <w:t xml:space="preserve"> Gauthier distinguishes between Greek citizenship, characterized by active “participation” in the political life of the </w:t>
      </w:r>
      <w:r w:rsidR="003A2A3E" w:rsidRPr="003A2A3E">
        <w:rPr>
          <w:i/>
        </w:rPr>
        <w:t>polis</w:t>
      </w:r>
      <w:r w:rsidR="003A2A3E">
        <w:t>, and Roman citizenship, characterized by an e</w:t>
      </w:r>
      <w:r w:rsidR="00B74E01">
        <w:t>mphasis on rights and duties – that is, on status</w:t>
      </w:r>
      <w:r w:rsidR="00A04375">
        <w:t xml:space="preserve"> and “integration”</w:t>
      </w:r>
      <w:r w:rsidR="00B74E01">
        <w:t xml:space="preserve"> –</w:t>
      </w:r>
      <w:r w:rsidR="003A2A3E">
        <w:t xml:space="preserve"> rather than on actual parti</w:t>
      </w:r>
      <w:r w:rsidR="00B74E01">
        <w:t>cipation in the institutions</w:t>
      </w:r>
      <w:r w:rsidR="003A2A3E">
        <w:t>.</w:t>
      </w:r>
      <w:r w:rsidR="00B80475">
        <w:t xml:space="preserve"> It must be emphasized that until the beginning of the first century CE at least, Hellenistic </w:t>
      </w:r>
      <w:r w:rsidR="00B80475" w:rsidRPr="003456D2">
        <w:rPr>
          <w:i/>
        </w:rPr>
        <w:t>poleis</w:t>
      </w:r>
      <w:r w:rsidR="00B80475">
        <w:t xml:space="preserve"> still functioned as “structures of participation.”</w:t>
      </w:r>
      <w:r w:rsidR="00B80475">
        <w:rPr>
          <w:rStyle w:val="Marquenotebasdepage"/>
        </w:rPr>
        <w:footnoteReference w:id="54"/>
      </w:r>
      <w:r w:rsidR="00453F85">
        <w:t xml:space="preserve"> </w:t>
      </w:r>
      <w:r w:rsidR="00A04375">
        <w:t>Conversely</w:t>
      </w:r>
      <w:r w:rsidR="00453F85">
        <w:t xml:space="preserve">, </w:t>
      </w:r>
      <w:r w:rsidR="00B255E8">
        <w:t>Cicero</w:t>
      </w:r>
      <w:r w:rsidR="00453F85">
        <w:t>’s definitions of citizenship “insist on the community of law (and thus on the common status of the citizens), and […] leave aside every idea of participation in political life (hence the functions of the citizens).”</w:t>
      </w:r>
      <w:r w:rsidR="00453F85">
        <w:rPr>
          <w:rStyle w:val="Marquenotebasdepage"/>
        </w:rPr>
        <w:footnoteReference w:id="55"/>
      </w:r>
      <w:r w:rsidR="00A04362" w:rsidRPr="00113D69">
        <w:t xml:space="preserve"> </w:t>
      </w:r>
      <w:r w:rsidR="00291879">
        <w:t xml:space="preserve">A comparison between Philo’s discourse about the Mosaic </w:t>
      </w:r>
      <w:r w:rsidR="00291879" w:rsidRPr="006C2E6D">
        <w:rPr>
          <w:i/>
        </w:rPr>
        <w:t>politeia</w:t>
      </w:r>
      <w:r w:rsidR="00291879">
        <w:t xml:space="preserve"> and Cicero’s writings about the Roman </w:t>
      </w:r>
      <w:r w:rsidR="00291879" w:rsidRPr="006C2E6D">
        <w:rPr>
          <w:i/>
        </w:rPr>
        <w:t>civitas</w:t>
      </w:r>
      <w:r w:rsidR="00291879">
        <w:t xml:space="preserve"> shows that both put the emphasis on the community of laws and on the equality of the citizens before the Law. </w:t>
      </w:r>
      <w:r w:rsidR="00831367">
        <w:t xml:space="preserve">Philo therefore </w:t>
      </w:r>
      <w:r w:rsidR="00DB6F3A">
        <w:t>tends to reflect</w:t>
      </w:r>
      <w:r w:rsidR="00831367">
        <w:t xml:space="preserve"> about the Jewish </w:t>
      </w:r>
      <w:r w:rsidR="00831367" w:rsidRPr="00FA2E21">
        <w:rPr>
          <w:i/>
        </w:rPr>
        <w:t>politeia</w:t>
      </w:r>
      <w:r w:rsidR="00831367">
        <w:t xml:space="preserve"> according to the Roman model of citizenship rather than according to that of the</w:t>
      </w:r>
      <w:r w:rsidR="00291879">
        <w:t xml:space="preserve"> </w:t>
      </w:r>
      <w:r w:rsidR="00DB6F3A">
        <w:t>Greek</w:t>
      </w:r>
      <w:r w:rsidR="00291879">
        <w:t xml:space="preserve"> </w:t>
      </w:r>
      <w:r w:rsidR="00291879" w:rsidRPr="00291879">
        <w:rPr>
          <w:i/>
        </w:rPr>
        <w:t>poleis</w:t>
      </w:r>
      <w:r w:rsidR="00291879">
        <w:t>.</w:t>
      </w:r>
      <w:r w:rsidR="00453F85">
        <w:rPr>
          <w:rStyle w:val="Marquenotebasdepage"/>
        </w:rPr>
        <w:footnoteReference w:id="56"/>
      </w:r>
      <w:r w:rsidR="00831367">
        <w:t xml:space="preserve"> </w:t>
      </w:r>
      <w:r w:rsidR="00DB6F3A">
        <w:t xml:space="preserve">Of course, this is </w:t>
      </w:r>
      <w:r w:rsidR="000D3DCD">
        <w:t>in many respects logical</w:t>
      </w:r>
      <w:r w:rsidR="00DB6F3A">
        <w:t>,</w:t>
      </w:r>
      <w:r w:rsidR="000D3DCD">
        <w:t xml:space="preserve"> insofar as the Jewish communities in the diaspora </w:t>
      </w:r>
      <w:r w:rsidR="00287902">
        <w:t xml:space="preserve">mainly </w:t>
      </w:r>
      <w:r w:rsidR="000D3DCD">
        <w:t xml:space="preserve">shared biblical traditions and the Law of Moses; their </w:t>
      </w:r>
      <w:r w:rsidR="00034AD8">
        <w:t xml:space="preserve">common </w:t>
      </w:r>
      <w:r w:rsidR="000D3DCD">
        <w:t>“citizenship”</w:t>
      </w:r>
      <w:r w:rsidR="00DB6F3A">
        <w:t xml:space="preserve"> </w:t>
      </w:r>
      <w:r w:rsidR="000D3DCD">
        <w:t>was thus first and foremost based on common law</w:t>
      </w:r>
      <w:r w:rsidR="00B47B1B">
        <w:t xml:space="preserve"> (no matter which aspects of their lives this law actually regulated, and whether it pertained mainly to the cultic and the ethical spheres)</w:t>
      </w:r>
      <w:r w:rsidR="00034AD8">
        <w:t>, rather than on the participation in common institutions</w:t>
      </w:r>
      <w:r w:rsidR="000D3DCD">
        <w:t>.</w:t>
      </w:r>
      <w:r w:rsidR="00DE1556">
        <w:rPr>
          <w:rStyle w:val="Marquenotebasdepage"/>
        </w:rPr>
        <w:footnoteReference w:id="57"/>
      </w:r>
      <w:r w:rsidR="007F2E58">
        <w:t xml:space="preserve"> </w:t>
      </w:r>
      <w:r w:rsidR="00291879">
        <w:t xml:space="preserve">The insistance on the legal dimension of one’s membership with the Mosaic </w:t>
      </w:r>
      <w:r w:rsidR="00291879" w:rsidRPr="00BA1F9E">
        <w:rPr>
          <w:i/>
        </w:rPr>
        <w:t>politeia</w:t>
      </w:r>
      <w:r w:rsidR="00291879">
        <w:t xml:space="preserve"> was in fact a logical outcome of the centrality of the Law (Torah) for the self-definition of the Jews.</w:t>
      </w:r>
    </w:p>
    <w:p w14:paraId="3628E3C1" w14:textId="77777777" w:rsidR="00F26A32" w:rsidRDefault="000520FA" w:rsidP="00140D2A">
      <w:pPr>
        <w:tabs>
          <w:tab w:val="left" w:pos="280"/>
          <w:tab w:val="left" w:pos="560"/>
          <w:tab w:val="left" w:pos="1120"/>
          <w:tab w:val="left" w:pos="1700"/>
          <w:tab w:val="left" w:pos="2260"/>
        </w:tabs>
        <w:spacing w:line="360" w:lineRule="exact"/>
      </w:pPr>
      <w:r>
        <w:tab/>
      </w:r>
      <w:r w:rsidR="00F26A32">
        <w:t>In</w:t>
      </w:r>
      <w:r w:rsidR="005B1C53">
        <w:t xml:space="preserve"> the section </w:t>
      </w:r>
      <w:r w:rsidR="005B1C53" w:rsidRPr="005B1C53">
        <w:rPr>
          <w:i/>
        </w:rPr>
        <w:t>Peri Philanthrôpias</w:t>
      </w:r>
      <w:r w:rsidR="005B1C53">
        <w:t xml:space="preserve"> of the</w:t>
      </w:r>
      <w:r w:rsidR="00F26A32">
        <w:t xml:space="preserve"> </w:t>
      </w:r>
      <w:r w:rsidR="00F26A32" w:rsidRPr="00F26A32">
        <w:rPr>
          <w:i/>
        </w:rPr>
        <w:t>De Virtutibus</w:t>
      </w:r>
      <w:r w:rsidR="00F32165">
        <w:t xml:space="preserve"> (</w:t>
      </w:r>
      <w:r w:rsidR="00F32165">
        <w:rPr>
          <w:i/>
        </w:rPr>
        <w:t>On Virtues</w:t>
      </w:r>
      <w:r w:rsidR="00F32165">
        <w:t>)</w:t>
      </w:r>
      <w:r w:rsidR="00F26A32">
        <w:t xml:space="preserve">, Philo </w:t>
      </w:r>
      <w:r w:rsidR="00B442F7">
        <w:t>deals again with the issue of proselytes, describing them as</w:t>
      </w:r>
      <w:r w:rsidR="00F26A32">
        <w:t xml:space="preserve"> those who want to become members of the </w:t>
      </w:r>
      <w:r w:rsidR="00140D2A">
        <w:t>“</w:t>
      </w:r>
      <w:r w:rsidR="00F26A32" w:rsidRPr="002230D8">
        <w:rPr>
          <w:i/>
        </w:rPr>
        <w:t>politeia</w:t>
      </w:r>
      <w:r w:rsidR="00F26A32">
        <w:t xml:space="preserve"> </w:t>
      </w:r>
      <w:r w:rsidR="00F26A32" w:rsidRPr="00140D2A">
        <w:t>of the Jews</w:t>
      </w:r>
      <w:r w:rsidR="00160305">
        <w:t>,</w:t>
      </w:r>
      <w:r w:rsidR="00140D2A">
        <w:t>” an expression</w:t>
      </w:r>
      <w:r w:rsidR="00160305">
        <w:t xml:space="preserve"> which makes the meaning of </w:t>
      </w:r>
      <w:r w:rsidR="00160305" w:rsidRPr="00160305">
        <w:rPr>
          <w:i/>
        </w:rPr>
        <w:t>politeia</w:t>
      </w:r>
      <w:r w:rsidR="00160305">
        <w:t xml:space="preserve"> as “community</w:t>
      </w:r>
      <w:r w:rsidR="005B0DAB">
        <w:t xml:space="preserve"> of citizens</w:t>
      </w:r>
      <w:r w:rsidR="00160305">
        <w:t>” even clearer.</w:t>
      </w:r>
      <w:r w:rsidR="00F26A32">
        <w:t xml:space="preserve"> In connection with Deuteronomy 23:</w:t>
      </w:r>
      <w:r w:rsidR="00B442F7">
        <w:t>8-</w:t>
      </w:r>
      <w:r w:rsidR="00F26A32">
        <w:t xml:space="preserve">9, </w:t>
      </w:r>
      <w:r w:rsidR="00B442F7">
        <w:t xml:space="preserve">which prescribes to let the Edomites and the Egyptians enter the </w:t>
      </w:r>
      <w:r w:rsidR="00B442F7" w:rsidRPr="00B442F7">
        <w:rPr>
          <w:i/>
        </w:rPr>
        <w:t>qahal Israel</w:t>
      </w:r>
      <w:r w:rsidR="00B442F7">
        <w:t xml:space="preserve"> </w:t>
      </w:r>
      <w:r w:rsidR="00622867">
        <w:t>(</w:t>
      </w:r>
      <w:r w:rsidR="00AD07AD">
        <w:rPr>
          <w:i/>
        </w:rPr>
        <w:t>ekklē</w:t>
      </w:r>
      <w:r w:rsidR="00622867" w:rsidRPr="00622867">
        <w:rPr>
          <w:i/>
        </w:rPr>
        <w:t>sia Kuriou</w:t>
      </w:r>
      <w:r w:rsidR="00622867">
        <w:t xml:space="preserve">) </w:t>
      </w:r>
      <w:r w:rsidR="00B442F7">
        <w:t xml:space="preserve">in the third generation, </w:t>
      </w:r>
      <w:r w:rsidR="00F26A32">
        <w:t>he writes:</w:t>
      </w:r>
    </w:p>
    <w:p w14:paraId="59B62B6B" w14:textId="77777777" w:rsidR="00F26A32" w:rsidRDefault="00F26A32" w:rsidP="00140D2A">
      <w:pPr>
        <w:tabs>
          <w:tab w:val="left" w:pos="280"/>
          <w:tab w:val="left" w:pos="560"/>
          <w:tab w:val="left" w:pos="1120"/>
          <w:tab w:val="left" w:pos="1700"/>
          <w:tab w:val="left" w:pos="2260"/>
        </w:tabs>
        <w:spacing w:line="360" w:lineRule="exact"/>
        <w:ind w:left="284"/>
      </w:pPr>
      <w:r>
        <w:t>“</w:t>
      </w:r>
      <w:r w:rsidR="002230D8">
        <w:t>And if any of them should want to cross over to the polity</w:t>
      </w:r>
      <w:r w:rsidR="00A90DDB">
        <w:t xml:space="preserve"> of the Jews</w:t>
      </w:r>
      <w:r w:rsidR="002230D8">
        <w:t xml:space="preserve"> (</w:t>
      </w:r>
      <w:r w:rsidR="002230D8" w:rsidRPr="002230D8">
        <w:rPr>
          <w:rFonts w:ascii="Gentium" w:hAnsi="Gentium"/>
        </w:rPr>
        <w:t>κ</w:t>
      </w:r>
      <w:r w:rsidR="002230D8" w:rsidRPr="002230D8">
        <w:rPr>
          <w:rFonts w:ascii="Gentium" w:hAnsi="Gentium" w:cs="New Athena Unicode"/>
        </w:rPr>
        <w:t>ἂ</w:t>
      </w:r>
      <w:r w:rsidR="002230D8" w:rsidRPr="002230D8">
        <w:rPr>
          <w:rFonts w:ascii="Gentium" w:hAnsi="Gentium"/>
        </w:rPr>
        <w:t>ν ε</w:t>
      </w:r>
      <w:r w:rsidR="002230D8" w:rsidRPr="002230D8">
        <w:rPr>
          <w:rFonts w:ascii="Gentium" w:hAnsi="Gentium" w:cs="New Athena Unicode"/>
        </w:rPr>
        <w:t>ἴ</w:t>
      </w:r>
      <w:r w:rsidR="002230D8" w:rsidRPr="002230D8">
        <w:rPr>
          <w:rFonts w:ascii="Gentium" w:hAnsi="Gentium"/>
        </w:rPr>
        <w:t xml:space="preserve"> τινες </w:t>
      </w:r>
      <w:r w:rsidR="002230D8" w:rsidRPr="002230D8">
        <w:rPr>
          <w:rFonts w:ascii="Gentium" w:hAnsi="Gentium" w:cs="New Athena Unicode"/>
        </w:rPr>
        <w:t>ἐ</w:t>
      </w:r>
      <w:r w:rsidR="002230D8" w:rsidRPr="002230D8">
        <w:rPr>
          <w:rFonts w:ascii="Gentium" w:hAnsi="Gentium"/>
        </w:rPr>
        <w:t>θελ</w:t>
      </w:r>
      <w:r w:rsidR="002230D8" w:rsidRPr="002230D8">
        <w:rPr>
          <w:rFonts w:ascii="Gentium" w:hAnsi="Gentium" w:cs="New Athena Unicode"/>
        </w:rPr>
        <w:t>ή</w:t>
      </w:r>
      <w:r w:rsidR="002230D8" w:rsidRPr="002230D8">
        <w:rPr>
          <w:rFonts w:ascii="Gentium" w:hAnsi="Gentium"/>
        </w:rPr>
        <w:t>σειαν α</w:t>
      </w:r>
      <w:r w:rsidR="002230D8" w:rsidRPr="002230D8">
        <w:rPr>
          <w:rFonts w:ascii="Gentium" w:hAnsi="Gentium" w:cs="New Athena Unicode"/>
        </w:rPr>
        <w:t>ὐ</w:t>
      </w:r>
      <w:r w:rsidR="002230D8" w:rsidRPr="002230D8">
        <w:rPr>
          <w:rFonts w:ascii="Gentium" w:hAnsi="Gentium"/>
        </w:rPr>
        <w:t>τ</w:t>
      </w:r>
      <w:r w:rsidR="002230D8" w:rsidRPr="002230D8">
        <w:rPr>
          <w:rFonts w:ascii="Gentium" w:hAnsi="Gentium" w:cs="New Athena Unicode"/>
        </w:rPr>
        <w:t>ῶ</w:t>
      </w:r>
      <w:r w:rsidR="002230D8" w:rsidRPr="002230D8">
        <w:rPr>
          <w:rFonts w:ascii="Gentium" w:hAnsi="Gentium"/>
        </w:rPr>
        <w:t>ν μεταλλ</w:t>
      </w:r>
      <w:r w:rsidR="002230D8" w:rsidRPr="002230D8">
        <w:rPr>
          <w:rFonts w:ascii="Gentium" w:hAnsi="Gentium" w:cs="New Athena Unicode"/>
        </w:rPr>
        <w:t>ά</w:t>
      </w:r>
      <w:r w:rsidR="002230D8" w:rsidRPr="002230D8">
        <w:rPr>
          <w:rFonts w:ascii="Gentium" w:hAnsi="Gentium"/>
        </w:rPr>
        <w:t>ξασθαι πρ</w:t>
      </w:r>
      <w:r w:rsidR="002230D8" w:rsidRPr="002230D8">
        <w:rPr>
          <w:rFonts w:ascii="Gentium" w:hAnsi="Gentium" w:cs="New Athena Unicode"/>
        </w:rPr>
        <w:t>ὸ</w:t>
      </w:r>
      <w:r w:rsidR="002230D8" w:rsidRPr="002230D8">
        <w:rPr>
          <w:rFonts w:ascii="Gentium" w:hAnsi="Gentium"/>
        </w:rPr>
        <w:t>ς τ</w:t>
      </w:r>
      <w:r w:rsidR="002230D8" w:rsidRPr="002230D8">
        <w:rPr>
          <w:rFonts w:ascii="Gentium" w:hAnsi="Gentium" w:cs="New Athena Unicode"/>
        </w:rPr>
        <w:t>ὴ</w:t>
      </w:r>
      <w:r w:rsidR="002230D8" w:rsidRPr="002230D8">
        <w:rPr>
          <w:rFonts w:ascii="Gentium" w:hAnsi="Gentium"/>
        </w:rPr>
        <w:t xml:space="preserve">ν </w:t>
      </w:r>
      <w:r w:rsidR="002230D8" w:rsidRPr="002230D8">
        <w:rPr>
          <w:rFonts w:ascii="Gentium" w:hAnsi="Gentium" w:cs="New Athena Unicode"/>
        </w:rPr>
        <w:t>Ἰ</w:t>
      </w:r>
      <w:r w:rsidR="002230D8" w:rsidRPr="002230D8">
        <w:rPr>
          <w:rFonts w:ascii="Gentium" w:hAnsi="Gentium"/>
        </w:rPr>
        <w:t>ουδα</w:t>
      </w:r>
      <w:r w:rsidR="002230D8" w:rsidRPr="002230D8">
        <w:rPr>
          <w:rFonts w:ascii="Gentium" w:hAnsi="Gentium" w:cs="New Athena Unicode"/>
        </w:rPr>
        <w:t>ί</w:t>
      </w:r>
      <w:r w:rsidR="002230D8" w:rsidRPr="002230D8">
        <w:rPr>
          <w:rFonts w:ascii="Gentium" w:hAnsi="Gentium"/>
        </w:rPr>
        <w:t>ων πολιτε</w:t>
      </w:r>
      <w:r w:rsidR="002230D8" w:rsidRPr="002230D8">
        <w:rPr>
          <w:rFonts w:ascii="Gentium" w:hAnsi="Gentium" w:cs="New Athena Unicode"/>
        </w:rPr>
        <w:t>ί</w:t>
      </w:r>
      <w:r w:rsidR="002230D8" w:rsidRPr="002230D8">
        <w:rPr>
          <w:rFonts w:ascii="Gentium" w:hAnsi="Gentium"/>
        </w:rPr>
        <w:t>αν</w:t>
      </w:r>
      <w:r w:rsidR="002230D8">
        <w:t>), they are not to be scorned unyieldingly like the children of enemies, but are to be treated in such a manner that the third generation is invited into the congregation and granted that share of the divine oracles into which the native- and noble-born</w:t>
      </w:r>
      <w:r w:rsidR="00824B81">
        <w:t xml:space="preserve"> are also rightfully initiated”</w:t>
      </w:r>
      <w:r>
        <w:t xml:space="preserve"> (</w:t>
      </w:r>
      <w:r w:rsidRPr="00F26A32">
        <w:rPr>
          <w:i/>
        </w:rPr>
        <w:t>Virt.</w:t>
      </w:r>
      <w:r w:rsidR="00824B81">
        <w:t xml:space="preserve"> 108</w:t>
      </w:r>
      <w:r>
        <w:t>)</w:t>
      </w:r>
      <w:r w:rsidR="00824B81">
        <w:t>.</w:t>
      </w:r>
      <w:r w:rsidR="003C6A03">
        <w:rPr>
          <w:rStyle w:val="Marquenotebasdepage"/>
        </w:rPr>
        <w:footnoteReference w:id="58"/>
      </w:r>
    </w:p>
    <w:p w14:paraId="3CAC8C93" w14:textId="77777777" w:rsidR="000E2DA5" w:rsidRDefault="005B0DAB" w:rsidP="000E2DA5">
      <w:pPr>
        <w:tabs>
          <w:tab w:val="left" w:pos="284"/>
          <w:tab w:val="left" w:pos="567"/>
          <w:tab w:val="left" w:pos="851"/>
        </w:tabs>
        <w:spacing w:line="360" w:lineRule="exact"/>
      </w:pPr>
      <w:r>
        <w:t>Obviously,</w:t>
      </w:r>
      <w:r w:rsidR="00696209">
        <w:t xml:space="preserve"> Philo depends</w:t>
      </w:r>
      <w:r w:rsidR="00AD07AD">
        <w:t xml:space="preserve"> here</w:t>
      </w:r>
      <w:r w:rsidR="00696209">
        <w:t xml:space="preserve"> on the biblical verse</w:t>
      </w:r>
      <w:r w:rsidR="00E047F5">
        <w:t xml:space="preserve"> and follows it rather closely, </w:t>
      </w:r>
      <w:r w:rsidR="00AD07AD">
        <w:t>hence the reference to the integration of the enemies only in the third generation. Why did Philo select this biblical verse in order to demonstrate the benevolence (</w:t>
      </w:r>
      <w:r w:rsidR="00AD07AD">
        <w:rPr>
          <w:i/>
        </w:rPr>
        <w:t>philanthrō</w:t>
      </w:r>
      <w:r w:rsidR="00AD07AD" w:rsidRPr="00010291">
        <w:rPr>
          <w:i/>
        </w:rPr>
        <w:t>pia</w:t>
      </w:r>
      <w:r w:rsidR="00AD07AD">
        <w:t>) of the Law of Moses towards outsiders? There were other</w:t>
      </w:r>
      <w:r w:rsidR="001638F5">
        <w:t>,</w:t>
      </w:r>
      <w:r w:rsidR="00AD07AD">
        <w:t xml:space="preserve"> and probably more convincing passages that Philo</w:t>
      </w:r>
      <w:r w:rsidR="00E047F5">
        <w:t xml:space="preserve"> could have chosen </w:t>
      </w:r>
      <w:r w:rsidR="00AD07AD">
        <w:t>in connection with proselytes. T</w:t>
      </w:r>
      <w:r w:rsidR="00DC5D28">
        <w:t>his particular passage from Deuteronomy, however, represents one of the very few texts referring to the integration of former enemies into the congregation of Israel. The</w:t>
      </w:r>
      <w:r w:rsidR="00E047F5">
        <w:t xml:space="preserve"> reference to former enemies (</w:t>
      </w:r>
      <w:r w:rsidR="00E047F5" w:rsidRPr="00E047F5">
        <w:rPr>
          <w:i/>
        </w:rPr>
        <w:t>via</w:t>
      </w:r>
      <w:r>
        <w:t xml:space="preserve"> their descende</w:t>
      </w:r>
      <w:r w:rsidR="00E047F5">
        <w:t xml:space="preserve">nts) may </w:t>
      </w:r>
      <w:r w:rsidR="00F40620">
        <w:t>thus be seen as</w:t>
      </w:r>
      <w:r w:rsidR="00E047F5">
        <w:t xml:space="preserve"> </w:t>
      </w:r>
      <w:r w:rsidR="005B1C53">
        <w:t xml:space="preserve">a </w:t>
      </w:r>
      <w:r w:rsidR="00E047F5">
        <w:t>deliberate</w:t>
      </w:r>
      <w:r w:rsidR="005B1C53">
        <w:t xml:space="preserve"> echo of the Roman or pro-Roman discourse celebrating the grants of citizenship to former enemies</w:t>
      </w:r>
      <w:r w:rsidR="00F40620">
        <w:t xml:space="preserve">, as in Cicero’s </w:t>
      </w:r>
      <w:r w:rsidR="00F40620" w:rsidRPr="00F40620">
        <w:rPr>
          <w:i/>
        </w:rPr>
        <w:t>Pro Balbo</w:t>
      </w:r>
      <w:r w:rsidR="00F40620">
        <w:t xml:space="preserve">, </w:t>
      </w:r>
      <w:r w:rsidR="00A83377">
        <w:t xml:space="preserve">when </w:t>
      </w:r>
      <w:r w:rsidR="00A83377" w:rsidRPr="00E72FBE">
        <w:rPr>
          <w:rFonts w:ascii="TimesNewRomanPS" w:hAnsi="TimesNewRomanPS" w:cs="TimesNewRomanPS"/>
          <w:szCs w:val="24"/>
        </w:rPr>
        <w:t>Cicero praises “the Roman capacity to tu</w:t>
      </w:r>
      <w:r w:rsidR="00A83377">
        <w:rPr>
          <w:rFonts w:ascii="TimesNewRomanPS" w:hAnsi="TimesNewRomanPS" w:cs="TimesNewRomanPS"/>
          <w:szCs w:val="24"/>
        </w:rPr>
        <w:t>rn enemies into fellow citizens</w:t>
      </w:r>
      <w:r w:rsidR="00A83377" w:rsidRPr="00E72FBE">
        <w:rPr>
          <w:rFonts w:ascii="TimesNewRomanPS" w:hAnsi="TimesNewRomanPS" w:cs="TimesNewRomanPS"/>
          <w:szCs w:val="24"/>
        </w:rPr>
        <w:t>”</w:t>
      </w:r>
      <w:r w:rsidR="00A83377">
        <w:rPr>
          <w:rFonts w:ascii="TimesNewRomanPS" w:hAnsi="TimesNewRomanPS" w:cs="TimesNewRomanPS"/>
          <w:szCs w:val="24"/>
        </w:rPr>
        <w:t xml:space="preserve"> (§31)</w:t>
      </w:r>
      <w:r w:rsidR="00E047F5">
        <w:t xml:space="preserve">. </w:t>
      </w:r>
      <w:r w:rsidR="00A04375">
        <w:t xml:space="preserve">Moreover, </w:t>
      </w:r>
      <w:r w:rsidR="00831367">
        <w:t xml:space="preserve">Philo sees in </w:t>
      </w:r>
      <w:r w:rsidR="00D74E21">
        <w:t>the</w:t>
      </w:r>
      <w:r w:rsidR="00831367">
        <w:t xml:space="preserve"> </w:t>
      </w:r>
      <w:r w:rsidR="00D74E21">
        <w:t>openness</w:t>
      </w:r>
      <w:r w:rsidR="00831367">
        <w:t xml:space="preserve"> of the Mosaic </w:t>
      </w:r>
      <w:r w:rsidR="00D74E21" w:rsidRPr="00D74E21">
        <w:rPr>
          <w:i/>
        </w:rPr>
        <w:t>politeia</w:t>
      </w:r>
      <w:r w:rsidR="00831367">
        <w:t xml:space="preserve"> an expression of Moses’</w:t>
      </w:r>
      <w:r w:rsidR="00D07D2D">
        <w:t>s</w:t>
      </w:r>
      <w:r w:rsidR="00831367">
        <w:t xml:space="preserve"> </w:t>
      </w:r>
      <w:r w:rsidR="00DD6638">
        <w:rPr>
          <w:i/>
        </w:rPr>
        <w:t>philanthrō</w:t>
      </w:r>
      <w:r w:rsidR="00831367" w:rsidRPr="005A3C47">
        <w:rPr>
          <w:i/>
        </w:rPr>
        <w:t>pia</w:t>
      </w:r>
      <w:r w:rsidR="00010291">
        <w:t>.</w:t>
      </w:r>
      <w:r w:rsidR="00972222">
        <w:t xml:space="preserve"> </w:t>
      </w:r>
      <w:r w:rsidR="00C8442F">
        <w:t>Interestingly enough,</w:t>
      </w:r>
      <w:r w:rsidR="00831367">
        <w:t xml:space="preserve"> Rome was praised </w:t>
      </w:r>
      <w:r w:rsidR="00696209">
        <w:t xml:space="preserve">for its </w:t>
      </w:r>
      <w:r w:rsidR="00DD6638">
        <w:rPr>
          <w:i/>
        </w:rPr>
        <w:t>philanthrō</w:t>
      </w:r>
      <w:r w:rsidR="00696209" w:rsidRPr="00010291">
        <w:rPr>
          <w:i/>
        </w:rPr>
        <w:t>pia</w:t>
      </w:r>
      <w:r w:rsidR="00831367">
        <w:t xml:space="preserve"> </w:t>
      </w:r>
      <w:r w:rsidR="00010291">
        <w:t>precisely because it granted</w:t>
      </w:r>
      <w:r w:rsidR="00831367">
        <w:t xml:space="preserve"> Roman citizenship to foreigners</w:t>
      </w:r>
      <w:r w:rsidR="00D74E21">
        <w:t>, including former enemies</w:t>
      </w:r>
      <w:r w:rsidR="00E047F5">
        <w:t>.</w:t>
      </w:r>
      <w:r w:rsidR="00D74E21">
        <w:rPr>
          <w:rStyle w:val="Marquenotebasdepage"/>
        </w:rPr>
        <w:footnoteReference w:id="59"/>
      </w:r>
      <w:r w:rsidR="00A04375">
        <w:t xml:space="preserve"> </w:t>
      </w:r>
      <w:r w:rsidR="003A3333">
        <w:t xml:space="preserve">Thus, Dionysius of Halicarnassus praises </w:t>
      </w:r>
      <w:r w:rsidR="000E2DA5">
        <w:t xml:space="preserve">the Romans for having become the most illustrious nation, </w:t>
      </w:r>
    </w:p>
    <w:p w14:paraId="4299C209" w14:textId="77777777" w:rsidR="000E2DA5" w:rsidRDefault="000E2DA5" w:rsidP="00A3533F">
      <w:pPr>
        <w:tabs>
          <w:tab w:val="left" w:pos="284"/>
          <w:tab w:val="left" w:pos="567"/>
          <w:tab w:val="left" w:pos="851"/>
        </w:tabs>
        <w:spacing w:line="360" w:lineRule="exact"/>
        <w:ind w:left="284"/>
      </w:pPr>
      <w:r>
        <w:t>“not only by their humane (</w:t>
      </w:r>
      <w:r w:rsidRPr="00672A0C">
        <w:rPr>
          <w:i/>
        </w:rPr>
        <w:t>philanthrōpos</w:t>
      </w:r>
      <w:r>
        <w:t>) reception of those who sought a home among them, but also by sharing the rights of citizenship with all who had been conquered by them in war after a brave resistance, by permitting all the slaves, too, who were manumitted among them to become citizens, and by disdaining no condition of men from whom the commonwealth might reap an advantage, but above everything else by their form of government, which they fashioned out of their many experiences, always extracting something useful from every occasion.”</w:t>
      </w:r>
      <w:r w:rsidR="00672A0C">
        <w:rPr>
          <w:rStyle w:val="Marquenotebasdepage"/>
        </w:rPr>
        <w:footnoteReference w:id="60"/>
      </w:r>
    </w:p>
    <w:p w14:paraId="1FB5BCEC" w14:textId="77777777" w:rsidR="00EE44AA" w:rsidRDefault="005076F5" w:rsidP="00140D2A">
      <w:pPr>
        <w:tabs>
          <w:tab w:val="left" w:pos="284"/>
          <w:tab w:val="left" w:pos="567"/>
          <w:tab w:val="left" w:pos="851"/>
        </w:tabs>
        <w:spacing w:line="360" w:lineRule="exact"/>
      </w:pPr>
      <w:r>
        <w:t>Later on, Dionysius affirms that Rome is</w:t>
      </w:r>
      <w:r w:rsidR="00D8611B" w:rsidRPr="00D8611B">
        <w:t xml:space="preserve"> </w:t>
      </w:r>
      <w:r w:rsidR="006F5A1A">
        <w:t>“t</w:t>
      </w:r>
      <w:r w:rsidR="003D27DB">
        <w:t>he most hospitable and friendly of all cities</w:t>
      </w:r>
      <w:r w:rsidR="00DE4A91">
        <w:t xml:space="preserve"> (</w:t>
      </w:r>
      <w:r w:rsidR="003D27DB" w:rsidRPr="003D27DB">
        <w:rPr>
          <w:rFonts w:ascii="Gentium" w:hAnsi="Gentium"/>
          <w:lang w:val="en-US"/>
        </w:rPr>
        <w:t>κοινοτάτην τε πόλε</w:t>
      </w:r>
      <w:r w:rsidR="00DE4A91" w:rsidRPr="003D27DB">
        <w:rPr>
          <w:rFonts w:ascii="Gentium" w:hAnsi="Gentium"/>
          <w:lang w:val="en-US"/>
        </w:rPr>
        <w:t xml:space="preserve">ων καὶ </w:t>
      </w:r>
      <w:r w:rsidR="003D27DB" w:rsidRPr="003D27DB">
        <w:rPr>
          <w:rFonts w:ascii="Gentium" w:hAnsi="Gentium"/>
          <w:lang w:val="en-US"/>
        </w:rPr>
        <w:t>φιλανθρωποτάτην</w:t>
      </w:r>
      <w:r w:rsidR="00DE4A91">
        <w:t>)”</w:t>
      </w:r>
      <w:r w:rsidR="006F5A1A">
        <w:t xml:space="preserve"> </w:t>
      </w:r>
      <w:r w:rsidR="00D8611B">
        <w:t>(</w:t>
      </w:r>
      <w:r w:rsidR="005E0AAC">
        <w:rPr>
          <w:i/>
        </w:rPr>
        <w:t>Roman Antiquities</w:t>
      </w:r>
      <w:r w:rsidR="00D8611B">
        <w:rPr>
          <w:i/>
        </w:rPr>
        <w:t xml:space="preserve"> </w:t>
      </w:r>
      <w:r w:rsidR="00A1230F">
        <w:t>1</w:t>
      </w:r>
      <w:r w:rsidR="00D8611B">
        <w:t>.89.1)</w:t>
      </w:r>
      <w:r w:rsidR="006F5A1A">
        <w:t xml:space="preserve">, and this Roman </w:t>
      </w:r>
      <w:r w:rsidR="006F5A1A" w:rsidRPr="00672A0C">
        <w:rPr>
          <w:i/>
        </w:rPr>
        <w:t>philanthrōp</w:t>
      </w:r>
      <w:r w:rsidR="006F5A1A">
        <w:rPr>
          <w:i/>
        </w:rPr>
        <w:t>ia</w:t>
      </w:r>
      <w:r w:rsidR="006F5A1A">
        <w:t xml:space="preserve"> has to do with the integration of many foreigners into the population</w:t>
      </w:r>
      <w:r w:rsidR="004E1364">
        <w:t xml:space="preserve"> and civic body</w:t>
      </w:r>
      <w:r w:rsidR="006F5A1A">
        <w:t xml:space="preserve"> of the city. It thus seems that in</w:t>
      </w:r>
      <w:r w:rsidR="00A04375">
        <w:t xml:space="preserve"> </w:t>
      </w:r>
      <w:r w:rsidR="00A04375" w:rsidRPr="00F26A32">
        <w:rPr>
          <w:i/>
        </w:rPr>
        <w:t>De Virtutibus</w:t>
      </w:r>
      <w:r w:rsidR="006F5A1A">
        <w:t xml:space="preserve">, </w:t>
      </w:r>
      <w:r w:rsidR="00A04375">
        <w:t>Philo is reproducing pro-Roman or Roman discourses, but in connection with the people and the laws of Israel.</w:t>
      </w:r>
    </w:p>
    <w:p w14:paraId="1A1D618F" w14:textId="77777777" w:rsidR="00686BA0" w:rsidRDefault="00686BA0" w:rsidP="00140D2A">
      <w:pPr>
        <w:tabs>
          <w:tab w:val="left" w:pos="284"/>
          <w:tab w:val="left" w:pos="567"/>
          <w:tab w:val="left" w:pos="851"/>
        </w:tabs>
        <w:spacing w:line="360" w:lineRule="exact"/>
      </w:pPr>
      <w:r>
        <w:tab/>
        <w:t>All in all,</w:t>
      </w:r>
      <w:r w:rsidR="006E2FCF">
        <w:t xml:space="preserve"> and even if Philo’s two main sources of inspiration obviously consisted of the Pentateuch and Greek philosophy,</w:t>
      </w:r>
      <w:r>
        <w:t xml:space="preserve"> </w:t>
      </w:r>
      <w:r w:rsidR="005A0899">
        <w:t xml:space="preserve">I think </w:t>
      </w:r>
      <w:r>
        <w:t xml:space="preserve">it is not far-fetched to </w:t>
      </w:r>
      <w:r w:rsidR="00A323EE">
        <w:t>suppose</w:t>
      </w:r>
      <w:r>
        <w:t xml:space="preserve"> that the Roman notion of citizenship</w:t>
      </w:r>
      <w:r w:rsidR="00D37B72">
        <w:t>, or at least the ideological discourse surrounding it,</w:t>
      </w:r>
      <w:r>
        <w:t xml:space="preserve"> had an influence on Philo</w:t>
      </w:r>
      <w:r w:rsidR="005A0899">
        <w:t xml:space="preserve">’s presentation of the </w:t>
      </w:r>
      <w:r w:rsidR="005A0899" w:rsidRPr="005A0899">
        <w:rPr>
          <w:i/>
        </w:rPr>
        <w:t>politeia</w:t>
      </w:r>
      <w:r w:rsidR="005A0899">
        <w:t xml:space="preserve"> of </w:t>
      </w:r>
      <w:r w:rsidR="00F717B7">
        <w:t>the Jews</w:t>
      </w:r>
      <w:r w:rsidR="006E2FCF">
        <w:t xml:space="preserve">. Philo was certainly aware of </w:t>
      </w:r>
      <w:r w:rsidR="00D44FCE">
        <w:t xml:space="preserve">Greek pro-Roman </w:t>
      </w:r>
      <w:r w:rsidR="00B1709E">
        <w:t>discourses</w:t>
      </w:r>
      <w:r w:rsidR="00D44FCE">
        <w:t xml:space="preserve"> like that o</w:t>
      </w:r>
      <w:r w:rsidR="006E2FCF">
        <w:t xml:space="preserve">f Dionysus of Halicarnassus; he spent enough time in Rome to be exposed to such </w:t>
      </w:r>
      <w:r w:rsidR="00B1709E">
        <w:t>voices</w:t>
      </w:r>
      <w:r w:rsidR="006E2FCF">
        <w:t xml:space="preserve">, and </w:t>
      </w:r>
      <w:r w:rsidR="00B34ED7">
        <w:t xml:space="preserve">to </w:t>
      </w:r>
      <w:r w:rsidR="006E2FCF">
        <w:t>those of the Romans themselves</w:t>
      </w:r>
      <w:r w:rsidR="005A0899">
        <w:t>.</w:t>
      </w:r>
    </w:p>
    <w:p w14:paraId="74346AC9" w14:textId="77777777" w:rsidR="00EE44AA" w:rsidRDefault="00EE44AA" w:rsidP="00140D2A">
      <w:pPr>
        <w:tabs>
          <w:tab w:val="left" w:pos="284"/>
          <w:tab w:val="left" w:pos="567"/>
          <w:tab w:val="left" w:pos="851"/>
        </w:tabs>
        <w:spacing w:line="360" w:lineRule="exact"/>
      </w:pPr>
    </w:p>
    <w:p w14:paraId="19F197EF" w14:textId="77777777" w:rsidR="004A6C0D" w:rsidRDefault="00972222" w:rsidP="00140D2A">
      <w:pPr>
        <w:tabs>
          <w:tab w:val="left" w:pos="284"/>
          <w:tab w:val="left" w:pos="567"/>
          <w:tab w:val="left" w:pos="851"/>
        </w:tabs>
        <w:spacing w:line="360" w:lineRule="exact"/>
      </w:pPr>
      <w:r>
        <w:t xml:space="preserve">Later on, </w:t>
      </w:r>
      <w:r w:rsidR="00686BA0">
        <w:t>Philo’s</w:t>
      </w:r>
      <w:r>
        <w:t xml:space="preserve"> line of argumentation wa</w:t>
      </w:r>
      <w:r w:rsidR="00EE44AA">
        <w:t xml:space="preserve">s taken over by Josephus, especially in </w:t>
      </w:r>
      <w:r w:rsidR="00EE44AA">
        <w:rPr>
          <w:i/>
        </w:rPr>
        <w:t>Against Apion</w:t>
      </w:r>
      <w:r w:rsidR="00EE44AA">
        <w:t xml:space="preserve">, in which </w:t>
      </w:r>
      <w:r>
        <w:t>Josephus</w:t>
      </w:r>
      <w:r w:rsidR="00EE44AA">
        <w:t xml:space="preserve"> </w:t>
      </w:r>
      <w:r w:rsidR="00CC1BB0">
        <w:t xml:space="preserve">describes </w:t>
      </w:r>
      <w:r w:rsidR="004A6C0D">
        <w:t xml:space="preserve">the Jews as joyfully welcoming those who want to live under their laws and </w:t>
      </w:r>
      <w:r w:rsidR="00190D21">
        <w:t xml:space="preserve">as </w:t>
      </w:r>
      <w:r w:rsidR="00D44FCE">
        <w:t>granting them citizenship. Using well-known stereotypes about the Spartans, Josephus contrasts the Jews with the</w:t>
      </w:r>
      <w:r w:rsidR="004A6C0D">
        <w:t xml:space="preserve"> </w:t>
      </w:r>
      <w:r w:rsidR="00D44FCE" w:rsidRPr="00190D21">
        <w:t>Lacedaemonians</w:t>
      </w:r>
      <w:r w:rsidR="001570F1">
        <w:t xml:space="preserve">, who in the ancient world were characterized by their </w:t>
      </w:r>
      <w:r w:rsidR="00EB0293">
        <w:rPr>
          <w:i/>
        </w:rPr>
        <w:t>xenē</w:t>
      </w:r>
      <w:r w:rsidR="001570F1" w:rsidRPr="001570F1">
        <w:rPr>
          <w:i/>
        </w:rPr>
        <w:t>lasia</w:t>
      </w:r>
      <w:r w:rsidR="001570F1">
        <w:t>, their practice of expulsing foreigners in order to avoid the corr</w:t>
      </w:r>
      <w:r w:rsidR="00D44FCE">
        <w:t>uption of their ancestral laws</w:t>
      </w:r>
      <w:r w:rsidR="004A6C0D">
        <w:t>:</w:t>
      </w:r>
      <w:r w:rsidR="00D44FCE">
        <w:rPr>
          <w:rStyle w:val="Marquenotebasdepage"/>
        </w:rPr>
        <w:footnoteReference w:id="61"/>
      </w:r>
      <w:r w:rsidR="00190D21">
        <w:t xml:space="preserve">  </w:t>
      </w:r>
    </w:p>
    <w:p w14:paraId="645E697D" w14:textId="77777777" w:rsidR="00190D21" w:rsidRDefault="00CE57B3" w:rsidP="00140D2A">
      <w:pPr>
        <w:tabs>
          <w:tab w:val="left" w:pos="284"/>
          <w:tab w:val="left" w:pos="567"/>
          <w:tab w:val="left" w:pos="851"/>
        </w:tabs>
        <w:spacing w:line="360" w:lineRule="exact"/>
        <w:ind w:left="284"/>
      </w:pPr>
      <w:r>
        <w:t>“</w:t>
      </w:r>
      <w:r w:rsidR="00C74264">
        <w:t>260 </w:t>
      </w:r>
      <w:r w:rsidR="00190D21">
        <w:t>They</w:t>
      </w:r>
      <w:r w:rsidR="00662CAD">
        <w:t xml:space="preserve"> (the </w:t>
      </w:r>
      <w:r w:rsidR="00662CAD" w:rsidRPr="00190D21">
        <w:t>Lacedaemonians</w:t>
      </w:r>
      <w:r w:rsidR="00662CAD">
        <w:t>)</w:t>
      </w:r>
      <w:r w:rsidR="00190D21">
        <w:t xml:space="preserve"> perhaps might reasonably be criticized for their churlishness</w:t>
      </w:r>
      <w:r w:rsidR="000977E5">
        <w:t xml:space="preserve"> (or: misanthropy)</w:t>
      </w:r>
      <w:r w:rsidR="00190D21">
        <w:t>: for they would not grant anyone the right of citizenship</w:t>
      </w:r>
      <w:r w:rsidR="00C74264">
        <w:t xml:space="preserve"> (</w:t>
      </w:r>
      <w:r w:rsidR="00C74264" w:rsidRPr="00C74264">
        <w:rPr>
          <w:i/>
        </w:rPr>
        <w:t>politeia</w:t>
      </w:r>
      <w:r w:rsidR="00C74264">
        <w:t>)</w:t>
      </w:r>
      <w:r w:rsidR="00190D21">
        <w:t xml:space="preserve"> </w:t>
      </w:r>
      <w:r w:rsidR="00AE512C">
        <w:t>or of residence among them. 261 </w:t>
      </w:r>
      <w:r w:rsidR="00190D21">
        <w:t xml:space="preserve">We, on the other hand, are not inclined to emulate other people’s customs, but gladly welcome those who wish to share ours; and </w:t>
      </w:r>
      <w:r w:rsidR="00662CAD" w:rsidRPr="00662CAD">
        <w:t>that would be evidence, I take it, of both benevolence</w:t>
      </w:r>
      <w:r w:rsidR="00662CAD">
        <w:t xml:space="preserve"> (</w:t>
      </w:r>
      <w:r w:rsidR="00391FE4">
        <w:rPr>
          <w:i/>
        </w:rPr>
        <w:t>philanthrō</w:t>
      </w:r>
      <w:r w:rsidR="00662CAD" w:rsidRPr="00662CAD">
        <w:rPr>
          <w:i/>
        </w:rPr>
        <w:t>pia</w:t>
      </w:r>
      <w:r w:rsidR="00662CAD">
        <w:t>)</w:t>
      </w:r>
      <w:r w:rsidR="00662CAD" w:rsidRPr="00662CAD">
        <w:t xml:space="preserve"> and generosity</w:t>
      </w:r>
      <w:r w:rsidR="00662CAD">
        <w:t xml:space="preserve"> (</w:t>
      </w:r>
      <w:r w:rsidR="00872A13">
        <w:rPr>
          <w:i/>
        </w:rPr>
        <w:t>megalopsy</w:t>
      </w:r>
      <w:r w:rsidR="00662CAD" w:rsidRPr="00662CAD">
        <w:rPr>
          <w:i/>
        </w:rPr>
        <w:t>chia</w:t>
      </w:r>
      <w:r w:rsidR="00662CAD">
        <w:t>)”.</w:t>
      </w:r>
      <w:r w:rsidR="00662CAD">
        <w:rPr>
          <w:rStyle w:val="Marquenotebasdepage"/>
        </w:rPr>
        <w:footnoteReference w:id="62"/>
      </w:r>
    </w:p>
    <w:p w14:paraId="1501CD0F" w14:textId="77777777" w:rsidR="00CC519C" w:rsidRDefault="00D06DEA" w:rsidP="00140D2A">
      <w:pPr>
        <w:tabs>
          <w:tab w:val="left" w:pos="284"/>
          <w:tab w:val="left" w:pos="567"/>
          <w:tab w:val="left" w:pos="851"/>
        </w:tabs>
        <w:spacing w:line="360" w:lineRule="exact"/>
      </w:pPr>
      <w:r>
        <w:t xml:space="preserve">Josephus uses </w:t>
      </w:r>
      <w:r w:rsidRPr="00D06DEA">
        <w:rPr>
          <w:i/>
        </w:rPr>
        <w:t>politeia</w:t>
      </w:r>
      <w:r>
        <w:t xml:space="preserve"> in the sense of “constitution” or “right of citizenship” rather than as a way to designate the Jewish people or </w:t>
      </w:r>
      <w:r w:rsidR="00F717B7">
        <w:t xml:space="preserve">the Jewish </w:t>
      </w:r>
      <w:r>
        <w:t>community, as Philo does. But he shares several ideas with Philo, such as the fact that</w:t>
      </w:r>
      <w:r w:rsidR="00192A24">
        <w:t xml:space="preserve"> Jewish </w:t>
      </w:r>
      <w:r w:rsidR="00233E1B">
        <w:t>“</w:t>
      </w:r>
      <w:r w:rsidR="00192A24">
        <w:t>citizenship</w:t>
      </w:r>
      <w:r w:rsidR="00233E1B">
        <w:t>”</w:t>
      </w:r>
      <w:r w:rsidR="00192A24">
        <w:t xml:space="preserve"> mainly implies </w:t>
      </w:r>
      <w:r w:rsidR="00FF28F1">
        <w:t>a life in accordance with</w:t>
      </w:r>
      <w:r w:rsidR="00192A24">
        <w:t xml:space="preserve"> </w:t>
      </w:r>
      <w:r w:rsidR="00F717B7">
        <w:t>the Mosaic</w:t>
      </w:r>
      <w:r>
        <w:t xml:space="preserve"> laws (</w:t>
      </w:r>
      <w:r w:rsidR="00DE4141">
        <w:t xml:space="preserve">an idea </w:t>
      </w:r>
      <w:r w:rsidR="00E06F29">
        <w:t>shared by</w:t>
      </w:r>
      <w:r w:rsidR="00DE4141">
        <w:t xml:space="preserve"> the Hellenistic Jewish tradition as a whole</w:t>
      </w:r>
      <w:r w:rsidR="00192A24">
        <w:t>)</w:t>
      </w:r>
      <w:r w:rsidR="001F1F49">
        <w:t>,</w:t>
      </w:r>
      <w:r>
        <w:rPr>
          <w:rStyle w:val="Marquenotebasdepage"/>
        </w:rPr>
        <w:footnoteReference w:id="63"/>
      </w:r>
      <w:r w:rsidR="001F1F49">
        <w:t xml:space="preserve"> </w:t>
      </w:r>
      <w:r>
        <w:t>or</w:t>
      </w:r>
      <w:r w:rsidR="001F1F49">
        <w:t xml:space="preserve"> that the openness of the Mosaic </w:t>
      </w:r>
      <w:r w:rsidR="001F1F49" w:rsidRPr="001F1F49">
        <w:rPr>
          <w:i/>
        </w:rPr>
        <w:t>politeia</w:t>
      </w:r>
      <w:r w:rsidR="001F1F49">
        <w:t xml:space="preserve"> to new citizens </w:t>
      </w:r>
      <w:r w:rsidR="00E06F29">
        <w:t xml:space="preserve">is a proof of its </w:t>
      </w:r>
      <w:r w:rsidR="004242AE">
        <w:t>benevolence</w:t>
      </w:r>
      <w:r w:rsidR="00E06F29">
        <w:t xml:space="preserve"> (</w:t>
      </w:r>
      <w:r w:rsidR="00391FE4">
        <w:rPr>
          <w:i/>
        </w:rPr>
        <w:t>philanthrō</w:t>
      </w:r>
      <w:r w:rsidR="00E06F29" w:rsidRPr="00E06F29">
        <w:rPr>
          <w:i/>
        </w:rPr>
        <w:t>pia</w:t>
      </w:r>
      <w:r w:rsidR="00E06F29">
        <w:t>)</w:t>
      </w:r>
      <w:r w:rsidR="00DE4141">
        <w:t>. Josephus’s underlying argument is that i</w:t>
      </w:r>
      <w:r w:rsidR="001F1F49">
        <w:t xml:space="preserve">n this respect, Jews and Romans share common values: </w:t>
      </w:r>
      <w:r w:rsidR="00233E1B">
        <w:t xml:space="preserve">in </w:t>
      </w:r>
      <w:r w:rsidR="00233E1B" w:rsidRPr="00233E1B">
        <w:rPr>
          <w:i/>
        </w:rPr>
        <w:t>Against Apion</w:t>
      </w:r>
      <w:r w:rsidR="001F1F49">
        <w:t xml:space="preserve">, </w:t>
      </w:r>
      <w:r w:rsidR="00A160CD">
        <w:t>Josephus</w:t>
      </w:r>
      <w:r w:rsidR="00233E1B">
        <w:t xml:space="preserve"> also</w:t>
      </w:r>
      <w:r w:rsidR="00A160CD">
        <w:t xml:space="preserve"> praises the Romans for their readiness to integrate new citizens, in a way </w:t>
      </w:r>
      <w:r w:rsidR="00CC519C">
        <w:t xml:space="preserve">that </w:t>
      </w:r>
      <w:r w:rsidR="001F1F49">
        <w:t>is comparable to</w:t>
      </w:r>
      <w:r w:rsidR="009E773F">
        <w:t xml:space="preserve"> Cicero’s </w:t>
      </w:r>
      <w:r w:rsidR="009E773F" w:rsidRPr="009E773F">
        <w:rPr>
          <w:i/>
        </w:rPr>
        <w:t>Pro Balbo</w:t>
      </w:r>
      <w:r w:rsidR="009E773F">
        <w:t xml:space="preserve"> (31),</w:t>
      </w:r>
      <w:r w:rsidR="00A160CD">
        <w:t xml:space="preserve"> Dionysius’</w:t>
      </w:r>
      <w:r w:rsidR="00CC519C">
        <w:t>s</w:t>
      </w:r>
      <w:r w:rsidR="00A160CD">
        <w:t xml:space="preserve"> </w:t>
      </w:r>
      <w:r w:rsidR="00A160CD">
        <w:rPr>
          <w:i/>
        </w:rPr>
        <w:t>Roman Antiquities</w:t>
      </w:r>
      <w:r w:rsidR="00A160CD">
        <w:t xml:space="preserve"> (</w:t>
      </w:r>
      <w:r w:rsidR="007505E3">
        <w:rPr>
          <w:rFonts w:ascii="Times" w:hAnsi="Times"/>
        </w:rPr>
        <w:t>1.9.4; 1</w:t>
      </w:r>
      <w:r w:rsidR="00A160CD">
        <w:rPr>
          <w:rFonts w:ascii="Times" w:hAnsi="Times"/>
        </w:rPr>
        <w:t>.41.1)</w:t>
      </w:r>
      <w:r w:rsidR="001F1F49">
        <w:rPr>
          <w:rFonts w:ascii="Times" w:hAnsi="Times"/>
        </w:rPr>
        <w:t>,</w:t>
      </w:r>
      <w:r w:rsidR="00A160CD">
        <w:t xml:space="preserve"> </w:t>
      </w:r>
      <w:r w:rsidR="001F1F49">
        <w:t>and</w:t>
      </w:r>
      <w:r w:rsidR="00A160CD">
        <w:t xml:space="preserve"> later on </w:t>
      </w:r>
      <w:r w:rsidR="00233E1B">
        <w:t xml:space="preserve">Dio Chrysostom’s </w:t>
      </w:r>
      <w:r w:rsidR="00233E1B" w:rsidRPr="00E009CE">
        <w:rPr>
          <w:i/>
        </w:rPr>
        <w:t>Discourses</w:t>
      </w:r>
      <w:r w:rsidR="00233E1B">
        <w:t xml:space="preserve"> (41.9) and </w:t>
      </w:r>
      <w:r w:rsidR="00A160CD">
        <w:t xml:space="preserve">Aelius Aristides’ </w:t>
      </w:r>
      <w:r w:rsidR="00A160CD">
        <w:rPr>
          <w:i/>
        </w:rPr>
        <w:t>Encomium</w:t>
      </w:r>
      <w:r w:rsidR="00A160CD" w:rsidRPr="00086A44">
        <w:rPr>
          <w:i/>
        </w:rPr>
        <w:t xml:space="preserve"> of Rome</w:t>
      </w:r>
      <w:r w:rsidR="00A160CD">
        <w:t xml:space="preserve"> (63-65, 98).</w:t>
      </w:r>
      <w:r w:rsidR="00CC519C">
        <w:rPr>
          <w:rStyle w:val="Marquenotebasdepage"/>
          <w:rFonts w:ascii="TimesNewRomanPS" w:hAnsi="TimesNewRomanPS" w:cs="TimesNewRomanPS"/>
        </w:rPr>
        <w:footnoteReference w:id="64"/>
      </w:r>
      <w:r w:rsidR="00A160CD">
        <w:t xml:space="preserve"> </w:t>
      </w:r>
      <w:r w:rsidR="004242AE">
        <w:t xml:space="preserve">Moreover, the contrast between Jews and Spartans in Josephus’s </w:t>
      </w:r>
      <w:r w:rsidR="004242AE" w:rsidRPr="004242AE">
        <w:rPr>
          <w:i/>
        </w:rPr>
        <w:t>Against Apion</w:t>
      </w:r>
      <w:r w:rsidR="004242AE">
        <w:t xml:space="preserve"> is strongly reminiscent of the way Greek or Roman authors contrasted the Romans and the Spartans (or the Athenians) on the issue of citizenship grants.</w:t>
      </w:r>
      <w:r w:rsidR="004242AE">
        <w:rPr>
          <w:rStyle w:val="Marquenotebasdepage"/>
        </w:rPr>
        <w:footnoteReference w:id="65"/>
      </w:r>
      <w:r w:rsidR="004242AE">
        <w:t xml:space="preserve"> </w:t>
      </w:r>
      <w:r w:rsidR="003D32E7">
        <w:t xml:space="preserve">What still remained allusive in Philo’s </w:t>
      </w:r>
      <w:r w:rsidR="00BA6ABC">
        <w:t>writings</w:t>
      </w:r>
      <w:r w:rsidR="003D32E7">
        <w:t xml:space="preserve"> is now made very explicit by Josephus.</w:t>
      </w:r>
    </w:p>
    <w:p w14:paraId="01247A77" w14:textId="77777777" w:rsidR="007505E3" w:rsidRDefault="007505E3" w:rsidP="00140D2A">
      <w:pPr>
        <w:tabs>
          <w:tab w:val="left" w:pos="284"/>
          <w:tab w:val="left" w:pos="567"/>
          <w:tab w:val="left" w:pos="851"/>
        </w:tabs>
        <w:spacing w:line="360" w:lineRule="exact"/>
      </w:pPr>
    </w:p>
    <w:p w14:paraId="6F7ADBAD" w14:textId="77777777" w:rsidR="00D32591" w:rsidRDefault="00D32591" w:rsidP="00140D2A">
      <w:pPr>
        <w:tabs>
          <w:tab w:val="left" w:pos="284"/>
          <w:tab w:val="left" w:pos="567"/>
          <w:tab w:val="left" w:pos="851"/>
        </w:tabs>
        <w:spacing w:line="360" w:lineRule="exact"/>
      </w:pPr>
    </w:p>
    <w:p w14:paraId="574A81BF" w14:textId="77777777" w:rsidR="00D32591" w:rsidRPr="00FE0707" w:rsidRDefault="00D32591" w:rsidP="00D32591">
      <w:pPr>
        <w:tabs>
          <w:tab w:val="left" w:pos="284"/>
          <w:tab w:val="left" w:pos="567"/>
          <w:tab w:val="left" w:pos="851"/>
        </w:tabs>
        <w:spacing w:line="360" w:lineRule="exact"/>
        <w:rPr>
          <w:b/>
        </w:rPr>
      </w:pPr>
      <w:r>
        <w:rPr>
          <w:b/>
        </w:rPr>
        <w:t>Conclusion </w:t>
      </w:r>
    </w:p>
    <w:p w14:paraId="6060522E" w14:textId="77777777" w:rsidR="00D32591" w:rsidRDefault="00D32591" w:rsidP="00140D2A">
      <w:pPr>
        <w:tabs>
          <w:tab w:val="left" w:pos="284"/>
          <w:tab w:val="left" w:pos="567"/>
          <w:tab w:val="left" w:pos="851"/>
        </w:tabs>
        <w:spacing w:line="360" w:lineRule="exact"/>
      </w:pPr>
    </w:p>
    <w:p w14:paraId="6A3D87B9" w14:textId="77777777" w:rsidR="00FE0707" w:rsidRDefault="00D32591" w:rsidP="00140D2A">
      <w:pPr>
        <w:tabs>
          <w:tab w:val="left" w:pos="284"/>
          <w:tab w:val="left" w:pos="567"/>
          <w:tab w:val="left" w:pos="851"/>
        </w:tabs>
        <w:spacing w:line="360" w:lineRule="exact"/>
      </w:pPr>
      <w:r>
        <w:t xml:space="preserve">Whereas the analysis of the sources pertaining to the integration of non-Judean groups within the Judean polity in Hasmonean times does not corroborate the hypothesis of an influence of Roman policies upon the Hasmonean rulers, the impact of Roman definitions of citizenship and of ideological discourses surrounding Roman policies of citizenship can definitely be felt in the works of </w:t>
      </w:r>
      <w:r w:rsidR="007505E3">
        <w:t>the two main Jewish authors writing in Greek in the context of the Roman empire</w:t>
      </w:r>
      <w:r>
        <w:t>.</w:t>
      </w:r>
      <w:r w:rsidR="007505E3">
        <w:t xml:space="preserve"> </w:t>
      </w:r>
      <w:r>
        <w:t>I</w:t>
      </w:r>
      <w:r w:rsidR="00F040CC">
        <w:t>n the</w:t>
      </w:r>
      <w:r w:rsidR="007505E3">
        <w:t xml:space="preserve"> way </w:t>
      </w:r>
      <w:r w:rsidR="00F040CC">
        <w:t>they describe</w:t>
      </w:r>
      <w:r w:rsidR="00130F31">
        <w:t>d</w:t>
      </w:r>
      <w:r w:rsidR="00F040CC">
        <w:t xml:space="preserve"> the integration of</w:t>
      </w:r>
      <w:r w:rsidR="007505E3">
        <w:t xml:space="preserve"> foreigners (</w:t>
      </w:r>
      <w:r w:rsidR="003364A2">
        <w:t>proselytes</w:t>
      </w:r>
      <w:r w:rsidR="007505E3">
        <w:t>)</w:t>
      </w:r>
      <w:r w:rsidR="00F040CC">
        <w:t xml:space="preserve"> in</w:t>
      </w:r>
      <w:r w:rsidR="00130F31">
        <w:t>to</w:t>
      </w:r>
      <w:r w:rsidR="00F040CC">
        <w:t xml:space="preserve"> the Jewish people</w:t>
      </w:r>
      <w:r w:rsidR="007505E3">
        <w:t xml:space="preserve">, </w:t>
      </w:r>
      <w:r>
        <w:t>both Philo and Josephus</w:t>
      </w:r>
      <w:r w:rsidR="007505E3">
        <w:t xml:space="preserve"> were influenced by the surrounding Roman or pro-Roman discourses about Roman “generosity” in granting citizenship, by the argument about the </w:t>
      </w:r>
      <w:r w:rsidR="003364A2">
        <w:t>connection</w:t>
      </w:r>
      <w:r w:rsidR="007505E3">
        <w:t xml:space="preserve"> between the superiority of Rome and its willingness to welcome new citizens, as well as by the Roman notion of citizenship as status, based first and foremost upon common laws. While not giving up completely on the importance of birth and ancestry</w:t>
      </w:r>
      <w:r w:rsidR="003364A2">
        <w:t>, so fundamental in the biblical worldview</w:t>
      </w:r>
      <w:r w:rsidR="007505E3">
        <w:t>, both Philo and Josephus thus came to relativize</w:t>
      </w:r>
      <w:r w:rsidR="001369CC">
        <w:t xml:space="preserve"> “ethnicity” or</w:t>
      </w:r>
      <w:r w:rsidR="007505E3">
        <w:t xml:space="preserve"> </w:t>
      </w:r>
      <w:r w:rsidR="003364A2">
        <w:t>lineage</w:t>
      </w:r>
      <w:r w:rsidR="007505E3">
        <w:t xml:space="preserve"> and to celebrate the importance of virtue and piety (linked to </w:t>
      </w:r>
      <w:r w:rsidR="0037572E">
        <w:t xml:space="preserve">the </w:t>
      </w:r>
      <w:r w:rsidR="007505E3">
        <w:t xml:space="preserve">observance of the laws) in the definition of </w:t>
      </w:r>
      <w:r w:rsidR="007C7D0A">
        <w:t xml:space="preserve">what they called </w:t>
      </w:r>
      <w:r w:rsidR="007505E3">
        <w:t>Jewish “citizenship.”</w:t>
      </w:r>
      <w:r w:rsidR="007505E3">
        <w:rPr>
          <w:rStyle w:val="Marquenotebasdepage"/>
        </w:rPr>
        <w:footnoteReference w:id="66"/>
      </w:r>
    </w:p>
    <w:p w14:paraId="558CBC51" w14:textId="77777777" w:rsidR="0009282D" w:rsidRDefault="0009282D" w:rsidP="00140D2A">
      <w:pPr>
        <w:tabs>
          <w:tab w:val="left" w:pos="284"/>
          <w:tab w:val="left" w:pos="567"/>
          <w:tab w:val="left" w:pos="851"/>
        </w:tabs>
        <w:spacing w:line="360" w:lineRule="exact"/>
      </w:pPr>
    </w:p>
    <w:p w14:paraId="13214FC9" w14:textId="77777777" w:rsidR="00AF60B6" w:rsidRDefault="00AF60B6" w:rsidP="00140D2A">
      <w:pPr>
        <w:tabs>
          <w:tab w:val="left" w:pos="284"/>
          <w:tab w:val="left" w:pos="567"/>
          <w:tab w:val="left" w:pos="851"/>
        </w:tabs>
        <w:spacing w:line="360" w:lineRule="exact"/>
      </w:pPr>
    </w:p>
    <w:p w14:paraId="7FFE9C1F" w14:textId="77777777" w:rsidR="009A7AA7" w:rsidRDefault="009A7AA7" w:rsidP="00140D2A">
      <w:pPr>
        <w:tabs>
          <w:tab w:val="left" w:pos="284"/>
          <w:tab w:val="left" w:pos="567"/>
          <w:tab w:val="left" w:pos="851"/>
        </w:tabs>
        <w:spacing w:line="360" w:lineRule="exact"/>
      </w:pPr>
    </w:p>
    <w:p w14:paraId="65B843C0" w14:textId="77777777" w:rsidR="00AD145E" w:rsidRDefault="00AD145E" w:rsidP="00140D2A">
      <w:pPr>
        <w:tabs>
          <w:tab w:val="left" w:pos="284"/>
          <w:tab w:val="left" w:pos="567"/>
          <w:tab w:val="left" w:pos="851"/>
        </w:tabs>
        <w:spacing w:line="360" w:lineRule="exact"/>
      </w:pPr>
    </w:p>
    <w:p w14:paraId="690C0B91" w14:textId="77777777" w:rsidR="00AD145E" w:rsidRDefault="00AD145E" w:rsidP="00140D2A">
      <w:pPr>
        <w:tabs>
          <w:tab w:val="left" w:pos="284"/>
          <w:tab w:val="left" w:pos="567"/>
          <w:tab w:val="left" w:pos="851"/>
        </w:tabs>
        <w:spacing w:line="360" w:lineRule="exact"/>
      </w:pPr>
    </w:p>
    <w:p w14:paraId="0E24AC52" w14:textId="77777777" w:rsidR="00841C99" w:rsidRDefault="00841C99" w:rsidP="00764E5A">
      <w:pPr>
        <w:tabs>
          <w:tab w:val="left" w:pos="284"/>
          <w:tab w:val="left" w:pos="567"/>
          <w:tab w:val="left" w:pos="851"/>
        </w:tabs>
        <w:spacing w:line="360" w:lineRule="exact"/>
      </w:pPr>
    </w:p>
    <w:p w14:paraId="2FF375D2" w14:textId="77777777" w:rsidR="005B410B" w:rsidRDefault="005B410B" w:rsidP="005B410B">
      <w:pPr>
        <w:tabs>
          <w:tab w:val="left" w:pos="284"/>
          <w:tab w:val="left" w:pos="567"/>
          <w:tab w:val="left" w:pos="851"/>
        </w:tabs>
        <w:spacing w:line="360" w:lineRule="exact"/>
      </w:pPr>
    </w:p>
    <w:sectPr w:rsidR="005B410B" w:rsidSect="00F06F2D">
      <w:headerReference w:type="even" r:id="rId6"/>
      <w:headerReference w:type="default" r:id="rId7"/>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BA545" w14:textId="77777777" w:rsidR="00E6769D" w:rsidRDefault="00E6769D" w:rsidP="00FE1C4F">
      <w:r>
        <w:separator/>
      </w:r>
    </w:p>
  </w:endnote>
  <w:endnote w:type="continuationSeparator" w:id="0">
    <w:p w14:paraId="482F359D" w14:textId="77777777" w:rsidR="00E6769D" w:rsidRDefault="00E6769D" w:rsidP="00FE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ntium">
    <w:panose1 w:val="02000503060000020004"/>
    <w:charset w:val="00"/>
    <w:family w:val="auto"/>
    <w:pitch w:val="variable"/>
    <w:sig w:usb0="E00000FF" w:usb1="00000003" w:usb2="00000000" w:usb3="00000000" w:csb0="0000001B" w:csb1="00000000"/>
  </w:font>
  <w:font w:name="TimesNewRomanPS-ItalicMT">
    <w:charset w:val="00"/>
    <w:family w:val="auto"/>
    <w:pitch w:val="variable"/>
    <w:sig w:usb0="E0000AFF" w:usb1="00007843" w:usb2="00000001" w:usb3="00000000" w:csb0="000001BF" w:csb1="00000000"/>
  </w:font>
  <w:font w:name="New Athena Unicode">
    <w:panose1 w:val="02000503000000020003"/>
    <w:charset w:val="00"/>
    <w:family w:val="auto"/>
    <w:pitch w:val="variable"/>
    <w:sig w:usb0="E00022FF" w:usb1="5000E8FB" w:usb2="00000000" w:usb3="00000000" w:csb0="0000008F" w:csb1="00000000"/>
  </w:font>
  <w:font w:name="ElecLH12-BoldCursive">
    <w:altName w:val="Times New Roman"/>
    <w:panose1 w:val="00000000000000000000"/>
    <w:charset w:val="4D"/>
    <w:family w:val="auto"/>
    <w:notTrueType/>
    <w:pitch w:val="default"/>
    <w:sig w:usb0="00000003" w:usb1="00000000" w:usb2="00000000" w:usb3="00000000" w:csb0="00000001" w:csb1="00000000"/>
  </w:font>
  <w:font w:name="ElecLH12-Regular">
    <w:altName w:val="Times New Roman"/>
    <w:panose1 w:val="00000000000000000000"/>
    <w:charset w:val="4D"/>
    <w:family w:val="auto"/>
    <w:notTrueType/>
    <w:pitch w:val="default"/>
    <w:sig w:usb0="00000003" w:usb1="00000000" w:usb2="00000000" w:usb3="00000000" w:csb0="00000001" w:csb1="00000000"/>
  </w:font>
  <w:font w:name="TimesNewRomanPS">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B6F7" w14:textId="77777777" w:rsidR="00E6769D" w:rsidRDefault="00E6769D" w:rsidP="00FE1C4F">
      <w:r>
        <w:separator/>
      </w:r>
    </w:p>
  </w:footnote>
  <w:footnote w:type="continuationSeparator" w:id="0">
    <w:p w14:paraId="6991179F" w14:textId="77777777" w:rsidR="00E6769D" w:rsidRDefault="00E6769D" w:rsidP="00FE1C4F">
      <w:r>
        <w:continuationSeparator/>
      </w:r>
    </w:p>
  </w:footnote>
  <w:footnote w:id="1">
    <w:p w14:paraId="1206C7D7" w14:textId="77777777" w:rsidR="00FF4D06" w:rsidRPr="007F2193" w:rsidRDefault="00FF4D06" w:rsidP="007F2193">
      <w:pPr>
        <w:widowControl w:val="0"/>
        <w:autoSpaceDE w:val="0"/>
        <w:autoSpaceDN w:val="0"/>
        <w:adjustRightInd w:val="0"/>
        <w:rPr>
          <w:rFonts w:eastAsia="ＭＳ 明朝"/>
          <w:sz w:val="20"/>
        </w:rPr>
      </w:pPr>
      <w:r w:rsidRPr="00A65696">
        <w:rPr>
          <w:rStyle w:val="Marquenotebasdepage"/>
          <w:sz w:val="20"/>
        </w:rPr>
        <w:footnoteRef/>
      </w:r>
      <w:r w:rsidRPr="00A65696">
        <w:rPr>
          <w:sz w:val="20"/>
        </w:rPr>
        <w:t xml:space="preserve"> </w:t>
      </w:r>
      <w:r w:rsidRPr="00A65696">
        <w:rPr>
          <w:rFonts w:eastAsia="ＭＳ 明朝"/>
          <w:sz w:val="20"/>
        </w:rPr>
        <w:t>The research leading to these results has received funding from the European Research Council under the European Union’s Seventh Framework Programme (FP/2007-2013) / ERC Grant Agreement n. 614 424. It was part of the ERC Judaism and Rome, and has been realized within the framework of the CNRS and Aix-Marseille</w:t>
      </w:r>
      <w:r>
        <w:rPr>
          <w:rFonts w:eastAsia="ＭＳ 明朝"/>
          <w:sz w:val="20"/>
        </w:rPr>
        <w:t xml:space="preserve"> University, UMR 7297 TDMAM (Aix-en-Provence).</w:t>
      </w:r>
    </w:p>
  </w:footnote>
  <w:footnote w:id="2">
    <w:p w14:paraId="292D3562" w14:textId="77777777" w:rsidR="00FF4D06" w:rsidRDefault="00FF4D06" w:rsidP="00936E6A">
      <w:pPr>
        <w:pStyle w:val="Notedebasdepage"/>
      </w:pPr>
      <w:r>
        <w:rPr>
          <w:rStyle w:val="Marquenotebasdepage"/>
        </w:rPr>
        <w:footnoteRef/>
      </w:r>
      <w:r>
        <w:t xml:space="preserve"> See in particular Shaye J. D. Cohen,</w:t>
      </w:r>
      <w:r w:rsidRPr="002B2EB3">
        <w:rPr>
          <w:i/>
        </w:rPr>
        <w:t xml:space="preserve"> The Beginnings of Jewishness: Boundaries, Varieties, Uncertainties</w:t>
      </w:r>
      <w:r w:rsidRPr="002B2EB3">
        <w:t xml:space="preserve"> </w:t>
      </w:r>
      <w:r>
        <w:t>(Berkeley:</w:t>
      </w:r>
      <w:r w:rsidRPr="002B2EB3">
        <w:t xml:space="preserve"> University of California Press, 1999</w:t>
      </w:r>
      <w:r>
        <w:t xml:space="preserve">), to which I shall return below; Joseph Mélèze-Modrzejewski, </w:t>
      </w:r>
      <w:r w:rsidRPr="009A53D9">
        <w:rPr>
          <w:i/>
        </w:rPr>
        <w:t>Un peuple de philosophes : Aux or</w:t>
      </w:r>
      <w:r>
        <w:rPr>
          <w:i/>
        </w:rPr>
        <w:t>i</w:t>
      </w:r>
      <w:r w:rsidRPr="009A53D9">
        <w:rPr>
          <w:i/>
        </w:rPr>
        <w:t>gines de la condition juive</w:t>
      </w:r>
      <w:r>
        <w:t xml:space="preserve"> (Paris: Fayard, 2011), esp. 151–59.</w:t>
      </w:r>
    </w:p>
  </w:footnote>
  <w:footnote w:id="3">
    <w:p w14:paraId="4665C5DF" w14:textId="77777777" w:rsidR="00FF4D06" w:rsidRDefault="00FF4D06" w:rsidP="00743900">
      <w:pPr>
        <w:pStyle w:val="Notedebasdepage"/>
      </w:pPr>
      <w:r>
        <w:rPr>
          <w:rStyle w:val="Marquenotebasdepage"/>
        </w:rPr>
        <w:footnoteRef/>
      </w:r>
      <w:r>
        <w:t xml:space="preserve"> For such an enquiry concerning Philo’s work, see Caroline Carlier, </w:t>
      </w:r>
      <w:r>
        <w:rPr>
          <w:i/>
          <w:iCs/>
        </w:rPr>
        <w:t>La cité de Moïse : Le peuple juif chez Philon d’Alexandrie</w:t>
      </w:r>
      <w:r>
        <w:t xml:space="preserve"> (Turnhout: Brepols, 2008). On the Jewish communities in the diaspora and their experience of Greek political institutions, see in particular John M. G. Barclay, </w:t>
      </w:r>
      <w:r w:rsidRPr="00572590">
        <w:rPr>
          <w:i/>
        </w:rPr>
        <w:t>Jews in the Mediterranean Diaspora: From Alexander to Trajan (323 BCE - 117 C</w:t>
      </w:r>
      <w:r>
        <w:rPr>
          <w:i/>
        </w:rPr>
        <w:t>E)</w:t>
      </w:r>
      <w:r>
        <w:t xml:space="preserve"> (</w:t>
      </w:r>
      <w:r w:rsidRPr="00572590">
        <w:t>Edinburgh: T &amp; T Clark, 1996</w:t>
      </w:r>
      <w:r>
        <w:t xml:space="preserve">); </w:t>
      </w:r>
      <w:r w:rsidRPr="0050115F">
        <w:t>Margaret H. Williams</w:t>
      </w:r>
      <w:r>
        <w:t xml:space="preserve">, </w:t>
      </w:r>
      <w:r w:rsidRPr="00B02F8B">
        <w:rPr>
          <w:i/>
        </w:rPr>
        <w:t>Jews in a Graeco-Roman Environment</w:t>
      </w:r>
      <w:r>
        <w:t xml:space="preserve"> (Tübingen: Mohr Siebeck, 2013); Bradley Ritter, </w:t>
      </w:r>
      <w:r w:rsidRPr="00743900">
        <w:rPr>
          <w:i/>
        </w:rPr>
        <w:t xml:space="preserve">Judeans in the Greek Cities of the Roman Empire: Rights, Citizenship and Civil Discord </w:t>
      </w:r>
      <w:r>
        <w:t>(Leiden: Brill, 2015).</w:t>
      </w:r>
    </w:p>
  </w:footnote>
  <w:footnote w:id="4">
    <w:p w14:paraId="4964CA9C" w14:textId="77777777" w:rsidR="00FF4D06" w:rsidRPr="00AE4166" w:rsidRDefault="00FF4D06" w:rsidP="00F4146F">
      <w:pPr>
        <w:pStyle w:val="Notedebasdepage"/>
      </w:pPr>
      <w:r>
        <w:rPr>
          <w:rStyle w:val="Marquenotebasdepage"/>
        </w:rPr>
        <w:footnoteRef/>
      </w:r>
      <w:r>
        <w:t xml:space="preserve"> Josephus records attacks on the citizenship rights of Jews in Alexandria, Antioch, Caesarea, Scythopolis and other cities of Syria. See Ritter, </w:t>
      </w:r>
      <w:r w:rsidRPr="00743900">
        <w:rPr>
          <w:i/>
        </w:rPr>
        <w:t>Judeans in the Greek Cities</w:t>
      </w:r>
      <w:r>
        <w:t>, 38.</w:t>
      </w:r>
    </w:p>
  </w:footnote>
  <w:footnote w:id="5">
    <w:p w14:paraId="3ABDB144" w14:textId="77777777" w:rsidR="00FF4D06" w:rsidRDefault="00FF4D06" w:rsidP="00825FED">
      <w:pPr>
        <w:pStyle w:val="Notedebasdepage"/>
      </w:pPr>
      <w:r>
        <w:rPr>
          <w:rStyle w:val="Marquenotebasdepage"/>
        </w:rPr>
        <w:footnoteRef/>
      </w:r>
      <w:r>
        <w:t xml:space="preserve"> See Smith, “Rome and Maccabean Conversions: Notes on 1 Macc. 8,” in </w:t>
      </w:r>
      <w:r w:rsidRPr="00FA4848">
        <w:rPr>
          <w:i/>
        </w:rPr>
        <w:t>Donum Gentilicium</w:t>
      </w:r>
      <w:r>
        <w:t>, ed. David Daube (London: Oxford University Press, 1978), 1–7.</w:t>
      </w:r>
    </w:p>
  </w:footnote>
  <w:footnote w:id="6">
    <w:p w14:paraId="1A465B71" w14:textId="77777777" w:rsidR="00FF4D06" w:rsidRDefault="00FF4D06">
      <w:pPr>
        <w:pStyle w:val="Notedebasdepage"/>
      </w:pPr>
      <w:r>
        <w:rPr>
          <w:rStyle w:val="Marquenotebasdepage"/>
        </w:rPr>
        <w:footnoteRef/>
      </w:r>
      <w:r>
        <w:t xml:space="preserve"> For a more detailed treatment of the issue of “forced conversions” under the Hasmoneans, see my forthcoming book, </w:t>
      </w:r>
      <w:r w:rsidRPr="004A5DCB">
        <w:rPr>
          <w:i/>
        </w:rPr>
        <w:t>In Search of the Promised Land? The Hasmonean Dynasty Between Biblical Models and Hellenistic Diplomacy</w:t>
      </w:r>
      <w:r>
        <w:t>, to be published with Vandenhoeck&amp; Ruprecht.</w:t>
      </w:r>
    </w:p>
  </w:footnote>
  <w:footnote w:id="7">
    <w:p w14:paraId="182EBA72" w14:textId="77777777" w:rsidR="00FF4D06" w:rsidRDefault="00FF4D06" w:rsidP="00B5398E">
      <w:pPr>
        <w:pStyle w:val="Notedebasdepage"/>
      </w:pPr>
      <w:r>
        <w:rPr>
          <w:rStyle w:val="Marquenotebasdepage"/>
        </w:rPr>
        <w:footnoteRef/>
      </w:r>
      <w:r>
        <w:t xml:space="preserve"> Baron, </w:t>
      </w:r>
      <w:r w:rsidRPr="00523426">
        <w:rPr>
          <w:i/>
          <w:szCs w:val="24"/>
        </w:rPr>
        <w:t>A Social and Religious History of the Jews</w:t>
      </w:r>
      <w:r>
        <w:rPr>
          <w:szCs w:val="24"/>
        </w:rPr>
        <w:t xml:space="preserve"> (New York: Columbia University Press, </w:t>
      </w:r>
      <w:r w:rsidRPr="00E97BCA">
        <w:rPr>
          <w:szCs w:val="24"/>
        </w:rPr>
        <w:t>1937</w:t>
      </w:r>
      <w:r>
        <w:rPr>
          <w:szCs w:val="24"/>
        </w:rPr>
        <w:t xml:space="preserve">), </w:t>
      </w:r>
      <w:r>
        <w:t>163–64.</w:t>
      </w:r>
    </w:p>
  </w:footnote>
  <w:footnote w:id="8">
    <w:p w14:paraId="53B36A53" w14:textId="77777777" w:rsidR="00FF4D06" w:rsidRDefault="00FF4D06">
      <w:pPr>
        <w:pStyle w:val="Notedebasdepage"/>
      </w:pPr>
      <w:r>
        <w:rPr>
          <w:rStyle w:val="Marquenotebasdepage"/>
        </w:rPr>
        <w:footnoteRef/>
      </w:r>
      <w:r>
        <w:t xml:space="preserve"> For a review of different definitions and theories of ethnicity, see Christel Müller, “Introduction: La fin de l’ethnicité ?,” </w:t>
      </w:r>
      <w:r w:rsidRPr="00E9106A">
        <w:rPr>
          <w:i/>
        </w:rPr>
        <w:t>Dialogues d’histoire ancienne</w:t>
      </w:r>
      <w:r>
        <w:t xml:space="preserve"> Supplément 10 (</w:t>
      </w:r>
      <w:r w:rsidRPr="00E9106A">
        <w:t>2014</w:t>
      </w:r>
      <w:r>
        <w:t>): 15–</w:t>
      </w:r>
      <w:r w:rsidRPr="00E9106A">
        <w:t>33</w:t>
      </w:r>
      <w:r>
        <w:t>.</w:t>
      </w:r>
    </w:p>
  </w:footnote>
  <w:footnote w:id="9">
    <w:p w14:paraId="2502D3DC" w14:textId="77777777" w:rsidR="00FF4D06" w:rsidRDefault="00FF4D06">
      <w:pPr>
        <w:pStyle w:val="Notedebasdepage"/>
      </w:pPr>
      <w:r>
        <w:rPr>
          <w:rStyle w:val="Marquenotebasdepage"/>
        </w:rPr>
        <w:footnoteRef/>
      </w:r>
      <w:r>
        <w:t xml:space="preserve"> For a similar yet different theory, see Benedikt Eckhardt, </w:t>
      </w:r>
      <w:r w:rsidRPr="00AB1D62">
        <w:rPr>
          <w:i/>
        </w:rPr>
        <w:t>Ethnos und Herrschaft: Politische Figurationen judäischer Identität von Antiochos III. bis Herodes I</w:t>
      </w:r>
      <w:r>
        <w:rPr>
          <w:i/>
        </w:rPr>
        <w:t>.</w:t>
      </w:r>
      <w:r>
        <w:t>, Studia Judaica 72 (Berlin; Boston: Walter de Gruyter, 2013). According to Eckhardt, the Hasmonean dynasty (at least from Hyrcanus I onwards) was characterized by a relativization of the criterion of birth or lineage, which applied to both the leadership of the people and to the definition of the people itself.</w:t>
      </w:r>
    </w:p>
  </w:footnote>
  <w:footnote w:id="10">
    <w:p w14:paraId="7886735D" w14:textId="77777777" w:rsidR="00FF4D06" w:rsidRPr="002213E9" w:rsidRDefault="00FF4D06" w:rsidP="004A79DB">
      <w:pPr>
        <w:pStyle w:val="Notedebasdepage"/>
      </w:pPr>
      <w:r>
        <w:rPr>
          <w:rStyle w:val="Marquenotebasdepage"/>
        </w:rPr>
        <w:footnoteRef/>
      </w:r>
      <w:r>
        <w:t xml:space="preserve"> Cohen, </w:t>
      </w:r>
      <w:r w:rsidRPr="002B2EB3">
        <w:rPr>
          <w:i/>
        </w:rPr>
        <w:t>The Beginnings of Jewishness</w:t>
      </w:r>
      <w:r>
        <w:t>, 70.</w:t>
      </w:r>
    </w:p>
  </w:footnote>
  <w:footnote w:id="11">
    <w:p w14:paraId="5904ABD2" w14:textId="77777777" w:rsidR="00FF4D06" w:rsidRDefault="00FF4D06">
      <w:pPr>
        <w:pStyle w:val="Notedebasdepage"/>
      </w:pPr>
      <w:r>
        <w:rPr>
          <w:rStyle w:val="Marquenotebasdepage"/>
        </w:rPr>
        <w:footnoteRef/>
      </w:r>
      <w:r>
        <w:t xml:space="preserve"> Cohen, </w:t>
      </w:r>
      <w:r w:rsidRPr="002B2EB3">
        <w:rPr>
          <w:i/>
        </w:rPr>
        <w:t>The Beginnings of Jewishness</w:t>
      </w:r>
      <w:r>
        <w:t>, 118 and 127. The emphasis is mine.</w:t>
      </w:r>
    </w:p>
  </w:footnote>
  <w:footnote w:id="12">
    <w:p w14:paraId="23408D01" w14:textId="77777777" w:rsidR="00FF4D06" w:rsidRDefault="00FF4D06">
      <w:pPr>
        <w:pStyle w:val="Notedebasdepage"/>
      </w:pPr>
      <w:r>
        <w:rPr>
          <w:rStyle w:val="Marquenotebasdepage"/>
        </w:rPr>
        <w:footnoteRef/>
      </w:r>
      <w:r>
        <w:t xml:space="preserve"> See 1 Maccabees 1:11-15; 2 Maccabees 4:7-15.18-19. For a recent analysis of the Maccabean crisis that pays particular attention to political and fiscal issues, see </w:t>
      </w:r>
      <w:r w:rsidRPr="00F31897">
        <w:t>John Ma,</w:t>
      </w:r>
      <w:r>
        <w:t xml:space="preserve"> “Relire les </w:t>
      </w:r>
      <w:r w:rsidRPr="001F3D7A">
        <w:rPr>
          <w:i/>
        </w:rPr>
        <w:t>Institutions des Séleucides</w:t>
      </w:r>
      <w:r>
        <w:t xml:space="preserve"> de Bikerman,” in </w:t>
      </w:r>
      <w:r w:rsidRPr="005257D5">
        <w:rPr>
          <w:i/>
        </w:rPr>
        <w:t>Rome, a City and its Empire in Perspective: The Impact of the Roman World through Fergus Millar’s Research</w:t>
      </w:r>
      <w:r>
        <w:t xml:space="preserve">, ed. Stéphane Benoist (Leiden, Brill, 2012), 59-84; </w:t>
      </w:r>
      <w:r w:rsidRPr="0050258C">
        <w:rPr>
          <w:i/>
        </w:rPr>
        <w:t>id.</w:t>
      </w:r>
      <w:r>
        <w:t>, “Re-Examining Hanukkah</w:t>
      </w:r>
      <w:r w:rsidRPr="00F31897">
        <w:t>,</w:t>
      </w:r>
      <w:r>
        <w:t>”</w:t>
      </w:r>
      <w:r w:rsidRPr="00F31897">
        <w:t xml:space="preserve"> </w:t>
      </w:r>
      <w:r>
        <w:t>in</w:t>
      </w:r>
      <w:r w:rsidRPr="00F31897">
        <w:t xml:space="preserve"> </w:t>
      </w:r>
      <w:r w:rsidRPr="00F31897">
        <w:rPr>
          <w:i/>
        </w:rPr>
        <w:t>The Marginalia Review of Books</w:t>
      </w:r>
      <w:r w:rsidRPr="00F31897">
        <w:t xml:space="preserve">, 9 </w:t>
      </w:r>
      <w:r>
        <w:t>July</w:t>
      </w:r>
      <w:r w:rsidRPr="00F31897">
        <w:t xml:space="preserve"> 2013</w:t>
      </w:r>
      <w:r>
        <w:t xml:space="preserve"> </w:t>
      </w:r>
      <w:r w:rsidRPr="00A80374">
        <w:t>(http://themarginaliareview.com/archives/3083</w:t>
      </w:r>
      <w:r w:rsidRPr="00320B37">
        <w:t>);</w:t>
      </w:r>
      <w:r w:rsidRPr="00F31897">
        <w:t xml:space="preserve"> </w:t>
      </w:r>
      <w:r w:rsidRPr="00F31897">
        <w:rPr>
          <w:i/>
        </w:rPr>
        <w:t>id.</w:t>
      </w:r>
      <w:r>
        <w:t>, “</w:t>
      </w:r>
      <w:r w:rsidRPr="00F31897">
        <w:rPr>
          <w:rFonts w:eastAsia="Times New Roman"/>
        </w:rPr>
        <w:t>Notes on</w:t>
      </w:r>
      <w:r>
        <w:rPr>
          <w:rFonts w:eastAsia="Times New Roman"/>
        </w:rPr>
        <w:t xml:space="preserve"> the Restoration of the Temple</w:t>
      </w:r>
      <w:r w:rsidRPr="00F31897">
        <w:rPr>
          <w:rFonts w:eastAsia="Times New Roman"/>
        </w:rPr>
        <w:t>,</w:t>
      </w:r>
      <w:r>
        <w:rPr>
          <w:rFonts w:eastAsia="Times New Roman"/>
        </w:rPr>
        <w:t>” in</w:t>
      </w:r>
      <w:r w:rsidRPr="00F31897">
        <w:rPr>
          <w:rFonts w:eastAsia="Times New Roman"/>
        </w:rPr>
        <w:t xml:space="preserve"> </w:t>
      </w:r>
      <w:r w:rsidRPr="00F31897">
        <w:rPr>
          <w:rFonts w:eastAsia="Times New Roman"/>
          <w:i/>
          <w:iCs/>
        </w:rPr>
        <w:t>Seleukeia:</w:t>
      </w:r>
      <w:r w:rsidRPr="00F31897">
        <w:rPr>
          <w:rFonts w:eastAsia="Times New Roman"/>
        </w:rPr>
        <w:t xml:space="preserve"> </w:t>
      </w:r>
      <w:r w:rsidRPr="00F31897">
        <w:rPr>
          <w:rFonts w:eastAsia="Times New Roman"/>
          <w:i/>
          <w:iCs/>
        </w:rPr>
        <w:t>Studies in Seleucid History, Archaeology and Numismatics in Honor of Getzel M. Cohen</w:t>
      </w:r>
      <w:r w:rsidRPr="00F31897">
        <w:rPr>
          <w:rFonts w:eastAsia="Times New Roman"/>
          <w:iCs/>
        </w:rPr>
        <w:t xml:space="preserve">, </w:t>
      </w:r>
      <w:r>
        <w:rPr>
          <w:rFonts w:eastAsia="Times New Roman"/>
          <w:iCs/>
        </w:rPr>
        <w:t xml:space="preserve">ed. </w:t>
      </w:r>
      <w:r>
        <w:rPr>
          <w:rFonts w:eastAsia="Times New Roman"/>
        </w:rPr>
        <w:t xml:space="preserve">Roland Oetjen and Francis Xavier Ryan (Berlin: W. de Gruyter, </w:t>
      </w:r>
      <w:r>
        <w:t>forthcoming in 2017</w:t>
      </w:r>
      <w:r>
        <w:rPr>
          <w:rFonts w:eastAsia="Times New Roman"/>
        </w:rPr>
        <w:t>)</w:t>
      </w:r>
      <w:r>
        <w:rPr>
          <w:rFonts w:eastAsia="Times New Roman"/>
          <w:iCs/>
        </w:rPr>
        <w:t xml:space="preserve">; Sylvie Honigman, </w:t>
      </w:r>
      <w:r>
        <w:rPr>
          <w:rFonts w:eastAsia="Times New Roman"/>
        </w:rPr>
        <w:t>“The Religious Persecution as a Narrative Elaboration of a Military Suppression,” in</w:t>
      </w:r>
      <w:r>
        <w:rPr>
          <w:rFonts w:eastAsia="Times New Roman"/>
          <w:i/>
          <w:iCs/>
        </w:rPr>
        <w:t xml:space="preserve"> La mémoire des persécutions : Autour des livres des Maccabées</w:t>
      </w:r>
      <w:r>
        <w:rPr>
          <w:rFonts w:eastAsia="Times New Roman"/>
        </w:rPr>
        <w:t xml:space="preserve">, ed. Marie-Françoise Baslez and Olivier Munnich (Leuven: Peeters, 2014), 31–48; </w:t>
      </w:r>
      <w:r w:rsidRPr="00250058">
        <w:rPr>
          <w:rFonts w:eastAsia="Times New Roman"/>
          <w:i/>
        </w:rPr>
        <w:t>id.</w:t>
      </w:r>
      <w:r>
        <w:rPr>
          <w:rFonts w:eastAsia="Times New Roman"/>
        </w:rPr>
        <w:t xml:space="preserve">, </w:t>
      </w:r>
      <w:r w:rsidRPr="00B7753C">
        <w:rPr>
          <w:i/>
        </w:rPr>
        <w:t>Tales of High Priests and Taxes</w:t>
      </w:r>
      <w:r>
        <w:rPr>
          <w:i/>
        </w:rPr>
        <w:t xml:space="preserve">: </w:t>
      </w:r>
      <w:r w:rsidRPr="000A3A23">
        <w:rPr>
          <w:i/>
        </w:rPr>
        <w:t>The Books of the Maccabees and the Judean Rebellion against Antiochos IV</w:t>
      </w:r>
      <w:r>
        <w:t xml:space="preserve"> (Berkeley: University of California Press, 2014), esp. 387–404</w:t>
      </w:r>
      <w:r>
        <w:rPr>
          <w:rFonts w:eastAsia="Times New Roman"/>
        </w:rPr>
        <w:t>.</w:t>
      </w:r>
    </w:p>
  </w:footnote>
  <w:footnote w:id="13">
    <w:p w14:paraId="7E6E208C" w14:textId="77777777" w:rsidR="00FF4D06" w:rsidRPr="009023FE" w:rsidRDefault="00FF4D06">
      <w:pPr>
        <w:pStyle w:val="Notedebasdepage"/>
      </w:pPr>
      <w:r>
        <w:rPr>
          <w:rStyle w:val="Marquenotebasdepage"/>
        </w:rPr>
        <w:footnoteRef/>
      </w:r>
      <w:r>
        <w:t xml:space="preserve"> On the status of Jerusalem at the beginning of the Roman period, see the detailed and still decisive demonstration by Victor A. Tcherikover in “Was Jerusalem a ‘Polis’?,” </w:t>
      </w:r>
      <w:r>
        <w:rPr>
          <w:i/>
        </w:rPr>
        <w:t>Israel Exploration Journal</w:t>
      </w:r>
      <w:r>
        <w:t xml:space="preserve"> 14/1-2 (1964): 61–78.</w:t>
      </w:r>
      <w:r w:rsidR="009023FE">
        <w:t xml:space="preserve"> He aptly shows that the vocabulary used in the sources cannot be taken at face value: “It follows that under the procurators ‘archons’, a ‘boule’, and a ‘demos’ did exist in Jerusalem, but the archons were not </w:t>
      </w:r>
      <w:r w:rsidR="009023FE" w:rsidRPr="009023FE">
        <w:rPr>
          <w:i/>
        </w:rPr>
        <w:t>archons</w:t>
      </w:r>
      <w:r w:rsidR="009023FE">
        <w:t xml:space="preserve"> in the Greek sense, nor was the boule a </w:t>
      </w:r>
      <w:r w:rsidR="009023FE" w:rsidRPr="009023FE">
        <w:rPr>
          <w:i/>
        </w:rPr>
        <w:t>boule</w:t>
      </w:r>
      <w:r w:rsidR="009023FE">
        <w:t xml:space="preserve">, nor the demos a </w:t>
      </w:r>
      <w:r w:rsidR="009023FE" w:rsidRPr="009023FE">
        <w:rPr>
          <w:i/>
        </w:rPr>
        <w:t>demos</w:t>
      </w:r>
      <w:r w:rsidR="009023FE">
        <w:t xml:space="preserve">. </w:t>
      </w:r>
      <w:r w:rsidR="009023FE">
        <w:rPr>
          <w:i/>
        </w:rPr>
        <w:t>Throughout, the Greek names, borrowed from the Hellenistic world, reflected ancient Jewish institutions—the product of the evolution of the Jewish people through the ages</w:t>
      </w:r>
      <w:r w:rsidR="009023FE">
        <w:t>” (74, emphasis in the original text).</w:t>
      </w:r>
    </w:p>
  </w:footnote>
  <w:footnote w:id="14">
    <w:p w14:paraId="61E39C1C" w14:textId="77777777" w:rsidR="00FF4D06" w:rsidRDefault="00FF4D06" w:rsidP="002A0E15">
      <w:pPr>
        <w:pStyle w:val="Notedebasdepage"/>
      </w:pPr>
      <w:r>
        <w:rPr>
          <w:rStyle w:val="Marquenotebasdepage"/>
        </w:rPr>
        <w:footnoteRef/>
      </w:r>
      <w:r>
        <w:t xml:space="preserve"> See Maurice Sartre, “De Pétra à Jérusalem… et retour !,” in </w:t>
      </w:r>
      <w:r w:rsidRPr="00C849F8">
        <w:rPr>
          <w:i/>
        </w:rPr>
        <w:t>East and West. Papers in Ancient History presented to Glen W. Bowersock</w:t>
      </w:r>
      <w:r>
        <w:t xml:space="preserve">, ed. T. Corey Brennan et Harriet I. Flower (Harvard: Harvard University Press, 2008), 159–80; Christian-George Schwentzel, </w:t>
      </w:r>
      <w:r>
        <w:rPr>
          <w:i/>
        </w:rPr>
        <w:t>Juifs et Nabatéens :</w:t>
      </w:r>
      <w:r w:rsidRPr="00E504E2">
        <w:rPr>
          <w:i/>
        </w:rPr>
        <w:t xml:space="preserve"> Les monarchies ethniques du Proche-Orient hellénistique et romain</w:t>
      </w:r>
      <w:r>
        <w:t xml:space="preserve"> (Rennes: PUR, </w:t>
      </w:r>
      <w:r w:rsidRPr="00E504E2">
        <w:t>2013</w:t>
      </w:r>
      <w:r>
        <w:t>).</w:t>
      </w:r>
    </w:p>
  </w:footnote>
  <w:footnote w:id="15">
    <w:p w14:paraId="73E8C4BF" w14:textId="77777777" w:rsidR="00FF4D06" w:rsidRPr="00984CFA" w:rsidRDefault="00FF4D06">
      <w:pPr>
        <w:pStyle w:val="Notedebasdepage"/>
      </w:pPr>
      <w:r>
        <w:rPr>
          <w:rStyle w:val="Marquenotebasdepage"/>
        </w:rPr>
        <w:footnoteRef/>
      </w:r>
      <w:r>
        <w:t xml:space="preserve"> See the case of Tyriaion (</w:t>
      </w:r>
      <w:r w:rsidRPr="00D127FB">
        <w:t xml:space="preserve">or Toriaion) </w:t>
      </w:r>
      <w:r>
        <w:t xml:space="preserve">in the Pergamene kingdom for instance, known through inscriptions. On the relevance of this case for the situation in Jerusalem before the Maccabean uprising, see Honigman, </w:t>
      </w:r>
      <w:r w:rsidRPr="00B7753C">
        <w:rPr>
          <w:i/>
        </w:rPr>
        <w:t>Tales of High Priests and Taxes</w:t>
      </w:r>
      <w:r>
        <w:t>, 29–30, 212, 277–78, 363–64.</w:t>
      </w:r>
    </w:p>
  </w:footnote>
  <w:footnote w:id="16">
    <w:p w14:paraId="43D0C6C7" w14:textId="77777777" w:rsidR="00FF4D06" w:rsidRDefault="00FF4D06" w:rsidP="0072172A">
      <w:pPr>
        <w:spacing w:line="240" w:lineRule="exact"/>
      </w:pPr>
      <w:r>
        <w:rPr>
          <w:rStyle w:val="ReferenceNotedansNote"/>
          <w:rFonts w:cs="TimesNewRomanPSMT"/>
          <w:sz w:val="20"/>
        </w:rPr>
        <w:footnoteRef/>
      </w:r>
      <w:r>
        <w:rPr>
          <w:sz w:val="20"/>
        </w:rPr>
        <w:t xml:space="preserve"> My translation. Another passage in the </w:t>
      </w:r>
      <w:r>
        <w:rPr>
          <w:rFonts w:ascii="TimesNewRomanPS-ItalicMT" w:hAnsi="TimesNewRomanPS-ItalicMT" w:cs="TimesNewRomanPS-ItalicMT"/>
          <w:i/>
          <w:iCs/>
          <w:sz w:val="20"/>
        </w:rPr>
        <w:t>Antiquities</w:t>
      </w:r>
      <w:r>
        <w:rPr>
          <w:sz w:val="20"/>
        </w:rPr>
        <w:t xml:space="preserve"> evokes this episode very briefly, in connection with the story of the friendship between Herod and Costobar: </w:t>
      </w:r>
      <w:r>
        <w:rPr>
          <w:rFonts w:hint="cs"/>
          <w:sz w:val="20"/>
        </w:rPr>
        <w:t>“</w:t>
      </w:r>
      <w:r>
        <w:rPr>
          <w:sz w:val="20"/>
        </w:rPr>
        <w:t>Hyrcanus had altered their way of life (or: constitution [</w:t>
      </w:r>
      <w:r w:rsidRPr="00594748">
        <w:rPr>
          <w:i/>
          <w:sz w:val="20"/>
        </w:rPr>
        <w:t>politeia</w:t>
      </w:r>
      <w:r>
        <w:rPr>
          <w:sz w:val="20"/>
        </w:rPr>
        <w:t>]), and (made them adopt) the customs and statutes of the Judeans (</w:t>
      </w:r>
      <w:r w:rsidRPr="00E85C92">
        <w:rPr>
          <w:rFonts w:ascii="Gentium" w:hAnsi="Gentium"/>
          <w:sz w:val="20"/>
        </w:rPr>
        <w:t>τ</w:t>
      </w:r>
      <w:r w:rsidRPr="00E85C92">
        <w:rPr>
          <w:rFonts w:ascii="Gentium" w:hAnsi="Gentium" w:cs="New Athena Unicode"/>
          <w:sz w:val="20"/>
        </w:rPr>
        <w:t>ὰ</w:t>
      </w:r>
      <w:r w:rsidRPr="00E85C92">
        <w:rPr>
          <w:rFonts w:ascii="Gentium" w:hAnsi="Gentium"/>
          <w:sz w:val="20"/>
        </w:rPr>
        <w:t xml:space="preserve"> </w:t>
      </w:r>
      <w:r w:rsidRPr="00E85C92">
        <w:rPr>
          <w:rFonts w:ascii="Gentium" w:hAnsi="Gentium" w:cs="New Athena Unicode"/>
          <w:sz w:val="20"/>
        </w:rPr>
        <w:t>Ἰ</w:t>
      </w:r>
      <w:r w:rsidRPr="00E85C92">
        <w:rPr>
          <w:rFonts w:ascii="Gentium" w:hAnsi="Gentium"/>
          <w:sz w:val="20"/>
        </w:rPr>
        <w:t>ουδα</w:t>
      </w:r>
      <w:r w:rsidRPr="00E85C92">
        <w:rPr>
          <w:rFonts w:ascii="Gentium" w:hAnsi="Gentium" w:cs="New Athena Unicode"/>
          <w:sz w:val="20"/>
        </w:rPr>
        <w:t>ί</w:t>
      </w:r>
      <w:r w:rsidRPr="00E85C92">
        <w:rPr>
          <w:rFonts w:ascii="Gentium" w:hAnsi="Gentium"/>
          <w:sz w:val="20"/>
        </w:rPr>
        <w:t xml:space="preserve">ων </w:t>
      </w:r>
      <w:r w:rsidRPr="00E85C92">
        <w:rPr>
          <w:rFonts w:ascii="Gentium" w:hAnsi="Gentium" w:cs="New Athena Unicode"/>
          <w:sz w:val="20"/>
        </w:rPr>
        <w:t>ἔ</w:t>
      </w:r>
      <w:r w:rsidRPr="00E85C92">
        <w:rPr>
          <w:rFonts w:ascii="Gentium" w:hAnsi="Gentium"/>
          <w:sz w:val="20"/>
        </w:rPr>
        <w:t>θη κα</w:t>
      </w:r>
      <w:r w:rsidRPr="00E85C92">
        <w:rPr>
          <w:rFonts w:ascii="Gentium" w:hAnsi="Gentium" w:cs="New Athena Unicode"/>
          <w:sz w:val="20"/>
        </w:rPr>
        <w:t>ὶ</w:t>
      </w:r>
      <w:r w:rsidRPr="00E85C92">
        <w:rPr>
          <w:rFonts w:ascii="Gentium" w:hAnsi="Gentium"/>
          <w:sz w:val="20"/>
        </w:rPr>
        <w:t xml:space="preserve"> ν</w:t>
      </w:r>
      <w:r w:rsidRPr="00E85C92">
        <w:rPr>
          <w:rFonts w:ascii="Gentium" w:hAnsi="Gentium" w:cs="New Athena Unicode"/>
          <w:sz w:val="20"/>
        </w:rPr>
        <w:t>ό</w:t>
      </w:r>
      <w:r w:rsidRPr="00E85C92">
        <w:rPr>
          <w:rFonts w:ascii="Gentium" w:hAnsi="Gentium"/>
          <w:sz w:val="20"/>
        </w:rPr>
        <w:t>μιμα</w:t>
      </w:r>
      <w:r>
        <w:rPr>
          <w:sz w:val="20"/>
        </w:rPr>
        <w:t>)” (</w:t>
      </w:r>
      <w:r>
        <w:rPr>
          <w:rFonts w:ascii="TimesNewRomanPS-ItalicMT" w:hAnsi="TimesNewRomanPS-ItalicMT" w:cs="TimesNewRomanPS-ItalicMT"/>
          <w:i/>
          <w:iCs/>
          <w:sz w:val="20"/>
        </w:rPr>
        <w:t>Ant.</w:t>
      </w:r>
      <w:r>
        <w:rPr>
          <w:sz w:val="20"/>
        </w:rPr>
        <w:t xml:space="preserve"> 15.254, trans. Ralph Marcus, LCL, 119–21, slightly modified). </w:t>
      </w:r>
    </w:p>
  </w:footnote>
  <w:footnote w:id="17">
    <w:p w14:paraId="3B668FA5" w14:textId="77777777" w:rsidR="00FF4D06" w:rsidRDefault="00FF4D06">
      <w:pPr>
        <w:pStyle w:val="Notedebasdepage"/>
      </w:pPr>
      <w:r>
        <w:rPr>
          <w:rStyle w:val="Marquenotebasdepage"/>
        </w:rPr>
        <w:footnoteRef/>
      </w:r>
      <w:r>
        <w:t xml:space="preserve"> On Jews or Judeans as fellow citizens (</w:t>
      </w:r>
      <w:r w:rsidRPr="001E7C93">
        <w:rPr>
          <w:i/>
        </w:rPr>
        <w:t>politai</w:t>
      </w:r>
      <w:r>
        <w:t xml:space="preserve">), see for instance, in the </w:t>
      </w:r>
      <w:r w:rsidRPr="00AC3C43">
        <w:rPr>
          <w:i/>
        </w:rPr>
        <w:t>Jewish Antiquities</w:t>
      </w:r>
      <w:r>
        <w:t xml:space="preserve">, 1.21 (Moses and the Israelites), 4.314 (Moses speaking to the Israelites), 5.54 (the Gabaonites request to become fellow citizens of the Israelites), 5.265 (the Israelites are the fellow citizens of Jephtah’s daughter), 6.75, 7.291, 8.361, 8.370, 9.80, 10.269 (at the time of Daniel), 11.176 (at the time of Nehemiah), 12.46 (in Ptolemy’s letter, following the </w:t>
      </w:r>
      <w:r w:rsidRPr="00E74394">
        <w:rPr>
          <w:i/>
        </w:rPr>
        <w:t>Letter of Aristeas</w:t>
      </w:r>
      <w:r>
        <w:t xml:space="preserve">), 12.54 (in Eleazar’s letter, following the </w:t>
      </w:r>
      <w:r w:rsidRPr="00E74394">
        <w:rPr>
          <w:i/>
        </w:rPr>
        <w:t>Letter of Aristeas</w:t>
      </w:r>
      <w:r>
        <w:t xml:space="preserve">), 12.161-162 (in connection with Onias), 12.252 (to designate the inhabitants of Jerusalem, or of Judea in general, during Antiochus’s “persecution”), 12.269 (Judeans as fellow citizens of Mattathias), 12.323 (Judas and his fellow citizens), 12.433, 13.287 (Chelkias and Ananias as fellow citizens of the Egyptian Jews), 14.226 (diaspora Jews as fellow citizens of Hyrcanus II), 15.375 (an Essene called Manaēmus recommends to Herod to behave with mildness towards his fellow citizens), 17.239 (Archelaus is accused of having massacred the citizens in the Temple), 20.205 (the high priest Anaanias is held in high esteem by his fellow citizens). On the other hand, in connection with a particular place Josephus often uses the term vaguely, with the meaning of “inhabitants” (see </w:t>
      </w:r>
      <w:r w:rsidRPr="00536086">
        <w:rPr>
          <w:i/>
        </w:rPr>
        <w:t>Ant.</w:t>
      </w:r>
      <w:r>
        <w:t xml:space="preserve"> 5.247, 9.99; </w:t>
      </w:r>
      <w:r w:rsidRPr="00E93AB9">
        <w:rPr>
          <w:i/>
        </w:rPr>
        <w:t>Life</w:t>
      </w:r>
      <w:r>
        <w:t xml:space="preserve"> 42-43, 135 or 346 for instance). The term </w:t>
      </w:r>
      <w:r w:rsidRPr="003D1CA5">
        <w:rPr>
          <w:i/>
        </w:rPr>
        <w:t>politai</w:t>
      </w:r>
      <w:r>
        <w:t xml:space="preserve"> has thus different meanings in Josephus’s work, and does not necessarily imply the existence of civic institutions. Hence, in </w:t>
      </w:r>
      <w:r w:rsidRPr="00685D22">
        <w:rPr>
          <w:i/>
        </w:rPr>
        <w:t>Ant.</w:t>
      </w:r>
      <w:r>
        <w:t xml:space="preserve"> 8.370, the king Achab refers to the Israelites who are his subjects as </w:t>
      </w:r>
      <w:r w:rsidRPr="00685D22">
        <w:rPr>
          <w:i/>
        </w:rPr>
        <w:t>politai</w:t>
      </w:r>
      <w:r>
        <w:t xml:space="preserve">, and in book 15, which deals with the rule of Herod, the Judeans are repeatedly designated by the term </w:t>
      </w:r>
      <w:r w:rsidRPr="00676F82">
        <w:rPr>
          <w:i/>
        </w:rPr>
        <w:t>politai</w:t>
      </w:r>
      <w:r>
        <w:t xml:space="preserve">. In such cases </w:t>
      </w:r>
      <w:r>
        <w:rPr>
          <w:i/>
        </w:rPr>
        <w:t>politē</w:t>
      </w:r>
      <w:r w:rsidRPr="00086DC6">
        <w:rPr>
          <w:i/>
        </w:rPr>
        <w:t>s</w:t>
      </w:r>
      <w:r>
        <w:t xml:space="preserve"> simply means a fellow Israelite or Judean (for an analysis of </w:t>
      </w:r>
      <w:r>
        <w:rPr>
          <w:i/>
        </w:rPr>
        <w:t>politē</w:t>
      </w:r>
      <w:r w:rsidRPr="00086DC6">
        <w:rPr>
          <w:i/>
        </w:rPr>
        <w:t>s</w:t>
      </w:r>
      <w:r>
        <w:t xml:space="preserve"> in the Septuagint, see below). But as far as the Idumeans are concerned, Josephus never speaks about them as </w:t>
      </w:r>
      <w:r w:rsidRPr="003D1CA5">
        <w:rPr>
          <w:i/>
        </w:rPr>
        <w:t>politai</w:t>
      </w:r>
      <w:r>
        <w:t>, no matter in which sense.</w:t>
      </w:r>
    </w:p>
  </w:footnote>
  <w:footnote w:id="18">
    <w:p w14:paraId="68A16E20" w14:textId="77777777" w:rsidR="00FF4D06" w:rsidRPr="00F26E93" w:rsidRDefault="00FF4D06" w:rsidP="00804C0A">
      <w:pPr>
        <w:pStyle w:val="Notedebasdepage"/>
      </w:pPr>
      <w:r w:rsidRPr="00F26E93">
        <w:rPr>
          <w:rStyle w:val="Marquenotebasdepage"/>
        </w:rPr>
        <w:footnoteRef/>
      </w:r>
      <w:r w:rsidRPr="00F26E93">
        <w:t xml:space="preserve"> </w:t>
      </w:r>
      <w:r>
        <w:t xml:space="preserve">Concerning this translation, see also Cohen, </w:t>
      </w:r>
      <w:r>
        <w:rPr>
          <w:i/>
        </w:rPr>
        <w:t xml:space="preserve">The Beginnings of </w:t>
      </w:r>
      <w:r w:rsidRPr="00B863C0">
        <w:rPr>
          <w:i/>
        </w:rPr>
        <w:t>Jewishness</w:t>
      </w:r>
      <w:r>
        <w:t>, 113. For the meaning of</w:t>
      </w:r>
      <w:r w:rsidRPr="00F26E93">
        <w:t xml:space="preserve"> </w:t>
      </w:r>
      <w:r w:rsidRPr="00F26E93">
        <w:rPr>
          <w:rFonts w:ascii="Gentium" w:hAnsi="Gentium"/>
        </w:rPr>
        <w:t xml:space="preserve">συντελεῖν εἰς </w:t>
      </w:r>
      <w:r>
        <w:t>as “contribute</w:t>
      </w:r>
      <w:r w:rsidRPr="00F26E93">
        <w:t xml:space="preserve"> (</w:t>
      </w:r>
      <w:r>
        <w:t>financially) to”</w:t>
      </w:r>
      <w:r w:rsidRPr="00F26E93">
        <w:t xml:space="preserve"> </w:t>
      </w:r>
      <w:r>
        <w:t>or</w:t>
      </w:r>
      <w:r w:rsidRPr="00F26E93">
        <w:t xml:space="preserve"> </w:t>
      </w:r>
      <w:r>
        <w:t>“pay</w:t>
      </w:r>
      <w:r w:rsidRPr="00F26E93">
        <w:t xml:space="preserve"> (</w:t>
      </w:r>
      <w:r>
        <w:t>a certain amount of money) for</w:t>
      </w:r>
      <w:r w:rsidRPr="00F26E93">
        <w:t>,</w:t>
      </w:r>
      <w:r>
        <w:t>”</w:t>
      </w:r>
      <w:r w:rsidRPr="00F26E93">
        <w:t xml:space="preserve"> </w:t>
      </w:r>
      <w:r>
        <w:t>see</w:t>
      </w:r>
      <w:r w:rsidRPr="00F26E93">
        <w:t xml:space="preserve"> Thucydide</w:t>
      </w:r>
      <w:r>
        <w:t>s 2.15.2; 4.76.3; Demosthe</w:t>
      </w:r>
      <w:r w:rsidRPr="00F26E93">
        <w:t>ne</w:t>
      </w:r>
      <w:r>
        <w:t>s</w:t>
      </w:r>
      <w:r w:rsidRPr="00F26E93">
        <w:t xml:space="preserve">, </w:t>
      </w:r>
      <w:r>
        <w:rPr>
          <w:i/>
        </w:rPr>
        <w:t>Against</w:t>
      </w:r>
      <w:r w:rsidRPr="00F26E93">
        <w:rPr>
          <w:i/>
        </w:rPr>
        <w:t xml:space="preserve"> Leptine</w:t>
      </w:r>
      <w:r>
        <w:rPr>
          <w:i/>
        </w:rPr>
        <w:t>s</w:t>
      </w:r>
      <w:r>
        <w:t xml:space="preserve"> 28; Ae</w:t>
      </w:r>
      <w:r w:rsidRPr="00F26E93">
        <w:t>schine</w:t>
      </w:r>
      <w:r>
        <w:t>s</w:t>
      </w:r>
      <w:r w:rsidRPr="00F26E93">
        <w:t xml:space="preserve">, </w:t>
      </w:r>
      <w:r w:rsidRPr="00356FB0">
        <w:rPr>
          <w:i/>
        </w:rPr>
        <w:t xml:space="preserve">Against Ctesiphon </w:t>
      </w:r>
      <w:r w:rsidRPr="00F26E93">
        <w:t xml:space="preserve">95. </w:t>
      </w:r>
      <w:r>
        <w:t xml:space="preserve">It is this meaning that underlies the translation “to belong to,” “to be counted among” </w:t>
      </w:r>
      <w:r w:rsidRPr="00F26E93">
        <w:t>(</w:t>
      </w:r>
      <w:r>
        <w:t xml:space="preserve">as in </w:t>
      </w:r>
      <w:r w:rsidRPr="00F26E93">
        <w:t>Stern</w:t>
      </w:r>
      <w:r>
        <w:t xml:space="preserve">, </w:t>
      </w:r>
      <w:r w:rsidRPr="00F26E93">
        <w:rPr>
          <w:i/>
        </w:rPr>
        <w:t>GLAJJ</w:t>
      </w:r>
      <w:r w:rsidRPr="00F26E93">
        <w:t xml:space="preserve"> </w:t>
      </w:r>
      <w:r>
        <w:t>1:</w:t>
      </w:r>
      <w:r w:rsidRPr="00F26E93">
        <w:t>356</w:t>
      </w:r>
      <w:r>
        <w:t>,</w:t>
      </w:r>
      <w:r w:rsidRPr="00F26E93">
        <w:t xml:space="preserve"> </w:t>
      </w:r>
      <w:r>
        <w:t>where one reads “</w:t>
      </w:r>
      <w:r w:rsidRPr="00F26E93">
        <w:t>to be cou</w:t>
      </w:r>
      <w:r>
        <w:t>nted among the Jewish nation”).</w:t>
      </w:r>
      <w:r w:rsidRPr="00F26E93">
        <w:t xml:space="preserve"> </w:t>
      </w:r>
      <w:r>
        <w:t>See the explanation in Liddell-Scott: “</w:t>
      </w:r>
      <w:r w:rsidRPr="00F26E93">
        <w:rPr>
          <w:rFonts w:ascii="Gentium" w:hAnsi="Gentium"/>
        </w:rPr>
        <w:t>συντελεῖν εἰς</w:t>
      </w:r>
      <w:r w:rsidRPr="00F26E93">
        <w:rPr>
          <w:rFonts w:ascii="Gentium" w:hAnsi="Gentium"/>
          <w:lang w:val="en-US"/>
        </w:rPr>
        <w:t xml:space="preserve"> τοὺ</w:t>
      </w:r>
      <w:r w:rsidRPr="00F26E93">
        <w:rPr>
          <w:lang w:val="en-US"/>
        </w:rPr>
        <w:t xml:space="preserve">ς </w:t>
      </w:r>
      <w:r w:rsidRPr="00F26E93">
        <w:rPr>
          <w:rFonts w:ascii="Gentium" w:hAnsi="Gentium"/>
          <w:lang w:val="en-US"/>
        </w:rPr>
        <w:t>ἱππεῖς</w:t>
      </w:r>
      <w:r w:rsidRPr="00F26E93">
        <w:t xml:space="preserve">, etc., strictly </w:t>
      </w:r>
      <w:r w:rsidRPr="00F26E93">
        <w:rPr>
          <w:i/>
        </w:rPr>
        <w:t>to pay</w:t>
      </w:r>
      <w:r w:rsidRPr="00F26E93">
        <w:t xml:space="preserve"> to the knights or the class of knights and so, to </w:t>
      </w:r>
      <w:r w:rsidRPr="00F26E93">
        <w:rPr>
          <w:i/>
        </w:rPr>
        <w:t>belong</w:t>
      </w:r>
      <w:r w:rsidRPr="00F26E93">
        <w:t xml:space="preserve"> to this class or body (because at Athens all citizens were classed acc. to their </w:t>
      </w:r>
      <w:r w:rsidRPr="00F26E93">
        <w:rPr>
          <w:rFonts w:ascii="Gentium" w:hAnsi="Gentium"/>
        </w:rPr>
        <w:t>τίμημα</w:t>
      </w:r>
      <w:r w:rsidRPr="00F26E93">
        <w:t>, or rateable property); then, generally, to belong to it, be counted in a clas</w:t>
      </w:r>
      <w:r>
        <w:t>s or body…” (Liddell-Scott, 1444).</w:t>
      </w:r>
    </w:p>
  </w:footnote>
  <w:footnote w:id="19">
    <w:p w14:paraId="140AC2E1" w14:textId="77777777" w:rsidR="00FF4D06" w:rsidRDefault="00FF4D06" w:rsidP="00061AAE">
      <w:pPr>
        <w:spacing w:line="240" w:lineRule="exact"/>
      </w:pPr>
      <w:r>
        <w:rPr>
          <w:rStyle w:val="ReferenceNotedansNote"/>
          <w:rFonts w:cs="TimesNewRomanPSMT"/>
          <w:sz w:val="20"/>
        </w:rPr>
        <w:footnoteRef/>
      </w:r>
      <w:r>
        <w:rPr>
          <w:sz w:val="20"/>
        </w:rPr>
        <w:t xml:space="preserve"> Both Théodore Reinach and Menahem Stern replace the </w:t>
      </w:r>
      <w:r>
        <w:rPr>
          <w:rFonts w:ascii="Gentium" w:hAnsi="Gentium" w:cs="Gentium"/>
          <w:sz w:val="20"/>
        </w:rPr>
        <w:t xml:space="preserve">ἔθος </w:t>
      </w:r>
      <w:r>
        <w:rPr>
          <w:sz w:val="20"/>
        </w:rPr>
        <w:t>found in the</w:t>
      </w:r>
      <w:r>
        <w:rPr>
          <w:rFonts w:ascii="Gentium" w:hAnsi="Gentium" w:cs="Gentium"/>
          <w:sz w:val="20"/>
        </w:rPr>
        <w:t xml:space="preserve"> </w:t>
      </w:r>
      <w:r>
        <w:rPr>
          <w:rFonts w:ascii="Gentium" w:hAnsi="Gentium" w:cs="Gentium"/>
          <w:sz w:val="20"/>
          <w:lang w:val="en-US"/>
        </w:rPr>
        <w:t xml:space="preserve">θ </w:t>
      </w:r>
      <w:r w:rsidRPr="00F106C2">
        <w:rPr>
          <w:sz w:val="20"/>
          <w:lang w:val="en-US"/>
        </w:rPr>
        <w:t>group of mss with</w:t>
      </w:r>
      <w:r>
        <w:rPr>
          <w:rFonts w:ascii="Gentium" w:hAnsi="Gentium" w:cs="Gentium"/>
          <w:sz w:val="20"/>
        </w:rPr>
        <w:t xml:space="preserve"> ἔθνος.</w:t>
      </w:r>
      <w:r>
        <w:rPr>
          <w:sz w:val="20"/>
        </w:rPr>
        <w:t xml:space="preserve"> See Reinach, </w:t>
      </w:r>
      <w:r>
        <w:rPr>
          <w:rFonts w:ascii="TimesNewRomanPS-ItalicMT" w:hAnsi="TimesNewRomanPS-ItalicMT" w:cs="TimesNewRomanPS-ItalicMT"/>
          <w:i/>
          <w:iCs/>
          <w:sz w:val="20"/>
        </w:rPr>
        <w:t>Textes d’auteurs grecs et romains relatifs au judaïsme</w:t>
      </w:r>
      <w:r>
        <w:rPr>
          <w:sz w:val="20"/>
        </w:rPr>
        <w:t xml:space="preserve"> (Paris, 1894 [new edition Paris: Belles Lettres, 2007], 88); Stern, </w:t>
      </w:r>
      <w:r>
        <w:rPr>
          <w:rFonts w:ascii="TimesNewRomanPS-ItalicMT" w:hAnsi="TimesNewRomanPS-ItalicMT" w:cs="TimesNewRomanPS-ItalicMT"/>
          <w:i/>
          <w:iCs/>
          <w:sz w:val="20"/>
        </w:rPr>
        <w:t>GLAJJ</w:t>
      </w:r>
      <w:r>
        <w:rPr>
          <w:sz w:val="20"/>
        </w:rPr>
        <w:t xml:space="preserve"> 1:356.</w:t>
      </w:r>
    </w:p>
  </w:footnote>
  <w:footnote w:id="20">
    <w:p w14:paraId="7BE2F1E0" w14:textId="77777777" w:rsidR="00FF4D06" w:rsidRDefault="00FF4D06" w:rsidP="00061AAE">
      <w:pPr>
        <w:spacing w:line="240" w:lineRule="exact"/>
      </w:pPr>
      <w:r>
        <w:rPr>
          <w:rStyle w:val="ReferenceNotedansNote"/>
          <w:rFonts w:cs="TimesNewRomanPSMT"/>
          <w:sz w:val="20"/>
        </w:rPr>
        <w:footnoteRef/>
      </w:r>
      <w:r>
        <w:rPr>
          <w:sz w:val="20"/>
        </w:rPr>
        <w:t xml:space="preserve"> This brief passage is found in the article </w:t>
      </w:r>
      <w:r>
        <w:rPr>
          <w:rFonts w:ascii="Gentium" w:hAnsi="Gentium" w:cs="Gentium"/>
          <w:sz w:val="20"/>
        </w:rPr>
        <w:t>Ἰ</w:t>
      </w:r>
      <w:r>
        <w:rPr>
          <w:rFonts w:ascii="Gentium" w:hAnsi="Gentium" w:cs="Gentium"/>
          <w:sz w:val="20"/>
          <w:lang w:val="en-US"/>
        </w:rPr>
        <w:t>δουμαῖοι</w:t>
      </w:r>
      <w:r>
        <w:rPr>
          <w:sz w:val="20"/>
        </w:rPr>
        <w:t xml:space="preserve"> in the treatise </w:t>
      </w:r>
      <w:r>
        <w:rPr>
          <w:rFonts w:ascii="TimesNewRomanPS-ItalicMT" w:hAnsi="TimesNewRomanPS-ItalicMT" w:cs="TimesNewRomanPS-ItalicMT"/>
          <w:i/>
          <w:iCs/>
          <w:sz w:val="20"/>
        </w:rPr>
        <w:t>De adfinium vocabulorum differentia</w:t>
      </w:r>
      <w:r>
        <w:rPr>
          <w:sz w:val="20"/>
        </w:rPr>
        <w:t xml:space="preserve"> of Ammonius, which dates from the beginning of the 2</w:t>
      </w:r>
      <w:r w:rsidRPr="00804C0A">
        <w:rPr>
          <w:sz w:val="20"/>
          <w:vertAlign w:val="superscript"/>
        </w:rPr>
        <w:t>nd</w:t>
      </w:r>
      <w:r>
        <w:rPr>
          <w:sz w:val="20"/>
        </w:rPr>
        <w:t xml:space="preserve"> century CE at the latest. See Stern, </w:t>
      </w:r>
      <w:r>
        <w:rPr>
          <w:rFonts w:ascii="TimesNewRomanPS-ItalicMT" w:hAnsi="TimesNewRomanPS-ItalicMT" w:cs="TimesNewRomanPS-ItalicMT"/>
          <w:i/>
          <w:iCs/>
          <w:sz w:val="20"/>
        </w:rPr>
        <w:t>GLAJJ</w:t>
      </w:r>
      <w:r>
        <w:rPr>
          <w:sz w:val="20"/>
        </w:rPr>
        <w:t xml:space="preserve"> 1:355-356. I have used Menahem Stern’s translation, but also modified it.</w:t>
      </w:r>
    </w:p>
  </w:footnote>
  <w:footnote w:id="21">
    <w:p w14:paraId="4C660ACC" w14:textId="77777777" w:rsidR="00FF4D06" w:rsidRPr="00D42424" w:rsidRDefault="00FF4D06" w:rsidP="009532DE">
      <w:pPr>
        <w:spacing w:line="240" w:lineRule="exact"/>
        <w:rPr>
          <w:sz w:val="20"/>
        </w:rPr>
      </w:pPr>
      <w:r w:rsidRPr="009008CA">
        <w:rPr>
          <w:rStyle w:val="Marquenotebasdepage"/>
          <w:sz w:val="20"/>
        </w:rPr>
        <w:footnoteRef/>
      </w:r>
      <w:r w:rsidRPr="009008CA">
        <w:rPr>
          <w:sz w:val="20"/>
        </w:rPr>
        <w:t xml:space="preserve"> </w:t>
      </w:r>
      <w:r>
        <w:rPr>
          <w:sz w:val="20"/>
        </w:rPr>
        <w:t xml:space="preserve">See in particular </w:t>
      </w:r>
      <w:r>
        <w:rPr>
          <w:rFonts w:ascii="TimesNewRomanPS-ItalicMT" w:hAnsi="TimesNewRomanPS-ItalicMT" w:cs="TimesNewRomanPS-ItalicMT"/>
          <w:i/>
          <w:iCs/>
          <w:sz w:val="20"/>
        </w:rPr>
        <w:t>War</w:t>
      </w:r>
      <w:r>
        <w:rPr>
          <w:sz w:val="20"/>
        </w:rPr>
        <w:t xml:space="preserve"> 4.278-279;</w:t>
      </w:r>
      <w:r w:rsidRPr="009008CA">
        <w:rPr>
          <w:sz w:val="20"/>
        </w:rPr>
        <w:t xml:space="preserve"> Alan Appelbaum, </w:t>
      </w:r>
      <w:r w:rsidRPr="009008CA">
        <w:rPr>
          <w:rFonts w:hint="cs"/>
          <w:sz w:val="20"/>
        </w:rPr>
        <w:t>“</w:t>
      </w:r>
      <w:r>
        <w:rPr>
          <w:sz w:val="20"/>
        </w:rPr>
        <w:t xml:space="preserve"> ‘</w:t>
      </w:r>
      <w:r w:rsidRPr="009008CA">
        <w:rPr>
          <w:sz w:val="20"/>
        </w:rPr>
        <w:t>The Idumaeans</w:t>
      </w:r>
      <w:r>
        <w:rPr>
          <w:rFonts w:hint="cs"/>
          <w:sz w:val="20"/>
        </w:rPr>
        <w:t>’</w:t>
      </w:r>
      <w:r w:rsidRPr="009008CA">
        <w:rPr>
          <w:sz w:val="20"/>
        </w:rPr>
        <w:t xml:space="preserve"> in Josephus’ </w:t>
      </w:r>
      <w:r w:rsidRPr="009008CA">
        <w:rPr>
          <w:rFonts w:ascii="TimesNewRomanPS-ItalicMT" w:hAnsi="TimesNewRomanPS-ItalicMT" w:cs="TimesNewRomanPS-ItalicMT"/>
          <w:i/>
          <w:iCs/>
          <w:sz w:val="20"/>
        </w:rPr>
        <w:t>The Jewish War</w:t>
      </w:r>
      <w:r w:rsidRPr="009008CA">
        <w:rPr>
          <w:sz w:val="20"/>
        </w:rPr>
        <w:t>,</w:t>
      </w:r>
      <w:r>
        <w:rPr>
          <w:sz w:val="20"/>
        </w:rPr>
        <w:t>”</w:t>
      </w:r>
      <w:r w:rsidRPr="009008CA">
        <w:rPr>
          <w:sz w:val="20"/>
        </w:rPr>
        <w:t xml:space="preserve"> </w:t>
      </w:r>
      <w:r w:rsidRPr="009008CA">
        <w:rPr>
          <w:rFonts w:ascii="TimesNewRomanPS-ItalicMT" w:hAnsi="TimesNewRomanPS-ItalicMT" w:cs="TimesNewRomanPS-ItalicMT"/>
          <w:i/>
          <w:iCs/>
          <w:sz w:val="20"/>
        </w:rPr>
        <w:t>JSJ</w:t>
      </w:r>
      <w:r>
        <w:rPr>
          <w:sz w:val="20"/>
        </w:rPr>
        <w:t xml:space="preserve"> 40/1 (2009): 1–</w:t>
      </w:r>
      <w:r w:rsidRPr="009008CA">
        <w:rPr>
          <w:sz w:val="20"/>
        </w:rPr>
        <w:t>22.</w:t>
      </w:r>
      <w:r>
        <w:rPr>
          <w:sz w:val="20"/>
        </w:rPr>
        <w:t xml:space="preserve"> Josephus describes the Idumeans as an unruly and undisciplined </w:t>
      </w:r>
      <w:r w:rsidRPr="00D42424">
        <w:rPr>
          <w:i/>
          <w:sz w:val="20"/>
        </w:rPr>
        <w:t>ethnos</w:t>
      </w:r>
      <w:r>
        <w:rPr>
          <w:sz w:val="20"/>
        </w:rPr>
        <w:t xml:space="preserve"> (</w:t>
      </w:r>
      <w:r w:rsidRPr="00D42424">
        <w:rPr>
          <w:i/>
          <w:sz w:val="20"/>
        </w:rPr>
        <w:t>War</w:t>
      </w:r>
      <w:r>
        <w:rPr>
          <w:sz w:val="20"/>
        </w:rPr>
        <w:t xml:space="preserve"> 4.231). In </w:t>
      </w:r>
      <w:r w:rsidRPr="00D42424">
        <w:rPr>
          <w:i/>
          <w:sz w:val="20"/>
        </w:rPr>
        <w:t>War</w:t>
      </w:r>
      <w:r>
        <w:rPr>
          <w:sz w:val="20"/>
        </w:rPr>
        <w:t xml:space="preserve"> 4.243, the chief priest addresses the Idumeans as a distinct </w:t>
      </w:r>
      <w:r w:rsidRPr="00D42424">
        <w:rPr>
          <w:i/>
          <w:sz w:val="20"/>
        </w:rPr>
        <w:t>ethnos</w:t>
      </w:r>
      <w:r>
        <w:rPr>
          <w:sz w:val="20"/>
        </w:rPr>
        <w:t xml:space="preserve">, but later on at 4.263 the term </w:t>
      </w:r>
      <w:r w:rsidRPr="00D42424">
        <w:rPr>
          <w:i/>
          <w:sz w:val="20"/>
        </w:rPr>
        <w:t>ethnos</w:t>
      </w:r>
      <w:r>
        <w:rPr>
          <w:sz w:val="20"/>
        </w:rPr>
        <w:t xml:space="preserve"> seems to include both the Judeans and the Idumeans.</w:t>
      </w:r>
    </w:p>
  </w:footnote>
  <w:footnote w:id="22">
    <w:p w14:paraId="01B907A9" w14:textId="77777777" w:rsidR="00FF4D06" w:rsidRDefault="00FF4D06" w:rsidP="009532DE">
      <w:pPr>
        <w:pStyle w:val="Notedebasdepage"/>
      </w:pPr>
      <w:r>
        <w:rPr>
          <w:rStyle w:val="Marquenotebasdepage"/>
        </w:rPr>
        <w:footnoteRef/>
      </w:r>
      <w:r>
        <w:t xml:space="preserve"> </w:t>
      </w:r>
      <w:r>
        <w:rPr>
          <w:szCs w:val="24"/>
        </w:rPr>
        <w:t xml:space="preserve">Cohen, </w:t>
      </w:r>
      <w:r w:rsidRPr="00643AE2">
        <w:rPr>
          <w:i/>
          <w:szCs w:val="24"/>
        </w:rPr>
        <w:t>The Beginnings of Jewishness</w:t>
      </w:r>
      <w:r>
        <w:rPr>
          <w:szCs w:val="24"/>
        </w:rPr>
        <w:t xml:space="preserve">, </w:t>
      </w:r>
      <w:r w:rsidRPr="00975359">
        <w:rPr>
          <w:szCs w:val="24"/>
        </w:rPr>
        <w:t>114</w:t>
      </w:r>
      <w:r>
        <w:rPr>
          <w:szCs w:val="24"/>
        </w:rPr>
        <w:t>.</w:t>
      </w:r>
    </w:p>
  </w:footnote>
  <w:footnote w:id="23">
    <w:p w14:paraId="32677FD0" w14:textId="77777777" w:rsidR="00FF4D06" w:rsidRDefault="00FF4D06">
      <w:pPr>
        <w:pStyle w:val="Notedebasdepage"/>
      </w:pPr>
      <w:r>
        <w:rPr>
          <w:rStyle w:val="Marquenotebasdepage"/>
        </w:rPr>
        <w:footnoteRef/>
      </w:r>
      <w:r>
        <w:t xml:space="preserve"> See Strabo, </w:t>
      </w:r>
      <w:r w:rsidRPr="00347E7F">
        <w:rPr>
          <w:i/>
        </w:rPr>
        <w:t>Geography</w:t>
      </w:r>
      <w:r>
        <w:t xml:space="preserve"> 16.2.2 and 34; Stern, </w:t>
      </w:r>
      <w:r w:rsidRPr="00F26E93">
        <w:rPr>
          <w:i/>
        </w:rPr>
        <w:t>GLAJJ</w:t>
      </w:r>
      <w:r>
        <w:t xml:space="preserve"> 1:</w:t>
      </w:r>
      <w:r w:rsidRPr="00F26E93">
        <w:t>287</w:t>
      </w:r>
      <w:r>
        <w:t>, 294–311. According to Israel Shatzman, the account of Strabo refers to a period that preceded the conquest of Idumea by John Hyrcanus; see Shatzman, “On the C</w:t>
      </w:r>
      <w:r w:rsidRPr="00D22E6F">
        <w:t xml:space="preserve">onversion </w:t>
      </w:r>
      <w:r>
        <w:t>of the Idumeans</w:t>
      </w:r>
      <w:r w:rsidRPr="00D22E6F">
        <w:t>,</w:t>
      </w:r>
      <w:r>
        <w:t>”</w:t>
      </w:r>
      <w:r w:rsidRPr="00D22E6F">
        <w:t xml:space="preserve"> </w:t>
      </w:r>
      <w:r>
        <w:t>in</w:t>
      </w:r>
      <w:r w:rsidRPr="00D22E6F">
        <w:t xml:space="preserve"> </w:t>
      </w:r>
      <w:r w:rsidRPr="00D22E6F">
        <w:rPr>
          <w:i/>
        </w:rPr>
        <w:t>For Uriel. </w:t>
      </w:r>
      <w:r w:rsidRPr="0056605E">
        <w:rPr>
          <w:i/>
        </w:rPr>
        <w:t>Studies in the</w:t>
      </w:r>
      <w:r>
        <w:rPr>
          <w:i/>
        </w:rPr>
        <w:t xml:space="preserve"> History of Israel in Antiquity </w:t>
      </w:r>
      <w:r w:rsidRPr="0056605E">
        <w:rPr>
          <w:i/>
        </w:rPr>
        <w:t>Presented to Professor Uriel Rappaport</w:t>
      </w:r>
      <w:r>
        <w:t>, ed. Menahem</w:t>
      </w:r>
      <w:r w:rsidRPr="0056605E">
        <w:t xml:space="preserve"> Mor </w:t>
      </w:r>
      <w:r w:rsidRPr="0056605E">
        <w:rPr>
          <w:i/>
        </w:rPr>
        <w:t>et al.</w:t>
      </w:r>
      <w:r w:rsidRPr="0056605E">
        <w:t xml:space="preserve"> </w:t>
      </w:r>
      <w:r>
        <w:t>(</w:t>
      </w:r>
      <w:r w:rsidRPr="0056605E">
        <w:t>Jeru</w:t>
      </w:r>
      <w:r>
        <w:t xml:space="preserve">salem: The Zalman Shazar Center </w:t>
      </w:r>
      <w:r w:rsidRPr="0056605E">
        <w:t>for Jewish History, 2005</w:t>
      </w:r>
      <w:r>
        <w:t>),</w:t>
      </w:r>
      <w:r w:rsidRPr="0056605E">
        <w:t> 213</w:t>
      </w:r>
      <w:r>
        <w:t>–41 (Heb.).</w:t>
      </w:r>
    </w:p>
  </w:footnote>
  <w:footnote w:id="24">
    <w:p w14:paraId="479F28DA" w14:textId="77777777" w:rsidR="00FF4D06" w:rsidRDefault="00FF4D06">
      <w:pPr>
        <w:pStyle w:val="Notedebasdepage"/>
      </w:pPr>
      <w:r>
        <w:rPr>
          <w:rStyle w:val="Marquenotebasdepage"/>
        </w:rPr>
        <w:footnoteRef/>
      </w:r>
      <w:r>
        <w:t xml:space="preserve"> On these strategies, see Israel Shatzman, “</w:t>
      </w:r>
      <w:r w:rsidRPr="0056605E">
        <w:t>Jews and Gentiles from Judas Maccabaeus to John Hyrcanus According t</w:t>
      </w:r>
      <w:r>
        <w:t>o Contemporary Jewish Sources</w:t>
      </w:r>
      <w:r w:rsidRPr="0056605E">
        <w:t>,</w:t>
      </w:r>
      <w:r>
        <w:t>”</w:t>
      </w:r>
      <w:r w:rsidRPr="0056605E">
        <w:t xml:space="preserve"> </w:t>
      </w:r>
      <w:r>
        <w:t>in</w:t>
      </w:r>
      <w:r w:rsidRPr="0056605E">
        <w:t xml:space="preserve"> </w:t>
      </w:r>
      <w:r w:rsidRPr="0056605E">
        <w:rPr>
          <w:i/>
        </w:rPr>
        <w:t>Studies in Josephus and the Varieties of Ancient Judaism</w:t>
      </w:r>
      <w:r>
        <w:rPr>
          <w:i/>
          <w:iCs/>
        </w:rPr>
        <w:t xml:space="preserve">: Louis H. Feldman Jubilee </w:t>
      </w:r>
      <w:r w:rsidRPr="0056605E">
        <w:rPr>
          <w:i/>
          <w:iCs/>
        </w:rPr>
        <w:t>Volume</w:t>
      </w:r>
      <w:r>
        <w:t>, ed. Shaye J. D. Cohen and Joshua J. Schwartz</w:t>
      </w:r>
      <w:r w:rsidRPr="0056605E">
        <w:t xml:space="preserve"> </w:t>
      </w:r>
      <w:r>
        <w:t>(</w:t>
      </w:r>
      <w:r w:rsidRPr="0056605E">
        <w:t>L</w:t>
      </w:r>
      <w:r>
        <w:t>eiden: Brill, 2007), 237–270; Karl Trampedach, “The War of the Hasmoneans</w:t>
      </w:r>
      <w:r w:rsidRPr="0056605E">
        <w:t>,</w:t>
      </w:r>
      <w:r>
        <w:t>” in</w:t>
      </w:r>
      <w:r w:rsidRPr="0056605E">
        <w:t xml:space="preserve"> </w:t>
      </w:r>
      <w:r w:rsidRPr="002E5F98">
        <w:rPr>
          <w:i/>
        </w:rPr>
        <w:t>Dying for the Fa</w:t>
      </w:r>
      <w:r>
        <w:rPr>
          <w:i/>
        </w:rPr>
        <w:t xml:space="preserve">ith, Killing for the Faith: Old </w:t>
      </w:r>
      <w:r w:rsidRPr="002E5F98">
        <w:rPr>
          <w:i/>
        </w:rPr>
        <w:t>Testament Faith Warriors (1 and 2 Maccabees) in Historical Perspective</w:t>
      </w:r>
      <w:r w:rsidRPr="0056605E">
        <w:t xml:space="preserve">, </w:t>
      </w:r>
      <w:r>
        <w:t>ed.</w:t>
      </w:r>
      <w:r w:rsidRPr="0056605E">
        <w:t xml:space="preserve"> </w:t>
      </w:r>
      <w:r>
        <w:rPr>
          <w:szCs w:val="24"/>
        </w:rPr>
        <w:t>Gabriella Signori</w:t>
      </w:r>
      <w:r>
        <w:t xml:space="preserve"> (Leiden: Brill, 2012), 61-78; and my forthcoming book, </w:t>
      </w:r>
      <w:r w:rsidRPr="00E500E2">
        <w:rPr>
          <w:i/>
        </w:rPr>
        <w:t>In Search of the P</w:t>
      </w:r>
      <w:r>
        <w:rPr>
          <w:i/>
        </w:rPr>
        <w:t>r</w:t>
      </w:r>
      <w:r w:rsidRPr="00E500E2">
        <w:rPr>
          <w:i/>
        </w:rPr>
        <w:t>omised Land ?</w:t>
      </w:r>
    </w:p>
  </w:footnote>
  <w:footnote w:id="25">
    <w:p w14:paraId="3FEF1F51" w14:textId="77777777" w:rsidR="00FF4D06" w:rsidRDefault="00FF4D06" w:rsidP="00E53215">
      <w:pPr>
        <w:pStyle w:val="Notedebasdepage"/>
      </w:pPr>
      <w:r>
        <w:rPr>
          <w:rStyle w:val="Marquenotebasdepage"/>
        </w:rPr>
        <w:footnoteRef/>
      </w:r>
      <w:r>
        <w:t xml:space="preserve"> See Smith, « Rome and Maccabean Conversions ».</w:t>
      </w:r>
    </w:p>
  </w:footnote>
  <w:footnote w:id="26">
    <w:p w14:paraId="53914463" w14:textId="77777777" w:rsidR="00FF4D06" w:rsidRDefault="00FF4D06">
      <w:pPr>
        <w:pStyle w:val="Notedebasdepage"/>
      </w:pPr>
      <w:r>
        <w:rPr>
          <w:rStyle w:val="Marquenotebasdepage"/>
        </w:rPr>
        <w:footnoteRef/>
      </w:r>
      <w:r>
        <w:t xml:space="preserve"> Thus Shaye Cohen reports: “Smith himself came to recognize that the Roman policy is probably an analogy to, rather than a source for, the Hasmonean practice” (</w:t>
      </w:r>
      <w:r w:rsidRPr="003C52F0">
        <w:rPr>
          <w:i/>
        </w:rPr>
        <w:t>The Beginnings of Jewishness</w:t>
      </w:r>
      <w:r>
        <w:t>, 127, note 49).</w:t>
      </w:r>
    </w:p>
  </w:footnote>
  <w:footnote w:id="27">
    <w:p w14:paraId="06F95B44" w14:textId="77777777" w:rsidR="00FF4D06" w:rsidRDefault="00FF4D06">
      <w:pPr>
        <w:pStyle w:val="Notedebasdepage"/>
      </w:pPr>
      <w:r>
        <w:rPr>
          <w:rStyle w:val="Marquenotebasdepage"/>
        </w:rPr>
        <w:footnoteRef/>
      </w:r>
      <w:r>
        <w:t xml:space="preserve"> In Morton Smith, </w:t>
      </w:r>
      <w:r w:rsidRPr="003C31F0">
        <w:rPr>
          <w:i/>
        </w:rPr>
        <w:t>Studies in Historical Method, Ancient Israel, Ancient Judaism</w:t>
      </w:r>
      <w:r>
        <w:t>, edited by</w:t>
      </w:r>
      <w:r w:rsidRPr="00DB1AC0">
        <w:t xml:space="preserve"> </w:t>
      </w:r>
      <w:r>
        <w:t xml:space="preserve">Shaye J.D. Cohen; </w:t>
      </w:r>
      <w:r w:rsidRPr="00DB1AC0">
        <w:t>Reli</w:t>
      </w:r>
      <w:r>
        <w:t>gions in the Graeco-Roman World</w:t>
      </w:r>
      <w:r w:rsidRPr="00DB1AC0">
        <w:t xml:space="preserve"> 130/1 </w:t>
      </w:r>
      <w:r>
        <w:t>(</w:t>
      </w:r>
      <w:r w:rsidRPr="00DB1AC0">
        <w:t>Leiden: Brill, 1996</w:t>
      </w:r>
      <w:r>
        <w:t>), 263–</w:t>
      </w:r>
      <w:r w:rsidRPr="003C31F0">
        <w:t>319</w:t>
      </w:r>
      <w:r>
        <w:t xml:space="preserve">. See also “The Gentiles in Judaism, 125 BCE – </w:t>
      </w:r>
      <w:r w:rsidRPr="00444803">
        <w:t>CE 66</w:t>
      </w:r>
      <w:r>
        <w:t xml:space="preserve">,” in </w:t>
      </w:r>
      <w:r w:rsidRPr="00444803">
        <w:rPr>
          <w:i/>
        </w:rPr>
        <w:t>The Cambridge History of Judaism. III. The Early Roman Period</w:t>
      </w:r>
      <w:r>
        <w:t>, ed. W. Horbury, W. D. Davies and J. Sturdy (Cambridge: Cambridge Univ. Press, 1999), 192–249.</w:t>
      </w:r>
    </w:p>
  </w:footnote>
  <w:footnote w:id="28">
    <w:p w14:paraId="272EF641" w14:textId="77777777" w:rsidR="00FF4D06" w:rsidRDefault="00FF4D06">
      <w:pPr>
        <w:pStyle w:val="Notedebasdepage"/>
      </w:pPr>
      <w:r>
        <w:rPr>
          <w:rStyle w:val="Marquenotebasdepage"/>
        </w:rPr>
        <w:footnoteRef/>
      </w:r>
      <w:r>
        <w:t xml:space="preserve"> There is one exception at p. 211, but in a different direction.</w:t>
      </w:r>
    </w:p>
  </w:footnote>
  <w:footnote w:id="29">
    <w:p w14:paraId="4FA9D814" w14:textId="77777777" w:rsidR="00FF4D06" w:rsidRDefault="00FF4D06">
      <w:pPr>
        <w:pStyle w:val="Notedebasdepage"/>
      </w:pPr>
      <w:r>
        <w:rPr>
          <w:rStyle w:val="Marquenotebasdepage"/>
        </w:rPr>
        <w:footnoteRef/>
      </w:r>
      <w:r>
        <w:t xml:space="preserve"> Smith, “The Gentiles in Judaism, 125 BCE – </w:t>
      </w:r>
      <w:r w:rsidRPr="00444803">
        <w:t>CE 66</w:t>
      </w:r>
      <w:r>
        <w:t xml:space="preserve">,” at 205 and 208. See also Cohen, </w:t>
      </w:r>
      <w:r w:rsidRPr="003C52F0">
        <w:rPr>
          <w:i/>
        </w:rPr>
        <w:t>The Beginnings of Jewishness</w:t>
      </w:r>
      <w:r>
        <w:t>, 127.</w:t>
      </w:r>
    </w:p>
  </w:footnote>
  <w:footnote w:id="30">
    <w:p w14:paraId="41D36782" w14:textId="77777777" w:rsidR="00FF4D06" w:rsidRPr="008661C7" w:rsidRDefault="00FF4D06" w:rsidP="00AD145E">
      <w:pPr>
        <w:pStyle w:val="Notedebasdepage"/>
      </w:pPr>
      <w:r>
        <w:rPr>
          <w:rStyle w:val="Marquenotebasdepage"/>
        </w:rPr>
        <w:footnoteRef/>
      </w:r>
      <w:r>
        <w:t xml:space="preserve"> </w:t>
      </w:r>
      <w:r w:rsidRPr="0012771E">
        <w:rPr>
          <w:i/>
        </w:rPr>
        <w:t>Ibid.</w:t>
      </w:r>
      <w:r>
        <w:t xml:space="preserve">, p. 210 et 215-216. The meaning of the reference to the </w:t>
      </w:r>
      <w:r w:rsidRPr="0027673B">
        <w:rPr>
          <w:rFonts w:ascii="Times" w:hAnsi="Times" w:cs="TimesNewRomanPSMT"/>
          <w:i/>
          <w:color w:val="000000"/>
          <w:lang w:bidi="fr-FR"/>
        </w:rPr>
        <w:t>ḥ</w:t>
      </w:r>
      <w:r w:rsidRPr="008661C7">
        <w:rPr>
          <w:i/>
        </w:rPr>
        <w:t>ever ha-Yehudim</w:t>
      </w:r>
      <w:r>
        <w:t xml:space="preserve"> found on Hasmonean coinage is debated. For some it refers to the Jewish people of Judea as a whole, whereas for others it refers to a council, a kind of </w:t>
      </w:r>
      <w:r w:rsidRPr="0044314B">
        <w:rPr>
          <w:i/>
        </w:rPr>
        <w:t>boulē</w:t>
      </w:r>
      <w:r>
        <w:t xml:space="preserve">. See in particular Christian-George Schwentzel, </w:t>
      </w:r>
      <w:r w:rsidRPr="00B04F68">
        <w:rPr>
          <w:i/>
        </w:rPr>
        <w:t>Juifs et Nabatéens</w:t>
      </w:r>
      <w:r>
        <w:t xml:space="preserve">, 88–91; Eyal Regev, </w:t>
      </w:r>
      <w:r w:rsidRPr="00EE5F79">
        <w:rPr>
          <w:i/>
        </w:rPr>
        <w:t>The Hasmoneans: Ideology, Archaeology, Identity</w:t>
      </w:r>
      <w:r w:rsidRPr="00EE5F79">
        <w:t xml:space="preserve"> </w:t>
      </w:r>
      <w:r>
        <w:t>(Göttingen:</w:t>
      </w:r>
      <w:r w:rsidRPr="00EE5F79">
        <w:t xml:space="preserve"> Vandenhoeck &amp; Ruprecht, 2013</w:t>
      </w:r>
      <w:r>
        <w:t>), 186–99.</w:t>
      </w:r>
    </w:p>
  </w:footnote>
  <w:footnote w:id="31">
    <w:p w14:paraId="6636C3CF" w14:textId="77777777" w:rsidR="00FF4D06" w:rsidRDefault="00FF4D06">
      <w:pPr>
        <w:pStyle w:val="Notedebasdepage"/>
      </w:pPr>
      <w:r>
        <w:rPr>
          <w:rStyle w:val="Marquenotebasdepage"/>
        </w:rPr>
        <w:footnoteRef/>
      </w:r>
      <w:r>
        <w:t xml:space="preserve"> Smith, “The Gentiles in Judaism,” 210, note 75.</w:t>
      </w:r>
    </w:p>
  </w:footnote>
  <w:footnote w:id="32">
    <w:p w14:paraId="5E02D761" w14:textId="77777777" w:rsidR="00FF4D06" w:rsidRDefault="00FF4D06">
      <w:pPr>
        <w:pStyle w:val="Notedebasdepage"/>
      </w:pPr>
      <w:r>
        <w:rPr>
          <w:rStyle w:val="Marquenotebasdepage"/>
        </w:rPr>
        <w:footnoteRef/>
      </w:r>
      <w:r>
        <w:t xml:space="preserve"> Goodman, </w:t>
      </w:r>
      <w:r>
        <w:rPr>
          <w:i/>
        </w:rPr>
        <w:t>Mission and Conversion</w:t>
      </w:r>
      <w:r w:rsidRPr="00467249">
        <w:rPr>
          <w:i/>
        </w:rPr>
        <w:t xml:space="preserve">: </w:t>
      </w:r>
      <w:r w:rsidRPr="00467249">
        <w:rPr>
          <w:rFonts w:eastAsia="Times New Roman"/>
          <w:i/>
        </w:rPr>
        <w:t>Proselytizing in the Religious History of the Roman Empire</w:t>
      </w:r>
      <w:r>
        <w:rPr>
          <w:rFonts w:eastAsia="Times New Roman"/>
        </w:rPr>
        <w:t xml:space="preserve"> (London: Oxford University Press – Clarendon Press, 1995)</w:t>
      </w:r>
      <w:r>
        <w:t>, 76.</w:t>
      </w:r>
    </w:p>
  </w:footnote>
  <w:footnote w:id="33">
    <w:p w14:paraId="2E0D95C2" w14:textId="77777777" w:rsidR="00FF4D06" w:rsidRDefault="00FF4D06">
      <w:pPr>
        <w:pStyle w:val="Notedebasdepage"/>
      </w:pPr>
      <w:r>
        <w:rPr>
          <w:rStyle w:val="Marquenotebasdepage"/>
        </w:rPr>
        <w:footnoteRef/>
      </w:r>
      <w:r>
        <w:t xml:space="preserve"> Schwartz, </w:t>
      </w:r>
      <w:r w:rsidRPr="00016DE2">
        <w:rPr>
          <w:i/>
          <w:lang w:val="en-US" w:bidi="fr-FR"/>
        </w:rPr>
        <w:t>Imperialism and Jewish Society</w:t>
      </w:r>
      <w:r w:rsidRPr="00016DE2">
        <w:t>,</w:t>
      </w:r>
      <w:r>
        <w:t xml:space="preserve"> 40.</w:t>
      </w:r>
    </w:p>
  </w:footnote>
  <w:footnote w:id="34">
    <w:p w14:paraId="5A36EE12" w14:textId="77777777" w:rsidR="00FF4D06" w:rsidRPr="00BB0262" w:rsidRDefault="00FF4D06">
      <w:pPr>
        <w:pStyle w:val="Notedebasdepage"/>
      </w:pPr>
      <w:r>
        <w:rPr>
          <w:rStyle w:val="Marquenotebasdepage"/>
        </w:rPr>
        <w:footnoteRef/>
      </w:r>
      <w:r>
        <w:t xml:space="preserve"> Schwartz, </w:t>
      </w:r>
      <w:r w:rsidRPr="00BB0262">
        <w:rPr>
          <w:i/>
        </w:rPr>
        <w:t>ibid.</w:t>
      </w:r>
      <w:r w:rsidRPr="00BB0262">
        <w:rPr>
          <w:lang w:val="en-US"/>
        </w:rPr>
        <w:t>, note 55.</w:t>
      </w:r>
    </w:p>
  </w:footnote>
  <w:footnote w:id="35">
    <w:p w14:paraId="08580408" w14:textId="77777777" w:rsidR="00FF4D06" w:rsidRDefault="00FF4D06">
      <w:pPr>
        <w:pStyle w:val="Notedebasdepage"/>
      </w:pPr>
      <w:r>
        <w:rPr>
          <w:rStyle w:val="Marquenotebasdepage"/>
        </w:rPr>
        <w:footnoteRef/>
      </w:r>
      <w:r>
        <w:t xml:space="preserve"> Avidov</w:t>
      </w:r>
      <w:r w:rsidRPr="00016DE2">
        <w:t xml:space="preserve">, </w:t>
      </w:r>
      <w:r w:rsidRPr="00016DE2">
        <w:rPr>
          <w:i/>
          <w:iCs/>
          <w:lang w:bidi="fr-FR"/>
        </w:rPr>
        <w:t>Not Reckoned among Nations. The Origins of the So-called “Jewish Question” in Roman Antiquity</w:t>
      </w:r>
      <w:r w:rsidRPr="00016DE2">
        <w:t xml:space="preserve"> (T</w:t>
      </w:r>
      <w:r>
        <w:t>übingen: Mohr Siebeck, 2009), 110–</w:t>
      </w:r>
      <w:r w:rsidRPr="00016DE2">
        <w:t>11</w:t>
      </w:r>
      <w:r>
        <w:t>.</w:t>
      </w:r>
    </w:p>
  </w:footnote>
  <w:footnote w:id="36">
    <w:p w14:paraId="339F5211" w14:textId="77777777" w:rsidR="00FF4D06" w:rsidRDefault="00FF4D06" w:rsidP="00C818EB">
      <w:pPr>
        <w:pStyle w:val="Notedebasdepage"/>
      </w:pPr>
      <w:r>
        <w:rPr>
          <w:rStyle w:val="Marquenotebasdepage"/>
        </w:rPr>
        <w:footnoteRef/>
      </w:r>
      <w:r>
        <w:t xml:space="preserve"> See Michel </w:t>
      </w:r>
      <w:r w:rsidRPr="00D6735F">
        <w:t>Humbert</w:t>
      </w:r>
      <w:r>
        <w:t xml:space="preserve">, </w:t>
      </w:r>
      <w:r>
        <w:rPr>
          <w:i/>
        </w:rPr>
        <w:t>“Municipium” et “civitas sine suffragio”</w:t>
      </w:r>
      <w:r w:rsidRPr="00F74755">
        <w:rPr>
          <w:i/>
        </w:rPr>
        <w:t xml:space="preserve"> : l’organisation de la conquête jusqu’à la guerre sociale</w:t>
      </w:r>
      <w:r w:rsidRPr="00F74755">
        <w:t xml:space="preserve"> </w:t>
      </w:r>
      <w:r>
        <w:t xml:space="preserve">(Rome: École Française de Rome, 1978); </w:t>
      </w:r>
      <w:r w:rsidRPr="00274ECA">
        <w:rPr>
          <w:i/>
        </w:rPr>
        <w:t>id</w:t>
      </w:r>
      <w:r>
        <w:rPr>
          <w:i/>
        </w:rPr>
        <w:t>em</w:t>
      </w:r>
      <w:r>
        <w:t>, “</w:t>
      </w:r>
      <w:r w:rsidRPr="006F26A8">
        <w:t xml:space="preserve">Le </w:t>
      </w:r>
      <w:r w:rsidRPr="006F26A8">
        <w:rPr>
          <w:i/>
        </w:rPr>
        <w:t>status civitatis</w:t>
      </w:r>
      <w:r w:rsidRPr="006F26A8">
        <w:t xml:space="preserve">. Identité et </w:t>
      </w:r>
      <w:r>
        <w:t xml:space="preserve">identification du </w:t>
      </w:r>
      <w:r w:rsidRPr="006F26A8">
        <w:rPr>
          <w:i/>
        </w:rPr>
        <w:t>civis Romanus</w:t>
      </w:r>
      <w:r w:rsidRPr="006F26A8">
        <w:t>,</w:t>
      </w:r>
      <w:r>
        <w:t xml:space="preserve">” in </w:t>
      </w:r>
      <w:r w:rsidRPr="006F26A8">
        <w:rPr>
          <w:i/>
        </w:rPr>
        <w:t>Homo, caput, persona: La costruzio</w:t>
      </w:r>
      <w:r>
        <w:rPr>
          <w:i/>
        </w:rPr>
        <w:t>ne giuridica dell’identità nell’</w:t>
      </w:r>
      <w:r w:rsidRPr="006F26A8">
        <w:rPr>
          <w:i/>
        </w:rPr>
        <w:t>esperienza romana</w:t>
      </w:r>
      <w:r>
        <w:t>, ed. Alessandro Corbino, Michel</w:t>
      </w:r>
      <w:r w:rsidRPr="006F26A8">
        <w:t xml:space="preserve"> Hu</w:t>
      </w:r>
      <w:r>
        <w:t>mbert and Giovanni Negri</w:t>
      </w:r>
      <w:r w:rsidRPr="006F26A8">
        <w:t xml:space="preserve"> </w:t>
      </w:r>
      <w:r>
        <w:t>(Pavia:</w:t>
      </w:r>
      <w:r w:rsidRPr="006F26A8">
        <w:t xml:space="preserve"> </w:t>
      </w:r>
      <w:r>
        <w:t>IUSS Press, 2010), 139–73, esp.</w:t>
      </w:r>
      <w:r w:rsidRPr="00D6735F">
        <w:t xml:space="preserve"> </w:t>
      </w:r>
      <w:r>
        <w:t>140–41. See also Myles Lavan’s article in this volume, in which he writes: “</w:t>
      </w:r>
      <w:r w:rsidRPr="005336FB">
        <w:t>In the earliest phases of Roman expansion, naturalisation was employed as a means of organising and controlling conquered populations. It was a status imposed on rebellious, not loyal, aliens – a striking inversion of later practice</w:t>
      </w:r>
      <w:r>
        <w:t>.”</w:t>
      </w:r>
    </w:p>
  </w:footnote>
  <w:footnote w:id="37">
    <w:p w14:paraId="021C21A2" w14:textId="77777777" w:rsidR="00FF4D06" w:rsidRDefault="00FF4D06" w:rsidP="00567157">
      <w:pPr>
        <w:pStyle w:val="Notedebasdepage"/>
      </w:pPr>
      <w:r>
        <w:rPr>
          <w:rStyle w:val="Marquenotebasdepage"/>
        </w:rPr>
        <w:footnoteRef/>
      </w:r>
      <w:r>
        <w:t xml:space="preserve"> See</w:t>
      </w:r>
      <w:r w:rsidRPr="00785E86">
        <w:t xml:space="preserve"> </w:t>
      </w:r>
      <w:r>
        <w:t xml:space="preserve">Edmond </w:t>
      </w:r>
      <w:r w:rsidRPr="00785E86">
        <w:t>Frézouls</w:t>
      </w:r>
      <w:r>
        <w:t>, “</w:t>
      </w:r>
      <w:r w:rsidRPr="00B11815">
        <w:t>Rome et les Latins dans les premières décennies du IIe siècle av.</w:t>
      </w:r>
      <w:r>
        <w:t xml:space="preserve"> J.-C.,” </w:t>
      </w:r>
      <w:r w:rsidRPr="00501B83">
        <w:rPr>
          <w:i/>
        </w:rPr>
        <w:t>Ktèma</w:t>
      </w:r>
      <w:r>
        <w:t xml:space="preserve"> 6 (1981): 115–32, who emphasizes that the Roman policy in the second century BCE completely went against the conventional (and later) image of Rome as granting citizenship “generously”.</w:t>
      </w:r>
    </w:p>
  </w:footnote>
  <w:footnote w:id="38">
    <w:p w14:paraId="0C42F3F6" w14:textId="77777777" w:rsidR="00FF4D06" w:rsidRPr="00113D69" w:rsidRDefault="00FF4D06" w:rsidP="00A0621E">
      <w:pPr>
        <w:pStyle w:val="Notedebasdepage"/>
      </w:pPr>
      <w:r w:rsidRPr="00113D69">
        <w:rPr>
          <w:rStyle w:val="Marquenotebasdepage"/>
        </w:rPr>
        <w:footnoteRef/>
      </w:r>
      <w:r w:rsidRPr="00113D69">
        <w:t xml:space="preserve"> On Roman “generosity” in attributing c</w:t>
      </w:r>
      <w:r>
        <w:t>itizenship, see Philippe Gauthier, “ ‘Générosité’ romaine et ‘avarice’ grecque : sur l’octroi du droit de cité</w:t>
      </w:r>
      <w:r w:rsidRPr="00113D69">
        <w:t>,</w:t>
      </w:r>
      <w:r>
        <w:t>”</w:t>
      </w:r>
      <w:r w:rsidRPr="00113D69">
        <w:t xml:space="preserve"> </w:t>
      </w:r>
      <w:r>
        <w:t>already referred to in the introduction to this volume</w:t>
      </w:r>
      <w:r w:rsidRPr="00113D69">
        <w:t>.</w:t>
      </w:r>
    </w:p>
  </w:footnote>
  <w:footnote w:id="39">
    <w:p w14:paraId="7F95C902" w14:textId="77777777" w:rsidR="00FF4D06" w:rsidRDefault="00FF4D06" w:rsidP="000B725F">
      <w:pPr>
        <w:pStyle w:val="Notedebasdepage"/>
      </w:pPr>
      <w:r>
        <w:rPr>
          <w:rStyle w:val="Marquenotebasdepage"/>
        </w:rPr>
        <w:footnoteRef/>
      </w:r>
      <w:r>
        <w:t xml:space="preserve"> </w:t>
      </w:r>
      <w:r w:rsidRPr="007B1484">
        <w:rPr>
          <w:i/>
        </w:rPr>
        <w:t>Annals</w:t>
      </w:r>
      <w:r w:rsidRPr="007B1484">
        <w:t xml:space="preserve"> 11.24,</w:t>
      </w:r>
      <w:r>
        <w:rPr>
          <w:sz w:val="24"/>
          <w:szCs w:val="24"/>
        </w:rPr>
        <w:t xml:space="preserve"> t</w:t>
      </w:r>
      <w:r>
        <w:t xml:space="preserve">rans. by J. C. Yardley, </w:t>
      </w:r>
      <w:r w:rsidRPr="000B725F">
        <w:rPr>
          <w:i/>
        </w:rPr>
        <w:t>Tacitus. The Annals: The Reigns of Tiberius, Claudius, and Nero</w:t>
      </w:r>
      <w:r>
        <w:t xml:space="preserve"> (Oxford : Oxford University Press, 2008), 227.</w:t>
      </w:r>
    </w:p>
  </w:footnote>
  <w:footnote w:id="40">
    <w:p w14:paraId="304D3BBE" w14:textId="77777777" w:rsidR="00FF4D06" w:rsidRDefault="00FF4D06" w:rsidP="00D66B5B">
      <w:pPr>
        <w:pStyle w:val="Notedebasdepage"/>
      </w:pPr>
      <w:r>
        <w:rPr>
          <w:rStyle w:val="Marquenotebasdepage"/>
        </w:rPr>
        <w:footnoteRef/>
      </w:r>
      <w:r>
        <w:t xml:space="preserve"> On the chronology of Hyrcanus’s conquests, see the recent article by Israel Shatzman, “</w:t>
      </w:r>
      <w:r w:rsidRPr="009D56AE">
        <w:t>The Expansionist Policy of John Hyrcanus</w:t>
      </w:r>
      <w:r>
        <w:t xml:space="preserve"> and his Relations with Rome,” in </w:t>
      </w:r>
      <w:r w:rsidRPr="00BD6C96">
        <w:rPr>
          <w:i/>
        </w:rPr>
        <w:t>Iudaea socia – Iud</w:t>
      </w:r>
      <w:r>
        <w:rPr>
          <w:i/>
        </w:rPr>
        <w:t>a</w:t>
      </w:r>
      <w:r w:rsidRPr="00BD6C96">
        <w:rPr>
          <w:i/>
        </w:rPr>
        <w:t>ea capta</w:t>
      </w:r>
      <w:r>
        <w:rPr>
          <w:i/>
        </w:rPr>
        <w:t>. Atti del convegno internazionale Cividale del Friuli, 22-24 settembre 2011</w:t>
      </w:r>
      <w:r>
        <w:t>, ed. G. Urso (Pisa: Edizioni ETS, 2012), 29–77.</w:t>
      </w:r>
    </w:p>
  </w:footnote>
  <w:footnote w:id="41">
    <w:p w14:paraId="1DF9B37B" w14:textId="77777777" w:rsidR="00FF4D06" w:rsidRDefault="00FF4D06">
      <w:pPr>
        <w:pStyle w:val="Notedebasdepage"/>
      </w:pPr>
      <w:r>
        <w:rPr>
          <w:rStyle w:val="Marquenotebasdepage"/>
        </w:rPr>
        <w:footnoteRef/>
      </w:r>
      <w:r>
        <w:t xml:space="preserve"> See Chris Seeman, </w:t>
      </w:r>
      <w:r w:rsidRPr="006F5C32">
        <w:rPr>
          <w:i/>
        </w:rPr>
        <w:t>Rome and Judea in Transition: Hasmonean Relations w</w:t>
      </w:r>
      <w:r>
        <w:rPr>
          <w:i/>
        </w:rPr>
        <w:t xml:space="preserve">ith the Roman Republic and the </w:t>
      </w:r>
      <w:r w:rsidRPr="006F5C32">
        <w:rPr>
          <w:i/>
        </w:rPr>
        <w:t>Evolution of the High Priesthood</w:t>
      </w:r>
      <w:r>
        <w:t xml:space="preserve">, </w:t>
      </w:r>
      <w:r w:rsidRPr="00EE5F79">
        <w:t>American Un</w:t>
      </w:r>
      <w:r>
        <w:t>iversity Studies</w:t>
      </w:r>
      <w:r w:rsidRPr="00EE5F79">
        <w:t xml:space="preserve"> </w:t>
      </w:r>
      <w:r>
        <w:t xml:space="preserve">Series VII, </w:t>
      </w:r>
      <w:r w:rsidRPr="00BD34E4">
        <w:t>Theology and Religion 325</w:t>
      </w:r>
      <w:r>
        <w:t xml:space="preserve"> (New York: P. Lang</w:t>
      </w:r>
      <w:r w:rsidRPr="00BD34E4">
        <w:t>, 2013</w:t>
      </w:r>
      <w:r>
        <w:t>), 203–43. For a different perspective, see Shatzman, “</w:t>
      </w:r>
      <w:r w:rsidRPr="009D56AE">
        <w:t>The Expansionist Policy of John Hyrcanus</w:t>
      </w:r>
      <w:r>
        <w:t>”; Samuel Rocca, “The Hasmonean State and Rome: A New A</w:t>
      </w:r>
      <w:r w:rsidRPr="00BC6313">
        <w:t>ppraisal</w:t>
      </w:r>
      <w:r>
        <w:t xml:space="preserve">,” </w:t>
      </w:r>
      <w:r>
        <w:rPr>
          <w:i/>
        </w:rPr>
        <w:t>REJ</w:t>
      </w:r>
      <w:r>
        <w:t xml:space="preserve"> 173/3-4 (2014): 263–95.</w:t>
      </w:r>
    </w:p>
  </w:footnote>
  <w:footnote w:id="42">
    <w:p w14:paraId="0F6725CA" w14:textId="77777777" w:rsidR="00FF4D06" w:rsidRDefault="00FF4D06">
      <w:pPr>
        <w:pStyle w:val="Notedebasdepage"/>
      </w:pPr>
      <w:r>
        <w:rPr>
          <w:rStyle w:val="Marquenotebasdepage"/>
        </w:rPr>
        <w:footnoteRef/>
      </w:r>
      <w:r>
        <w:t xml:space="preserve"> See for example </w:t>
      </w:r>
      <w:r w:rsidRPr="00482E51">
        <w:t>2 Maccabees</w:t>
      </w:r>
      <w:r>
        <w:t xml:space="preserve"> 5:6, 23; 9:19; 15:30; </w:t>
      </w:r>
      <w:r w:rsidRPr="00B96E0C">
        <w:rPr>
          <w:i/>
        </w:rPr>
        <w:t>Letter of Aristeas</w:t>
      </w:r>
      <w:r>
        <w:t xml:space="preserve"> 3, 126. In </w:t>
      </w:r>
      <w:r w:rsidRPr="00482E51">
        <w:t>2 Maccabees</w:t>
      </w:r>
      <w:r>
        <w:t xml:space="preserve">, the </w:t>
      </w:r>
      <w:r w:rsidRPr="00A40904">
        <w:rPr>
          <w:i/>
        </w:rPr>
        <w:t>politai</w:t>
      </w:r>
      <w:r>
        <w:t xml:space="preserve"> are not the citizens of Jerusalem, but the members of the </w:t>
      </w:r>
      <w:r w:rsidRPr="00A40904">
        <w:rPr>
          <w:i/>
        </w:rPr>
        <w:t>ethnos</w:t>
      </w:r>
      <w:r>
        <w:t xml:space="preserve"> as a whole.</w:t>
      </w:r>
    </w:p>
  </w:footnote>
  <w:footnote w:id="43">
    <w:p w14:paraId="03218164" w14:textId="77777777" w:rsidR="00FF4D06" w:rsidRDefault="00FF4D06">
      <w:pPr>
        <w:pStyle w:val="Notedebasdepage"/>
      </w:pPr>
      <w:r>
        <w:rPr>
          <w:rStyle w:val="Marquenotebasdepage"/>
        </w:rPr>
        <w:footnoteRef/>
      </w:r>
      <w:r>
        <w:t xml:space="preserve"> See Caroline Carlier, </w:t>
      </w:r>
      <w:r>
        <w:rPr>
          <w:i/>
        </w:rPr>
        <w:t>La cité de Moïse: le peuple juif chez Philon d’</w:t>
      </w:r>
      <w:r w:rsidRPr="00831367">
        <w:rPr>
          <w:i/>
        </w:rPr>
        <w:t>Alexandrie</w:t>
      </w:r>
      <w:r>
        <w:t xml:space="preserve"> (Turnhout: Brepols, 2008), 77-126. In the </w:t>
      </w:r>
      <w:r w:rsidRPr="00A43F30">
        <w:rPr>
          <w:i/>
        </w:rPr>
        <w:t>Letter of Aristeas</w:t>
      </w:r>
      <w:r>
        <w:t xml:space="preserve">, for instance, the Egyptian Jews are the fellow citizens of the high priest in Jerusalem (see </w:t>
      </w:r>
      <w:r w:rsidRPr="00B96E0C">
        <w:rPr>
          <w:i/>
        </w:rPr>
        <w:t>Letter of Aristeas</w:t>
      </w:r>
      <w:r>
        <w:t xml:space="preserve"> 36, 44).</w:t>
      </w:r>
    </w:p>
  </w:footnote>
  <w:footnote w:id="44">
    <w:p w14:paraId="376D85FC" w14:textId="77777777" w:rsidR="00FF4D06" w:rsidRPr="005E77FB" w:rsidRDefault="00FF4D06">
      <w:pPr>
        <w:pStyle w:val="Notedebasdepage"/>
      </w:pPr>
      <w:r>
        <w:rPr>
          <w:rStyle w:val="Marquenotebasdepage"/>
        </w:rPr>
        <w:footnoteRef/>
      </w:r>
      <w:r>
        <w:t xml:space="preserve"> See for example </w:t>
      </w:r>
      <w:r w:rsidRPr="00482E51">
        <w:t>2 Maccabees</w:t>
      </w:r>
      <w:r>
        <w:t xml:space="preserve"> 4:11; 8:17; </w:t>
      </w:r>
      <w:r w:rsidRPr="00482E51">
        <w:t>4 Maccabees</w:t>
      </w:r>
      <w:r>
        <w:t xml:space="preserve"> 17:9.</w:t>
      </w:r>
    </w:p>
  </w:footnote>
  <w:footnote w:id="45">
    <w:p w14:paraId="7FB9F846" w14:textId="77777777" w:rsidR="00FF4D06" w:rsidRPr="00BA36C9" w:rsidRDefault="00FF4D06">
      <w:pPr>
        <w:pStyle w:val="Notedebasdepage"/>
      </w:pPr>
      <w:r>
        <w:rPr>
          <w:rStyle w:val="Marquenotebasdepage"/>
        </w:rPr>
        <w:footnoteRef/>
      </w:r>
      <w:r>
        <w:t xml:space="preserve"> See Carlier, </w:t>
      </w:r>
      <w:r>
        <w:rPr>
          <w:i/>
        </w:rPr>
        <w:t>La cité de Moïse</w:t>
      </w:r>
      <w:r>
        <w:t>, 97-98.</w:t>
      </w:r>
    </w:p>
  </w:footnote>
  <w:footnote w:id="46">
    <w:p w14:paraId="1C76A392" w14:textId="77777777" w:rsidR="00FF4D06" w:rsidRDefault="00FF4D06">
      <w:pPr>
        <w:pStyle w:val="Notedebasdepage"/>
      </w:pPr>
      <w:r>
        <w:rPr>
          <w:rStyle w:val="Marquenotebasdepage"/>
        </w:rPr>
        <w:footnoteRef/>
      </w:r>
      <w:r>
        <w:t xml:space="preserve"> See </w:t>
      </w:r>
      <w:r w:rsidRPr="00714D86">
        <w:rPr>
          <w:i/>
        </w:rPr>
        <w:t>Ant.</w:t>
      </w:r>
      <w:r>
        <w:t xml:space="preserve"> 14.228, 232, 234, etc.</w:t>
      </w:r>
    </w:p>
  </w:footnote>
  <w:footnote w:id="47">
    <w:p w14:paraId="0E6DE18C" w14:textId="77777777" w:rsidR="00FF4D06" w:rsidRDefault="00FF4D06" w:rsidP="0047474F">
      <w:pPr>
        <w:pStyle w:val="Notedebasdepage"/>
      </w:pPr>
      <w:r>
        <w:rPr>
          <w:rStyle w:val="Marquenotebasdepage"/>
        </w:rPr>
        <w:footnoteRef/>
      </w:r>
      <w:r>
        <w:t xml:space="preserve"> See </w:t>
      </w:r>
      <w:r w:rsidRPr="007F0F56">
        <w:rPr>
          <w:i/>
        </w:rPr>
        <w:t>Letter of Aristeas</w:t>
      </w:r>
      <w:r>
        <w:t xml:space="preserve"> 310 for a reference to a Jewish </w:t>
      </w:r>
      <w:r w:rsidRPr="007F0F56">
        <w:rPr>
          <w:i/>
        </w:rPr>
        <w:t>politeuma</w:t>
      </w:r>
      <w:r>
        <w:t xml:space="preserve"> in Alexandria; </w:t>
      </w:r>
      <w:r w:rsidRPr="007F0F56">
        <w:t>P. Polit. Jud.</w:t>
      </w:r>
      <w:r>
        <w:t xml:space="preserve"> for references to a Jewish </w:t>
      </w:r>
      <w:r w:rsidRPr="007F0F56">
        <w:rPr>
          <w:i/>
        </w:rPr>
        <w:t>politeuma</w:t>
      </w:r>
      <w:r>
        <w:t xml:space="preserve"> in Herakleopolis (James </w:t>
      </w:r>
      <w:r w:rsidRPr="001D77CE">
        <w:t>M.</w:t>
      </w:r>
      <w:r>
        <w:t> S. Cowey and Klaus</w:t>
      </w:r>
      <w:r w:rsidRPr="001D77CE">
        <w:t xml:space="preserve"> Maresch</w:t>
      </w:r>
      <w:r>
        <w:t xml:space="preserve"> [eds.], </w:t>
      </w:r>
      <w:r w:rsidRPr="001D77CE">
        <w:rPr>
          <w:i/>
        </w:rPr>
        <w:t>Urkunden des Politeuma der Juden von Herakleopolis (144/3–133/2 v. Chr.) (P. Polit. Iud.)</w:t>
      </w:r>
      <w:r>
        <w:t xml:space="preserve">, Papyrologica Coloniensia, Sonderreihe XXIX [Wiesbaden: Westdeutscher Verlag, 2001]). For the epigraphical evidence from Cyrene, see Gert Lüderitz and Joyce M. Reynolds, </w:t>
      </w:r>
      <w:r w:rsidRPr="0047474F">
        <w:rPr>
          <w:i/>
        </w:rPr>
        <w:t>Corpus jüdischer Zeugnisse aus der Cyrenaika</w:t>
      </w:r>
      <w:r>
        <w:t xml:space="preserve"> (Wiesbaden: Ludwig Reichert, 1983). See also the article of Peter Oakes in the present volume.</w:t>
      </w:r>
    </w:p>
  </w:footnote>
  <w:footnote w:id="48">
    <w:p w14:paraId="2872729B" w14:textId="77777777" w:rsidR="00FF4D06" w:rsidRPr="006C767E" w:rsidRDefault="00FF4D06">
      <w:pPr>
        <w:pStyle w:val="Notedebasdepage"/>
      </w:pPr>
      <w:r>
        <w:rPr>
          <w:rStyle w:val="Marquenotebasdepage"/>
        </w:rPr>
        <w:footnoteRef/>
      </w:r>
      <w:r>
        <w:t xml:space="preserve"> See Ritter, </w:t>
      </w:r>
      <w:r w:rsidRPr="00743900">
        <w:rPr>
          <w:i/>
        </w:rPr>
        <w:t>Judeans in the Greek Cities</w:t>
      </w:r>
      <w:r>
        <w:t>.</w:t>
      </w:r>
    </w:p>
  </w:footnote>
  <w:footnote w:id="49">
    <w:p w14:paraId="49A3675F" w14:textId="77777777" w:rsidR="00FF4D06" w:rsidRDefault="00FF4D06">
      <w:pPr>
        <w:pStyle w:val="Notedebasdepage"/>
      </w:pPr>
      <w:r>
        <w:rPr>
          <w:rStyle w:val="Marquenotebasdepage"/>
        </w:rPr>
        <w:footnoteRef/>
      </w:r>
      <w:r>
        <w:t xml:space="preserve"> Josephus, </w:t>
      </w:r>
      <w:r w:rsidRPr="006B2B3E">
        <w:rPr>
          <w:i/>
        </w:rPr>
        <w:t>Ant.</w:t>
      </w:r>
      <w:r>
        <w:t xml:space="preserve"> 14.116. Trans. by Ralph Marcus, LCL, 509.</w:t>
      </w:r>
    </w:p>
  </w:footnote>
  <w:footnote w:id="50">
    <w:p w14:paraId="1CC170CB" w14:textId="77777777" w:rsidR="00FF4D06" w:rsidRDefault="00FF4D06" w:rsidP="00156964">
      <w:pPr>
        <w:pStyle w:val="Notedebasdepage"/>
      </w:pPr>
      <w:r>
        <w:rPr>
          <w:rStyle w:val="Marquenotebasdepage"/>
        </w:rPr>
        <w:footnoteRef/>
      </w:r>
      <w:r>
        <w:t xml:space="preserve"> See Katell Berthelot, </w:t>
      </w:r>
      <w:r w:rsidRPr="00CD38F2">
        <w:t>Philanthrôpia judaica</w:t>
      </w:r>
      <w:r w:rsidRPr="00CD38F2">
        <w:rPr>
          <w:i/>
        </w:rPr>
        <w:t>.</w:t>
      </w:r>
      <w:r w:rsidRPr="00CD38F2">
        <w:t xml:space="preserve"> </w:t>
      </w:r>
      <w:r w:rsidRPr="00CD38F2">
        <w:rPr>
          <w:i/>
        </w:rPr>
        <w:t>Le débat autour de la “misanthropie” des lois juives dans l’Antiquité</w:t>
      </w:r>
      <w:r w:rsidRPr="00CD38F2">
        <w:t xml:space="preserve"> </w:t>
      </w:r>
      <w:r>
        <w:t>(Leiden – Boston:</w:t>
      </w:r>
      <w:r w:rsidRPr="00CD38F2">
        <w:t xml:space="preserve"> Brill, 2003</w:t>
      </w:r>
      <w:r>
        <w:t xml:space="preserve">), 272–79; Carlier, </w:t>
      </w:r>
      <w:r>
        <w:rPr>
          <w:i/>
        </w:rPr>
        <w:t>La cité de Moïse</w:t>
      </w:r>
      <w:r>
        <w:t xml:space="preserve">, </w:t>
      </w:r>
      <w:r>
        <w:rPr>
          <w:rFonts w:eastAsia="ＭＳ 明朝"/>
        </w:rPr>
        <w:t>171–217</w:t>
      </w:r>
      <w:r>
        <w:t xml:space="preserve">. A similar idea, </w:t>
      </w:r>
      <w:r w:rsidRPr="000502BA">
        <w:rPr>
          <w:i/>
        </w:rPr>
        <w:t>mutatis mutandis</w:t>
      </w:r>
      <w:r>
        <w:t>, is found in the Epistle to the Ephesians (2:12), when the author recalls the Gentile Christians that before their conversion, they were “</w:t>
      </w:r>
      <w:r w:rsidRPr="00650F96">
        <w:t xml:space="preserve">aliens from the </w:t>
      </w:r>
      <w:r>
        <w:t>citizenship</w:t>
      </w:r>
      <w:r w:rsidRPr="00650F96">
        <w:t xml:space="preserve"> of Israel, and strangers from the covenants of promise</w:t>
      </w:r>
      <w:r>
        <w:t>” (</w:t>
      </w:r>
      <w:r w:rsidRPr="00B1798D">
        <w:rPr>
          <w:rFonts w:ascii="Gentium" w:hAnsi="Gentium" w:cs="Arial"/>
        </w:rPr>
        <w:t>ἀ</w:t>
      </w:r>
      <w:r w:rsidRPr="00B1798D">
        <w:rPr>
          <w:rFonts w:ascii="Gentium" w:hAnsi="Gentium"/>
        </w:rPr>
        <w:t>πηλλοτριωμ</w:t>
      </w:r>
      <w:r w:rsidRPr="00B1798D">
        <w:rPr>
          <w:rFonts w:ascii="Gentium" w:hAnsi="Gentium" w:cs="Arial"/>
        </w:rPr>
        <w:t>έ</w:t>
      </w:r>
      <w:r w:rsidRPr="00B1798D">
        <w:rPr>
          <w:rFonts w:ascii="Gentium" w:hAnsi="Gentium"/>
        </w:rPr>
        <w:t>νοι τ</w:t>
      </w:r>
      <w:r w:rsidRPr="00B1798D">
        <w:rPr>
          <w:rFonts w:ascii="Gentium" w:hAnsi="Gentium" w:cs="Arial"/>
        </w:rPr>
        <w:t>ῆ</w:t>
      </w:r>
      <w:r w:rsidRPr="00B1798D">
        <w:rPr>
          <w:rFonts w:ascii="Gentium" w:hAnsi="Gentium"/>
        </w:rPr>
        <w:t>ς</w:t>
      </w:r>
      <w:r w:rsidRPr="00B1798D">
        <w:rPr>
          <w:rFonts w:ascii="Gentium" w:hAnsi="Gentium"/>
          <w:b/>
        </w:rPr>
        <w:t xml:space="preserve"> </w:t>
      </w:r>
      <w:r w:rsidRPr="00650F96">
        <w:rPr>
          <w:rFonts w:ascii="Gentium" w:hAnsi="Gentium"/>
        </w:rPr>
        <w:t>πολιτε</w:t>
      </w:r>
      <w:r w:rsidRPr="00650F96">
        <w:rPr>
          <w:rFonts w:ascii="Gentium" w:hAnsi="Gentium" w:cs="Arial"/>
        </w:rPr>
        <w:t>ί</w:t>
      </w:r>
      <w:r w:rsidRPr="00650F96">
        <w:rPr>
          <w:rFonts w:ascii="Gentium" w:hAnsi="Gentium"/>
        </w:rPr>
        <w:t>ας</w:t>
      </w:r>
      <w:r w:rsidRPr="00B1798D">
        <w:rPr>
          <w:rFonts w:ascii="Gentium" w:hAnsi="Gentium"/>
        </w:rPr>
        <w:t xml:space="preserve"> το</w:t>
      </w:r>
      <w:r w:rsidRPr="00B1798D">
        <w:rPr>
          <w:rFonts w:ascii="Gentium" w:hAnsi="Gentium" w:cs="Arial"/>
        </w:rPr>
        <w:t>ῦ</w:t>
      </w:r>
      <w:r w:rsidRPr="00B1798D">
        <w:rPr>
          <w:rFonts w:ascii="Gentium" w:hAnsi="Gentium"/>
        </w:rPr>
        <w:t xml:space="preserve"> </w:t>
      </w:r>
      <w:r w:rsidRPr="00B1798D">
        <w:rPr>
          <w:rFonts w:ascii="Gentium" w:hAnsi="Gentium" w:cs="Arial"/>
        </w:rPr>
        <w:t>Ἰ</w:t>
      </w:r>
      <w:r w:rsidRPr="00B1798D">
        <w:rPr>
          <w:rFonts w:ascii="Gentium" w:hAnsi="Gentium"/>
        </w:rPr>
        <w:t>σρα</w:t>
      </w:r>
      <w:r w:rsidRPr="00B1798D">
        <w:rPr>
          <w:rFonts w:ascii="Gentium" w:hAnsi="Gentium" w:cs="Arial"/>
        </w:rPr>
        <w:t>ὴ</w:t>
      </w:r>
      <w:r w:rsidRPr="00B1798D">
        <w:rPr>
          <w:rFonts w:ascii="Gentium" w:hAnsi="Gentium"/>
        </w:rPr>
        <w:t>λ κα</w:t>
      </w:r>
      <w:r w:rsidRPr="00B1798D">
        <w:rPr>
          <w:rFonts w:ascii="Gentium" w:hAnsi="Gentium" w:cs="Arial"/>
        </w:rPr>
        <w:t>ὶ</w:t>
      </w:r>
      <w:r w:rsidRPr="00B1798D">
        <w:rPr>
          <w:rFonts w:ascii="Gentium" w:hAnsi="Gentium"/>
        </w:rPr>
        <w:t xml:space="preserve"> ξ</w:t>
      </w:r>
      <w:r w:rsidRPr="00B1798D">
        <w:rPr>
          <w:rFonts w:ascii="Gentium" w:hAnsi="Gentium" w:cs="Arial"/>
        </w:rPr>
        <w:t>έ</w:t>
      </w:r>
      <w:r w:rsidRPr="00B1798D">
        <w:rPr>
          <w:rFonts w:ascii="Gentium" w:hAnsi="Gentium"/>
        </w:rPr>
        <w:t>νοι τ</w:t>
      </w:r>
      <w:r w:rsidRPr="00B1798D">
        <w:rPr>
          <w:rFonts w:ascii="Gentium" w:hAnsi="Gentium" w:cs="Arial"/>
        </w:rPr>
        <w:t>ῶ</w:t>
      </w:r>
      <w:r w:rsidRPr="00B1798D">
        <w:rPr>
          <w:rFonts w:ascii="Gentium" w:hAnsi="Gentium"/>
        </w:rPr>
        <w:t>ν διαθηκ</w:t>
      </w:r>
      <w:r w:rsidRPr="00B1798D">
        <w:rPr>
          <w:rFonts w:ascii="Gentium" w:hAnsi="Gentium" w:cs="Arial"/>
        </w:rPr>
        <w:t>ῶ</w:t>
      </w:r>
      <w:r w:rsidRPr="00B1798D">
        <w:rPr>
          <w:rFonts w:ascii="Gentium" w:hAnsi="Gentium"/>
        </w:rPr>
        <w:t>ν τ</w:t>
      </w:r>
      <w:r w:rsidRPr="00B1798D">
        <w:rPr>
          <w:rFonts w:ascii="Gentium" w:hAnsi="Gentium" w:cs="Arial"/>
        </w:rPr>
        <w:t>ῆ</w:t>
      </w:r>
      <w:r w:rsidRPr="00B1798D">
        <w:rPr>
          <w:rFonts w:ascii="Gentium" w:hAnsi="Gentium"/>
        </w:rPr>
        <w:t xml:space="preserve">ς </w:t>
      </w:r>
      <w:r w:rsidRPr="00B1798D">
        <w:rPr>
          <w:rFonts w:ascii="Gentium" w:hAnsi="Gentium" w:cs="Arial"/>
        </w:rPr>
        <w:t>ἐ</w:t>
      </w:r>
      <w:r w:rsidRPr="00B1798D">
        <w:rPr>
          <w:rFonts w:ascii="Gentium" w:hAnsi="Gentium"/>
        </w:rPr>
        <w:t>παγγελ</w:t>
      </w:r>
      <w:r w:rsidRPr="00B1798D">
        <w:rPr>
          <w:rFonts w:ascii="Gentium" w:hAnsi="Gentium" w:cs="Arial"/>
        </w:rPr>
        <w:t>ί</w:t>
      </w:r>
      <w:r w:rsidRPr="00B1798D">
        <w:rPr>
          <w:rFonts w:ascii="Gentium" w:hAnsi="Gentium"/>
        </w:rPr>
        <w:t>ας</w:t>
      </w:r>
      <w:r>
        <w:t xml:space="preserve">). In this case the </w:t>
      </w:r>
      <w:r w:rsidRPr="00690D82">
        <w:rPr>
          <w:i/>
        </w:rPr>
        <w:t>politeia tou Israēl</w:t>
      </w:r>
      <w:r>
        <w:t xml:space="preserve"> is equivalent to membership with the people of Israel.</w:t>
      </w:r>
    </w:p>
    <w:p w14:paraId="4410E7F3" w14:textId="77777777" w:rsidR="00FF4D06" w:rsidRPr="00AB1959" w:rsidRDefault="00FF4D06" w:rsidP="00AB1959">
      <w:pPr>
        <w:pStyle w:val="Notedebasdepage"/>
        <w:rPr>
          <w:rFonts w:ascii="Times" w:hAnsi="Times" w:cs="Times"/>
        </w:rPr>
      </w:pPr>
      <w:r>
        <w:rPr>
          <w:rFonts w:ascii="Times" w:hAnsi="Times" w:cs="Times"/>
        </w:rPr>
        <w:t>Before Philo, there may be one example of the idea that a proselyte becomes a fellow citizen of the Jews. It is found in 2 Maccabees, in the letter written by Antiochus IV when he gets ill and declares that he wants to become a Jew: “</w:t>
      </w:r>
      <w:r w:rsidRPr="00AB1959">
        <w:rPr>
          <w:rFonts w:ascii="Times" w:hAnsi="Times" w:cs="Times"/>
        </w:rPr>
        <w:t>To the respected Jews, fellow citizens, many greetings, health and success</w:t>
      </w:r>
      <w:r>
        <w:rPr>
          <w:rFonts w:ascii="Times" w:hAnsi="Times" w:cs="Times"/>
        </w:rPr>
        <w:t xml:space="preserve"> </w:t>
      </w:r>
      <w:r w:rsidRPr="00AB1959">
        <w:rPr>
          <w:rFonts w:ascii="Times" w:hAnsi="Times" w:cs="Times"/>
        </w:rPr>
        <w:t>(from) the King and Governor Antiochus</w:t>
      </w:r>
      <w:r>
        <w:rPr>
          <w:rFonts w:ascii="Times" w:hAnsi="Times" w:cs="Times"/>
        </w:rPr>
        <w:t xml:space="preserve">” (2 Macc 9,19: </w:t>
      </w:r>
      <w:r w:rsidRPr="0014498D">
        <w:rPr>
          <w:rFonts w:ascii="Gentium" w:hAnsi="Gentium" w:cs="Times"/>
        </w:rPr>
        <w:t>Τοῖς χρηστοῖς Ιουδαίοις τοῖς πολίταις πολλὰ χαίρειν καὶ ὑγιαίνειν καὶ εὖ πράττειν βασιλεὺς καὶ στρατηγὸς Ἀντίοχος</w:t>
      </w:r>
      <w:r>
        <w:t xml:space="preserve">; trans. by </w:t>
      </w:r>
      <w:r>
        <w:rPr>
          <w:rFonts w:ascii="Times" w:hAnsi="Times" w:cs="Times"/>
        </w:rPr>
        <w:t xml:space="preserve">Daniel R. Schwartz, </w:t>
      </w:r>
      <w:r w:rsidRPr="00EE5F79">
        <w:rPr>
          <w:i/>
        </w:rPr>
        <w:t>2 Maccabees</w:t>
      </w:r>
      <w:r>
        <w:t xml:space="preserve"> [Berlin – New York:</w:t>
      </w:r>
      <w:r w:rsidRPr="00EE5F79">
        <w:t xml:space="preserve"> Walter de Gruyter, </w:t>
      </w:r>
      <w:r>
        <w:t>2008]</w:t>
      </w:r>
      <w:r>
        <w:rPr>
          <w:rFonts w:ascii="Times" w:hAnsi="Times" w:cs="Times"/>
        </w:rPr>
        <w:t xml:space="preserve">, 350). However, the text is full of irony, and the king is merely imitating the Jews’ language. Daniel R. Schwartz aptly writes in his commentary: “The king speaks like a Jew (as promised in v. 17 and exemplified in v. 20), denoting the Jews as his ‘fellow citizens’ […]. This too is part of the joke” (Schwartz, </w:t>
      </w:r>
      <w:r w:rsidRPr="00EE5F79">
        <w:rPr>
          <w:i/>
        </w:rPr>
        <w:t>2 Maccabees</w:t>
      </w:r>
      <w:r>
        <w:rPr>
          <w:rFonts w:ascii="Times" w:hAnsi="Times" w:cs="Times"/>
        </w:rPr>
        <w:t>, 361).</w:t>
      </w:r>
    </w:p>
  </w:footnote>
  <w:footnote w:id="51">
    <w:p w14:paraId="579F24B3" w14:textId="77777777" w:rsidR="00FF4D06" w:rsidRPr="001D4A78" w:rsidRDefault="00FF4D06" w:rsidP="00F064EB">
      <w:pPr>
        <w:pStyle w:val="Notedebasdepage"/>
      </w:pPr>
      <w:r>
        <w:rPr>
          <w:rStyle w:val="Marquenotebasdepage"/>
        </w:rPr>
        <w:footnoteRef/>
      </w:r>
      <w:r>
        <w:t xml:space="preserve"> According to Joseph Mélèze-Modrzejewski, the Jewish </w:t>
      </w:r>
      <w:r w:rsidRPr="00F064EB">
        <w:rPr>
          <w:i/>
        </w:rPr>
        <w:t>politeia</w:t>
      </w:r>
      <w:r>
        <w:t xml:space="preserve"> in Philo is Jewishness itself, a status and a way of life: “Le sentiment qui s’impose est que la </w:t>
      </w:r>
      <w:r>
        <w:rPr>
          <w:i/>
        </w:rPr>
        <w:t>politeia</w:t>
      </w:r>
      <w:r>
        <w:t xml:space="preserve"> que Philon revendique pour ses coreligionnaires n’est rien d’autre que la judéité elle-même, comme statut individuel et comme mode de vie conforme aux préceptes de la Tora » (</w:t>
      </w:r>
      <w:r w:rsidRPr="00F064EB">
        <w:rPr>
          <w:i/>
        </w:rPr>
        <w:t>Un peuple de philosophes</w:t>
      </w:r>
      <w:r>
        <w:t xml:space="preserve">, 157–58). However, see Carlier, </w:t>
      </w:r>
      <w:r>
        <w:rPr>
          <w:i/>
        </w:rPr>
        <w:t>La cité de Moïse</w:t>
      </w:r>
      <w:r>
        <w:t xml:space="preserve">, 126, 202–3 (on </w:t>
      </w:r>
      <w:r w:rsidRPr="00B83353">
        <w:rPr>
          <w:i/>
        </w:rPr>
        <w:t>politeia</w:t>
      </w:r>
      <w:r>
        <w:t xml:space="preserve"> as the community of the </w:t>
      </w:r>
      <w:r w:rsidRPr="00B83353">
        <w:rPr>
          <w:i/>
        </w:rPr>
        <w:t>politai</w:t>
      </w:r>
      <w:r>
        <w:t>).</w:t>
      </w:r>
    </w:p>
  </w:footnote>
  <w:footnote w:id="52">
    <w:p w14:paraId="0F4FD58D" w14:textId="77777777" w:rsidR="00FF4D06" w:rsidRDefault="00FF4D06">
      <w:pPr>
        <w:pStyle w:val="Notedebasdepage"/>
      </w:pPr>
      <w:r>
        <w:rPr>
          <w:rStyle w:val="Marquenotebasdepage"/>
        </w:rPr>
        <w:footnoteRef/>
      </w:r>
      <w:r>
        <w:t xml:space="preserve"> </w:t>
      </w:r>
      <w:r>
        <w:rPr>
          <w:i/>
        </w:rPr>
        <w:t>Spec.</w:t>
      </w:r>
      <w:r>
        <w:t xml:space="preserve"> 1.51-53, transl. F. Colson, LCL, 127–9 (slightly modified).</w:t>
      </w:r>
    </w:p>
  </w:footnote>
  <w:footnote w:id="53">
    <w:p w14:paraId="04C032A1" w14:textId="77777777" w:rsidR="00FF4D06" w:rsidRPr="00113D69" w:rsidRDefault="00FF4D06" w:rsidP="00831367">
      <w:pPr>
        <w:pStyle w:val="Notedebasdepage"/>
      </w:pPr>
      <w:r w:rsidRPr="00113D69">
        <w:rPr>
          <w:rStyle w:val="Marquenotebasdepage"/>
        </w:rPr>
        <w:footnoteRef/>
      </w:r>
      <w:r>
        <w:t xml:space="preserve"> See Philippe</w:t>
      </w:r>
      <w:r w:rsidRPr="00113D69">
        <w:t xml:space="preserve"> Gauthier, “La citoyenneté en Grèce et à Rome : participation et intégration,” </w:t>
      </w:r>
      <w:r w:rsidRPr="00113D69">
        <w:rPr>
          <w:i/>
        </w:rPr>
        <w:t>Ktèma</w:t>
      </w:r>
      <w:r>
        <w:t xml:space="preserve"> 6 (1981): 167–79 (at 169 and</w:t>
      </w:r>
      <w:r w:rsidRPr="00113D69">
        <w:t xml:space="preserve"> 171</w:t>
      </w:r>
      <w:r>
        <w:t>); Claude</w:t>
      </w:r>
      <w:r w:rsidRPr="00113D69">
        <w:t xml:space="preserve"> Nicolet, </w:t>
      </w:r>
      <w:r w:rsidRPr="00113D69">
        <w:rPr>
          <w:i/>
        </w:rPr>
        <w:t>Le métier de citoyen dans la Rome républicaine</w:t>
      </w:r>
      <w:r w:rsidRPr="00113D69">
        <w:t xml:space="preserve"> </w:t>
      </w:r>
      <w:r>
        <w:t>(Paris: Gallimard, 1976</w:t>
      </w:r>
      <w:r w:rsidRPr="00BA1F9E">
        <w:rPr>
          <w:vertAlign w:val="superscript"/>
        </w:rPr>
        <w:t>2</w:t>
      </w:r>
      <w:r>
        <w:t>).</w:t>
      </w:r>
    </w:p>
  </w:footnote>
  <w:footnote w:id="54">
    <w:p w14:paraId="5C630B00" w14:textId="77777777" w:rsidR="00FF4D06" w:rsidRDefault="00FF4D06" w:rsidP="00C46408">
      <w:pPr>
        <w:pStyle w:val="Notedebasdepage"/>
      </w:pPr>
      <w:r w:rsidRPr="00113D69">
        <w:rPr>
          <w:rStyle w:val="Marquenotebasdepage"/>
        </w:rPr>
        <w:footnoteRef/>
      </w:r>
      <w:r>
        <w:t xml:space="preserve"> </w:t>
      </w:r>
      <w:r w:rsidRPr="00113D69">
        <w:t xml:space="preserve">Gauthier, </w:t>
      </w:r>
      <w:r w:rsidRPr="00113D69">
        <w:rPr>
          <w:i/>
        </w:rPr>
        <w:t>ibid.</w:t>
      </w:r>
      <w:r>
        <w:t>, 172–</w:t>
      </w:r>
      <w:r w:rsidRPr="00113D69">
        <w:t>73.</w:t>
      </w:r>
      <w:r>
        <w:t xml:space="preserve"> See also Anna Heller and Anne-Valérie Pont (ed.), </w:t>
      </w:r>
      <w:r w:rsidRPr="00C46408">
        <w:rPr>
          <w:i/>
        </w:rPr>
        <w:t>Patrie d’origine et patries électives : les citoyennetés multiples dans le monde grec d’époque romaine : actes du colloque international de Tours, 6-7 novembre 2009</w:t>
      </w:r>
      <w:r>
        <w:t xml:space="preserve"> (Bordeaux: Ausonius, Paris: diff. de Boccard, 2012), esp. at 9–15. </w:t>
      </w:r>
      <w:r w:rsidRPr="00113D69">
        <w:t xml:space="preserve"> </w:t>
      </w:r>
    </w:p>
  </w:footnote>
  <w:footnote w:id="55">
    <w:p w14:paraId="5EA9E7E6" w14:textId="77777777" w:rsidR="00FF4D06" w:rsidRDefault="00FF4D06">
      <w:pPr>
        <w:pStyle w:val="Notedebasdepage"/>
      </w:pPr>
      <w:r>
        <w:rPr>
          <w:rStyle w:val="Marquenotebasdepage"/>
        </w:rPr>
        <w:footnoteRef/>
      </w:r>
      <w:r>
        <w:t xml:space="preserve"> </w:t>
      </w:r>
      <w:r w:rsidRPr="00113D69">
        <w:t xml:space="preserve">Gauthier, </w:t>
      </w:r>
      <w:r w:rsidRPr="00113D69">
        <w:rPr>
          <w:i/>
        </w:rPr>
        <w:t>ibid.</w:t>
      </w:r>
      <w:r>
        <w:t xml:space="preserve">, 172 (my translation from the French). See for example Cicero, </w:t>
      </w:r>
      <w:r>
        <w:rPr>
          <w:i/>
        </w:rPr>
        <w:t>De L</w:t>
      </w:r>
      <w:r w:rsidRPr="00451B60">
        <w:rPr>
          <w:i/>
        </w:rPr>
        <w:t>egibus</w:t>
      </w:r>
      <w:r>
        <w:t xml:space="preserve"> 1.23; </w:t>
      </w:r>
      <w:r>
        <w:rPr>
          <w:i/>
        </w:rPr>
        <w:t>De Re P</w:t>
      </w:r>
      <w:r w:rsidRPr="0071431F">
        <w:rPr>
          <w:i/>
        </w:rPr>
        <w:t>ublica</w:t>
      </w:r>
      <w:r>
        <w:t xml:space="preserve"> 1.49.</w:t>
      </w:r>
    </w:p>
  </w:footnote>
  <w:footnote w:id="56">
    <w:p w14:paraId="373247C9" w14:textId="77777777" w:rsidR="00FF4D06" w:rsidRDefault="00FF4D06">
      <w:pPr>
        <w:pStyle w:val="Notedebasdepage"/>
      </w:pPr>
      <w:r>
        <w:rPr>
          <w:rStyle w:val="Marquenotebasdepage"/>
        </w:rPr>
        <w:footnoteRef/>
      </w:r>
      <w:r>
        <w:t xml:space="preserve"> However, as Gauthier emphasizes, in Polybius’s political thought one finds significant evolutions which show that a </w:t>
      </w:r>
      <w:r w:rsidRPr="008B7D25">
        <w:rPr>
          <w:i/>
        </w:rPr>
        <w:t>polis</w:t>
      </w:r>
      <w:r>
        <w:t xml:space="preserve"> could now be conceived of in a very different way, for example in connection with a </w:t>
      </w:r>
      <w:r w:rsidRPr="008B7D25">
        <w:rPr>
          <w:i/>
        </w:rPr>
        <w:t>koinon</w:t>
      </w:r>
      <w:r>
        <w:t xml:space="preserve">. See Polybius, 2.37.10-11, and Gauthier, </w:t>
      </w:r>
      <w:r w:rsidRPr="00113D69">
        <w:rPr>
          <w:i/>
        </w:rPr>
        <w:t>ibid.</w:t>
      </w:r>
      <w:r>
        <w:t>, 177.</w:t>
      </w:r>
    </w:p>
  </w:footnote>
  <w:footnote w:id="57">
    <w:p w14:paraId="1EF8ACB5" w14:textId="77777777" w:rsidR="00FF4D06" w:rsidRDefault="00FF4D06">
      <w:pPr>
        <w:pStyle w:val="Notedebasdepage"/>
      </w:pPr>
      <w:r>
        <w:rPr>
          <w:rStyle w:val="Marquenotebasdepage"/>
        </w:rPr>
        <w:footnoteRef/>
      </w:r>
      <w:r>
        <w:t xml:space="preserve"> The synagogue was of course a community institution, but it was local. According to Philo, the </w:t>
      </w:r>
      <w:r w:rsidRPr="00D22AC1">
        <w:rPr>
          <w:i/>
        </w:rPr>
        <w:t>politeia</w:t>
      </w:r>
      <w:r>
        <w:t xml:space="preserve"> of Israel extends much farther than the local community in a given place; it includes all the observant members of the people, no matter where they are.</w:t>
      </w:r>
    </w:p>
  </w:footnote>
  <w:footnote w:id="58">
    <w:p w14:paraId="4506688E" w14:textId="77777777" w:rsidR="00FF4D06" w:rsidRDefault="00FF4D06" w:rsidP="003C6A03">
      <w:pPr>
        <w:pStyle w:val="Notedebasdepage"/>
      </w:pPr>
      <w:r>
        <w:rPr>
          <w:rStyle w:val="Marquenotebasdepage"/>
        </w:rPr>
        <w:footnoteRef/>
      </w:r>
      <w:r>
        <w:t xml:space="preserve"> Trans. by Walter T. Wilson, </w:t>
      </w:r>
      <w:r w:rsidRPr="003C6A03">
        <w:rPr>
          <w:i/>
        </w:rPr>
        <w:t>Philo of Alexandria. On Virtues: Introduction, Translation, and Commentary</w:t>
      </w:r>
      <w:r>
        <w:t xml:space="preserve"> (Leiden: Brill, 2011), 65 (very slightly modified).</w:t>
      </w:r>
    </w:p>
  </w:footnote>
  <w:footnote w:id="59">
    <w:p w14:paraId="21E5F065" w14:textId="77777777" w:rsidR="00FF4D06" w:rsidRDefault="00FF4D06">
      <w:pPr>
        <w:pStyle w:val="Notedebasdepage"/>
      </w:pPr>
      <w:r>
        <w:rPr>
          <w:rStyle w:val="Marquenotebasdepage"/>
        </w:rPr>
        <w:footnoteRef/>
      </w:r>
      <w:r>
        <w:t xml:space="preserve"> See Berthelot, </w:t>
      </w:r>
      <w:r w:rsidRPr="00113D69">
        <w:rPr>
          <w:i/>
        </w:rPr>
        <w:t>Philanthrôpia judaica</w:t>
      </w:r>
      <w:r>
        <w:t>, 37–43.</w:t>
      </w:r>
    </w:p>
  </w:footnote>
  <w:footnote w:id="60">
    <w:p w14:paraId="0D44203F" w14:textId="77777777" w:rsidR="00FF4D06" w:rsidRDefault="00FF4D06">
      <w:pPr>
        <w:pStyle w:val="Notedebasdepage"/>
      </w:pPr>
      <w:r>
        <w:rPr>
          <w:rStyle w:val="Marquenotebasdepage"/>
        </w:rPr>
        <w:footnoteRef/>
      </w:r>
      <w:r>
        <w:t xml:space="preserve"> </w:t>
      </w:r>
      <w:r>
        <w:rPr>
          <w:i/>
        </w:rPr>
        <w:t>Roman Antiquities</w:t>
      </w:r>
      <w:r>
        <w:t xml:space="preserve"> </w:t>
      </w:r>
      <w:r>
        <w:rPr>
          <w:rFonts w:ascii="Times" w:hAnsi="Times"/>
        </w:rPr>
        <w:t>1.9.4, trans. Earnest Cary, LCL, 31.</w:t>
      </w:r>
    </w:p>
  </w:footnote>
  <w:footnote w:id="61">
    <w:p w14:paraId="0995C44B" w14:textId="77777777" w:rsidR="00FF4D06" w:rsidRDefault="00FF4D06">
      <w:pPr>
        <w:pStyle w:val="Notedebasdepage"/>
      </w:pPr>
      <w:r>
        <w:rPr>
          <w:rStyle w:val="Marquenotebasdepage"/>
        </w:rPr>
        <w:footnoteRef/>
      </w:r>
      <w:r>
        <w:t xml:space="preserve"> On these stereotypes, conveyed mainly by Athenian voices, see Plato, </w:t>
      </w:r>
      <w:r>
        <w:rPr>
          <w:i/>
        </w:rPr>
        <w:t>Laws</w:t>
      </w:r>
      <w:r>
        <w:t xml:space="preserve"> XII, 949 e; Thucydides, 1.144.2 and 2.39.1-2; Dionysius of Halicarnassus, </w:t>
      </w:r>
      <w:r w:rsidRPr="00321C01">
        <w:rPr>
          <w:i/>
        </w:rPr>
        <w:t>Roman Antiquities</w:t>
      </w:r>
      <w:r>
        <w:t xml:space="preserve"> 2.17.1-2; François Ollier, </w:t>
      </w:r>
      <w:r w:rsidRPr="002B271A">
        <w:rPr>
          <w:i/>
        </w:rPr>
        <w:t>Le mirage spartiate</w:t>
      </w:r>
      <w:r>
        <w:t>, 2 vol.</w:t>
      </w:r>
      <w:r w:rsidRPr="002B271A">
        <w:t xml:space="preserve"> </w:t>
      </w:r>
      <w:r>
        <w:t>(Paris:</w:t>
      </w:r>
      <w:r w:rsidRPr="002B271A">
        <w:t xml:space="preserve"> E. de Boccard, 1933-</w:t>
      </w:r>
      <w:r>
        <w:t>19</w:t>
      </w:r>
      <w:r w:rsidRPr="002B271A">
        <w:t>43</w:t>
      </w:r>
      <w:r>
        <w:t>).</w:t>
      </w:r>
    </w:p>
  </w:footnote>
  <w:footnote w:id="62">
    <w:p w14:paraId="51981596" w14:textId="77777777" w:rsidR="00FF4D06" w:rsidRDefault="00FF4D06">
      <w:pPr>
        <w:pStyle w:val="Notedebasdepage"/>
      </w:pPr>
      <w:r>
        <w:rPr>
          <w:rStyle w:val="Marquenotebasdepage"/>
        </w:rPr>
        <w:footnoteRef/>
      </w:r>
      <w:r>
        <w:t xml:space="preserve"> </w:t>
      </w:r>
      <w:r w:rsidRPr="00662CAD">
        <w:rPr>
          <w:i/>
        </w:rPr>
        <w:t>Against Apion</w:t>
      </w:r>
      <w:r>
        <w:t xml:space="preserve"> 2.260-261, trans. John M. G. Barclay,</w:t>
      </w:r>
      <w:r w:rsidRPr="00662CAD">
        <w:rPr>
          <w:i/>
        </w:rPr>
        <w:t xml:space="preserve"> </w:t>
      </w:r>
      <w:r>
        <w:rPr>
          <w:i/>
        </w:rPr>
        <w:t xml:space="preserve">Flavius Josephus. Against </w:t>
      </w:r>
      <w:r w:rsidRPr="00001BE4">
        <w:rPr>
          <w:i/>
        </w:rPr>
        <w:t>Apion</w:t>
      </w:r>
      <w:r>
        <w:t xml:space="preserve"> (Leiden: Brill, 2005), 317–18.</w:t>
      </w:r>
    </w:p>
  </w:footnote>
  <w:footnote w:id="63">
    <w:p w14:paraId="5280F900" w14:textId="77777777" w:rsidR="00FF4D06" w:rsidRDefault="00FF4D06">
      <w:pPr>
        <w:pStyle w:val="Notedebasdepage"/>
      </w:pPr>
      <w:r>
        <w:rPr>
          <w:rStyle w:val="Marquenotebasdepage"/>
        </w:rPr>
        <w:footnoteRef/>
      </w:r>
      <w:r>
        <w:t xml:space="preserve"> See also </w:t>
      </w:r>
      <w:r w:rsidRPr="00D06DEA">
        <w:rPr>
          <w:i/>
        </w:rPr>
        <w:t>Against Apion</w:t>
      </w:r>
      <w:r>
        <w:t xml:space="preserve"> 2.210.</w:t>
      </w:r>
    </w:p>
  </w:footnote>
  <w:footnote w:id="64">
    <w:p w14:paraId="38DD6937" w14:textId="77777777" w:rsidR="00FF4D06" w:rsidRPr="005C4209" w:rsidRDefault="00FF4D06" w:rsidP="00CC519C">
      <w:pPr>
        <w:pStyle w:val="Notedebasdepage"/>
      </w:pPr>
      <w:r>
        <w:rPr>
          <w:rStyle w:val="Marquenotebasdepage"/>
        </w:rPr>
        <w:footnoteRef/>
      </w:r>
      <w:r>
        <w:t xml:space="preserve"> See </w:t>
      </w:r>
      <w:r>
        <w:rPr>
          <w:i/>
        </w:rPr>
        <w:t>Against Apion</w:t>
      </w:r>
      <w:r>
        <w:t xml:space="preserve"> 2.40. On this passage see Sylvie Honigman, “Philon, Flavius Josèphe, et la </w:t>
      </w:r>
      <w:r w:rsidRPr="00113D69">
        <w:t>citoyenneté alexandrin</w:t>
      </w:r>
      <w:r>
        <w:t xml:space="preserve">e : vers une utopie politique,” </w:t>
      </w:r>
      <w:r w:rsidRPr="00113D69">
        <w:rPr>
          <w:i/>
        </w:rPr>
        <w:t>JJS</w:t>
      </w:r>
      <w:r>
        <w:t xml:space="preserve"> 48/1 (1997): 62–90; Katell</w:t>
      </w:r>
      <w:r w:rsidRPr="00113D69">
        <w:t xml:space="preserve"> Berthelot, </w:t>
      </w:r>
      <w:r w:rsidRPr="00113D69">
        <w:rPr>
          <w:i/>
        </w:rPr>
        <w:t>Philanthrôpia judaica</w:t>
      </w:r>
      <w:r>
        <w:t xml:space="preserve">, 42–3, 340; Barclay, </w:t>
      </w:r>
      <w:r>
        <w:rPr>
          <w:i/>
        </w:rPr>
        <w:t xml:space="preserve">Flavius Josephus. Against </w:t>
      </w:r>
      <w:r w:rsidRPr="00001BE4">
        <w:rPr>
          <w:i/>
        </w:rPr>
        <w:t>Apion</w:t>
      </w:r>
      <w:r>
        <w:t>, 190–91</w:t>
      </w:r>
      <w:r w:rsidRPr="00113D69">
        <w:t xml:space="preserve">. </w:t>
      </w:r>
      <w:r>
        <w:t xml:space="preserve">On Josephus’s proximity to Dionysius in the </w:t>
      </w:r>
      <w:r>
        <w:rPr>
          <w:i/>
        </w:rPr>
        <w:t>Against Apion</w:t>
      </w:r>
      <w:r>
        <w:t xml:space="preserve">, see David L. Balch, “Two Apologetic Encomia: Dionysius on Rome and Josephus on the Jews,” </w:t>
      </w:r>
      <w:r>
        <w:rPr>
          <w:i/>
        </w:rPr>
        <w:t xml:space="preserve">JSJ </w:t>
      </w:r>
      <w:r>
        <w:t>13/1-2 (1982): 102–22.</w:t>
      </w:r>
    </w:p>
  </w:footnote>
  <w:footnote w:id="65">
    <w:p w14:paraId="211A3242" w14:textId="77777777" w:rsidR="00FF4D06" w:rsidRDefault="00FF4D06">
      <w:pPr>
        <w:pStyle w:val="Notedebasdepage"/>
      </w:pPr>
      <w:r>
        <w:rPr>
          <w:rStyle w:val="Marquenotebasdepage"/>
        </w:rPr>
        <w:footnoteRef/>
      </w:r>
      <w:r>
        <w:t xml:space="preserve"> See for instance Tacitus, </w:t>
      </w:r>
      <w:r w:rsidRPr="004242AE">
        <w:rPr>
          <w:i/>
        </w:rPr>
        <w:t>Annals</w:t>
      </w:r>
      <w:r>
        <w:t xml:space="preserve"> 11.24 (see note 38 above).</w:t>
      </w:r>
    </w:p>
  </w:footnote>
  <w:footnote w:id="66">
    <w:p w14:paraId="0506C833" w14:textId="77777777" w:rsidR="00FF4D06" w:rsidRDefault="00FF4D06">
      <w:pPr>
        <w:pStyle w:val="Notedebasdepage"/>
      </w:pPr>
      <w:r>
        <w:rPr>
          <w:rStyle w:val="Marquenotebasdepage"/>
        </w:rPr>
        <w:footnoteRef/>
      </w:r>
      <w:r>
        <w:t xml:space="preserve"> For a similar position attributed to the Spartan king Agis by Plutarch, see </w:t>
      </w:r>
      <w:r w:rsidRPr="007505E3">
        <w:rPr>
          <w:i/>
        </w:rPr>
        <w:t>Life of Agis</w:t>
      </w:r>
      <w:r>
        <w:t xml:space="preserve"> 10.3.</w:t>
      </w:r>
      <w:r w:rsidR="001369CC">
        <w:t xml:space="preserve"> This point represents a major difference between the views of Philo and Josephus concerning the proselytes and those of the rabbis later on. On the importance of lineage in the rabbinic worldview and its implications for converts, see Gary G. Porton, </w:t>
      </w:r>
      <w:r w:rsidR="001369CC">
        <w:rPr>
          <w:i/>
          <w:iCs/>
        </w:rPr>
        <w:t>The Stranger Within Your Gates: Converts and Conversion in Rabbinic Literature</w:t>
      </w:r>
      <w:r w:rsidR="001369CC">
        <w:t xml:space="preserve"> (Chicago: The University of Chicago Press, 1994); Shaye Cohen, </w:t>
      </w:r>
      <w:r w:rsidR="0019589A" w:rsidRPr="002B2EB3">
        <w:rPr>
          <w:i/>
        </w:rPr>
        <w:t>The Beginnings of Jewishness</w:t>
      </w:r>
      <w:r w:rsidR="0019589A">
        <w:t>, chapter 10</w:t>
      </w:r>
      <w:r w:rsidR="001369CC">
        <w:t xml:space="preserve">; Christine E. Hayes, </w:t>
      </w:r>
      <w:r w:rsidR="001369CC">
        <w:rPr>
          <w:i/>
          <w:iCs/>
        </w:rPr>
        <w:t>Gentile Impurities and Jewish Identities: Intermarriage and Conversion from the Bible to the Talmud</w:t>
      </w:r>
      <w:r w:rsidR="001369CC">
        <w:t xml:space="preserve"> (Oxford – New York: Oxford University Press, 2002), chapter 8.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2D17" w14:textId="77777777" w:rsidR="00FF4D06" w:rsidRDefault="00FF4D06" w:rsidP="00F06F2D">
    <w:pPr>
      <w:pStyle w:val="En-tte"/>
      <w:framePr w:wrap="around" w:vAnchor="text" w:hAnchor="margin" w:xAlign="right" w:y="1"/>
      <w:rPr>
        <w:rStyle w:val="Numrodepage"/>
      </w:rPr>
    </w:pPr>
    <w:r>
      <w:rPr>
        <w:rStyle w:val="Numrodepage"/>
      </w:rPr>
      <w:fldChar w:fldCharType="begin"/>
    </w:r>
    <w:r w:rsidR="00E6769D">
      <w:rPr>
        <w:rStyle w:val="Numrodepage"/>
      </w:rPr>
      <w:instrText>PAGE</w:instrText>
    </w:r>
    <w:r>
      <w:rPr>
        <w:rStyle w:val="Numrodepage"/>
      </w:rPr>
      <w:instrText xml:space="preserve">  </w:instrText>
    </w:r>
    <w:r>
      <w:rPr>
        <w:rStyle w:val="Numrodepage"/>
      </w:rPr>
      <w:fldChar w:fldCharType="end"/>
    </w:r>
  </w:p>
  <w:p w14:paraId="34C47551" w14:textId="77777777" w:rsidR="00FF4D06" w:rsidRDefault="00FF4D06" w:rsidP="00785E86">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DAFF" w14:textId="77777777" w:rsidR="00FF4D06" w:rsidRDefault="00FF4D06" w:rsidP="00F06F2D">
    <w:pPr>
      <w:pStyle w:val="En-tte"/>
      <w:framePr w:wrap="around" w:vAnchor="text" w:hAnchor="margin" w:xAlign="right" w:y="1"/>
      <w:rPr>
        <w:rStyle w:val="Numrodepage"/>
      </w:rPr>
    </w:pPr>
    <w:r>
      <w:rPr>
        <w:rStyle w:val="Numrodepage"/>
      </w:rPr>
      <w:fldChar w:fldCharType="begin"/>
    </w:r>
    <w:r w:rsidR="00E6769D">
      <w:rPr>
        <w:rStyle w:val="Numrodepage"/>
      </w:rPr>
      <w:instrText>PAGE</w:instrText>
    </w:r>
    <w:r>
      <w:rPr>
        <w:rStyle w:val="Numrodepage"/>
      </w:rPr>
      <w:instrText xml:space="preserve">  </w:instrText>
    </w:r>
    <w:r>
      <w:rPr>
        <w:rStyle w:val="Numrodepage"/>
      </w:rPr>
      <w:fldChar w:fldCharType="separate"/>
    </w:r>
    <w:r w:rsidR="001177CE">
      <w:rPr>
        <w:rStyle w:val="Numrodepage"/>
        <w:noProof/>
      </w:rPr>
      <w:t>17</w:t>
    </w:r>
    <w:r>
      <w:rPr>
        <w:rStyle w:val="Numrodepage"/>
      </w:rPr>
      <w:fldChar w:fldCharType="end"/>
    </w:r>
  </w:p>
  <w:p w14:paraId="43CD5429" w14:textId="77777777" w:rsidR="00FF4D06" w:rsidRDefault="00FF4D06" w:rsidP="00785E86">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A48"/>
    <w:rsid w:val="00003ADE"/>
    <w:rsid w:val="000054A8"/>
    <w:rsid w:val="00010291"/>
    <w:rsid w:val="00010B78"/>
    <w:rsid w:val="00010C78"/>
    <w:rsid w:val="000118BB"/>
    <w:rsid w:val="00011F94"/>
    <w:rsid w:val="00012E2F"/>
    <w:rsid w:val="00012E30"/>
    <w:rsid w:val="00013114"/>
    <w:rsid w:val="00016DE2"/>
    <w:rsid w:val="000207E8"/>
    <w:rsid w:val="00020E7B"/>
    <w:rsid w:val="000224C3"/>
    <w:rsid w:val="00023E1A"/>
    <w:rsid w:val="00026345"/>
    <w:rsid w:val="00026949"/>
    <w:rsid w:val="00026DD8"/>
    <w:rsid w:val="00030BA7"/>
    <w:rsid w:val="000311B0"/>
    <w:rsid w:val="000315C6"/>
    <w:rsid w:val="00031B42"/>
    <w:rsid w:val="00032526"/>
    <w:rsid w:val="00032AD6"/>
    <w:rsid w:val="00034AD8"/>
    <w:rsid w:val="000357E2"/>
    <w:rsid w:val="0003677A"/>
    <w:rsid w:val="00036E55"/>
    <w:rsid w:val="00040F05"/>
    <w:rsid w:val="0004692E"/>
    <w:rsid w:val="000502BA"/>
    <w:rsid w:val="000520FA"/>
    <w:rsid w:val="00053D96"/>
    <w:rsid w:val="000562E4"/>
    <w:rsid w:val="000571EE"/>
    <w:rsid w:val="00061AAE"/>
    <w:rsid w:val="0006539D"/>
    <w:rsid w:val="000676CB"/>
    <w:rsid w:val="0007413F"/>
    <w:rsid w:val="000748BF"/>
    <w:rsid w:val="00075C33"/>
    <w:rsid w:val="00081F03"/>
    <w:rsid w:val="0008422F"/>
    <w:rsid w:val="0008609D"/>
    <w:rsid w:val="00086DC6"/>
    <w:rsid w:val="00086F34"/>
    <w:rsid w:val="00090BB5"/>
    <w:rsid w:val="0009282D"/>
    <w:rsid w:val="000939AC"/>
    <w:rsid w:val="00095FC4"/>
    <w:rsid w:val="00096F16"/>
    <w:rsid w:val="000977E5"/>
    <w:rsid w:val="000979C5"/>
    <w:rsid w:val="000A3C5C"/>
    <w:rsid w:val="000A5319"/>
    <w:rsid w:val="000A576F"/>
    <w:rsid w:val="000A6DEF"/>
    <w:rsid w:val="000A703C"/>
    <w:rsid w:val="000B3745"/>
    <w:rsid w:val="000B41C3"/>
    <w:rsid w:val="000B42BD"/>
    <w:rsid w:val="000B4BAB"/>
    <w:rsid w:val="000B5184"/>
    <w:rsid w:val="000B725F"/>
    <w:rsid w:val="000B7A84"/>
    <w:rsid w:val="000C434B"/>
    <w:rsid w:val="000D047B"/>
    <w:rsid w:val="000D1953"/>
    <w:rsid w:val="000D37AF"/>
    <w:rsid w:val="000D3DCD"/>
    <w:rsid w:val="000D4D51"/>
    <w:rsid w:val="000E2DA5"/>
    <w:rsid w:val="000E6895"/>
    <w:rsid w:val="000F1091"/>
    <w:rsid w:val="000F158E"/>
    <w:rsid w:val="000F3175"/>
    <w:rsid w:val="000F43FB"/>
    <w:rsid w:val="000F7245"/>
    <w:rsid w:val="000F74E0"/>
    <w:rsid w:val="00101004"/>
    <w:rsid w:val="001013CC"/>
    <w:rsid w:val="00104A9D"/>
    <w:rsid w:val="00106075"/>
    <w:rsid w:val="001060FC"/>
    <w:rsid w:val="00110E02"/>
    <w:rsid w:val="00112DA1"/>
    <w:rsid w:val="00113715"/>
    <w:rsid w:val="00115485"/>
    <w:rsid w:val="00115AAE"/>
    <w:rsid w:val="001170D3"/>
    <w:rsid w:val="001177CE"/>
    <w:rsid w:val="00117AAE"/>
    <w:rsid w:val="00120C96"/>
    <w:rsid w:val="0012372A"/>
    <w:rsid w:val="0012439E"/>
    <w:rsid w:val="001253BE"/>
    <w:rsid w:val="0012620F"/>
    <w:rsid w:val="0012688A"/>
    <w:rsid w:val="00130F31"/>
    <w:rsid w:val="00131E1F"/>
    <w:rsid w:val="001365E6"/>
    <w:rsid w:val="001369CC"/>
    <w:rsid w:val="00140D2A"/>
    <w:rsid w:val="00140ED9"/>
    <w:rsid w:val="0014101F"/>
    <w:rsid w:val="00143AFE"/>
    <w:rsid w:val="0014470C"/>
    <w:rsid w:val="0014498D"/>
    <w:rsid w:val="00144D6C"/>
    <w:rsid w:val="00146490"/>
    <w:rsid w:val="00146554"/>
    <w:rsid w:val="00153183"/>
    <w:rsid w:val="00153753"/>
    <w:rsid w:val="00156964"/>
    <w:rsid w:val="001570F1"/>
    <w:rsid w:val="00160305"/>
    <w:rsid w:val="0016152E"/>
    <w:rsid w:val="001638F5"/>
    <w:rsid w:val="001649B3"/>
    <w:rsid w:val="00165374"/>
    <w:rsid w:val="00171283"/>
    <w:rsid w:val="00181923"/>
    <w:rsid w:val="00183185"/>
    <w:rsid w:val="00184959"/>
    <w:rsid w:val="00187E4D"/>
    <w:rsid w:val="00190D21"/>
    <w:rsid w:val="00192A24"/>
    <w:rsid w:val="00192FB2"/>
    <w:rsid w:val="0019319A"/>
    <w:rsid w:val="00193F0E"/>
    <w:rsid w:val="00193F65"/>
    <w:rsid w:val="0019589A"/>
    <w:rsid w:val="0019673E"/>
    <w:rsid w:val="001977A5"/>
    <w:rsid w:val="001A55F8"/>
    <w:rsid w:val="001A5C08"/>
    <w:rsid w:val="001A76B1"/>
    <w:rsid w:val="001B3EE6"/>
    <w:rsid w:val="001B41BE"/>
    <w:rsid w:val="001B4236"/>
    <w:rsid w:val="001B469A"/>
    <w:rsid w:val="001B5AA5"/>
    <w:rsid w:val="001B602A"/>
    <w:rsid w:val="001B6D83"/>
    <w:rsid w:val="001C3B0B"/>
    <w:rsid w:val="001C4D01"/>
    <w:rsid w:val="001C56CA"/>
    <w:rsid w:val="001C6FB7"/>
    <w:rsid w:val="001D10B7"/>
    <w:rsid w:val="001D2019"/>
    <w:rsid w:val="001D43C3"/>
    <w:rsid w:val="001D4A78"/>
    <w:rsid w:val="001D5937"/>
    <w:rsid w:val="001D613A"/>
    <w:rsid w:val="001D69E3"/>
    <w:rsid w:val="001D77CE"/>
    <w:rsid w:val="001E27DE"/>
    <w:rsid w:val="001E2E2B"/>
    <w:rsid w:val="001E3B70"/>
    <w:rsid w:val="001E4CC5"/>
    <w:rsid w:val="001E5F84"/>
    <w:rsid w:val="001E6703"/>
    <w:rsid w:val="001E7C93"/>
    <w:rsid w:val="001F1F49"/>
    <w:rsid w:val="001F2C05"/>
    <w:rsid w:val="001F2D85"/>
    <w:rsid w:val="001F59B1"/>
    <w:rsid w:val="001F6D95"/>
    <w:rsid w:val="00200768"/>
    <w:rsid w:val="00202C1C"/>
    <w:rsid w:val="0020323D"/>
    <w:rsid w:val="00203B3D"/>
    <w:rsid w:val="00204CBF"/>
    <w:rsid w:val="00207532"/>
    <w:rsid w:val="00212043"/>
    <w:rsid w:val="00214DCA"/>
    <w:rsid w:val="00216481"/>
    <w:rsid w:val="00217FE9"/>
    <w:rsid w:val="00220E29"/>
    <w:rsid w:val="002213E9"/>
    <w:rsid w:val="00221A1E"/>
    <w:rsid w:val="002230D8"/>
    <w:rsid w:val="002259CD"/>
    <w:rsid w:val="00230BEA"/>
    <w:rsid w:val="0023369B"/>
    <w:rsid w:val="00233E1B"/>
    <w:rsid w:val="00235B2C"/>
    <w:rsid w:val="00235C6D"/>
    <w:rsid w:val="00242AF7"/>
    <w:rsid w:val="00242B44"/>
    <w:rsid w:val="00244338"/>
    <w:rsid w:val="00247EEB"/>
    <w:rsid w:val="00252049"/>
    <w:rsid w:val="00253192"/>
    <w:rsid w:val="0025570F"/>
    <w:rsid w:val="0025720F"/>
    <w:rsid w:val="00257B60"/>
    <w:rsid w:val="0026023F"/>
    <w:rsid w:val="00262806"/>
    <w:rsid w:val="00264FB6"/>
    <w:rsid w:val="002721E8"/>
    <w:rsid w:val="0027250A"/>
    <w:rsid w:val="00272BC2"/>
    <w:rsid w:val="0027469D"/>
    <w:rsid w:val="00277350"/>
    <w:rsid w:val="00280DC1"/>
    <w:rsid w:val="0028103E"/>
    <w:rsid w:val="00281231"/>
    <w:rsid w:val="0028135C"/>
    <w:rsid w:val="00281731"/>
    <w:rsid w:val="00282395"/>
    <w:rsid w:val="00282482"/>
    <w:rsid w:val="00282FD4"/>
    <w:rsid w:val="00284D48"/>
    <w:rsid w:val="00287902"/>
    <w:rsid w:val="00290360"/>
    <w:rsid w:val="00291191"/>
    <w:rsid w:val="00291879"/>
    <w:rsid w:val="00294DAC"/>
    <w:rsid w:val="002A0E15"/>
    <w:rsid w:val="002A2A56"/>
    <w:rsid w:val="002A2E2A"/>
    <w:rsid w:val="002A3895"/>
    <w:rsid w:val="002A4D92"/>
    <w:rsid w:val="002A4F99"/>
    <w:rsid w:val="002A5B63"/>
    <w:rsid w:val="002A69AD"/>
    <w:rsid w:val="002A6CDF"/>
    <w:rsid w:val="002A72B3"/>
    <w:rsid w:val="002A7853"/>
    <w:rsid w:val="002B1ED3"/>
    <w:rsid w:val="002B20DB"/>
    <w:rsid w:val="002B2EB3"/>
    <w:rsid w:val="002B3781"/>
    <w:rsid w:val="002B4E74"/>
    <w:rsid w:val="002B5082"/>
    <w:rsid w:val="002B7FB5"/>
    <w:rsid w:val="002C082B"/>
    <w:rsid w:val="002C17B8"/>
    <w:rsid w:val="002C3230"/>
    <w:rsid w:val="002C3B50"/>
    <w:rsid w:val="002C70ED"/>
    <w:rsid w:val="002D0018"/>
    <w:rsid w:val="002D01FA"/>
    <w:rsid w:val="002D17BA"/>
    <w:rsid w:val="002D225C"/>
    <w:rsid w:val="002D26D8"/>
    <w:rsid w:val="002D26E7"/>
    <w:rsid w:val="002D3AEC"/>
    <w:rsid w:val="002D4549"/>
    <w:rsid w:val="002D5BB0"/>
    <w:rsid w:val="002D76BD"/>
    <w:rsid w:val="002E1F17"/>
    <w:rsid w:val="002E48BD"/>
    <w:rsid w:val="002E57AA"/>
    <w:rsid w:val="002E7148"/>
    <w:rsid w:val="002F02AD"/>
    <w:rsid w:val="002F0E89"/>
    <w:rsid w:val="002F1C95"/>
    <w:rsid w:val="002F2266"/>
    <w:rsid w:val="002F296D"/>
    <w:rsid w:val="002F39C8"/>
    <w:rsid w:val="002F4454"/>
    <w:rsid w:val="002F49C8"/>
    <w:rsid w:val="002F685C"/>
    <w:rsid w:val="002F7FD5"/>
    <w:rsid w:val="003011BB"/>
    <w:rsid w:val="00303959"/>
    <w:rsid w:val="003057EC"/>
    <w:rsid w:val="00307D11"/>
    <w:rsid w:val="00315B7A"/>
    <w:rsid w:val="00320B37"/>
    <w:rsid w:val="00321C01"/>
    <w:rsid w:val="003223F5"/>
    <w:rsid w:val="00323176"/>
    <w:rsid w:val="00323C17"/>
    <w:rsid w:val="00327812"/>
    <w:rsid w:val="0033156B"/>
    <w:rsid w:val="00331EE2"/>
    <w:rsid w:val="003364A2"/>
    <w:rsid w:val="003365D5"/>
    <w:rsid w:val="00342BFE"/>
    <w:rsid w:val="00345870"/>
    <w:rsid w:val="003463A6"/>
    <w:rsid w:val="00347E7F"/>
    <w:rsid w:val="00350B4B"/>
    <w:rsid w:val="00356611"/>
    <w:rsid w:val="00356FB0"/>
    <w:rsid w:val="00363DF8"/>
    <w:rsid w:val="003662CD"/>
    <w:rsid w:val="00370265"/>
    <w:rsid w:val="00372D1C"/>
    <w:rsid w:val="00373E18"/>
    <w:rsid w:val="003748E2"/>
    <w:rsid w:val="0037572E"/>
    <w:rsid w:val="003766E2"/>
    <w:rsid w:val="00376B3B"/>
    <w:rsid w:val="00377EE1"/>
    <w:rsid w:val="00377F55"/>
    <w:rsid w:val="0038110E"/>
    <w:rsid w:val="00382443"/>
    <w:rsid w:val="00383C55"/>
    <w:rsid w:val="00391D0D"/>
    <w:rsid w:val="00391E89"/>
    <w:rsid w:val="00391FE4"/>
    <w:rsid w:val="00392B04"/>
    <w:rsid w:val="00392C07"/>
    <w:rsid w:val="00392DC2"/>
    <w:rsid w:val="003A28C7"/>
    <w:rsid w:val="003A2A3E"/>
    <w:rsid w:val="003A3333"/>
    <w:rsid w:val="003A37BD"/>
    <w:rsid w:val="003A6B95"/>
    <w:rsid w:val="003B4DBF"/>
    <w:rsid w:val="003B7D31"/>
    <w:rsid w:val="003C0304"/>
    <w:rsid w:val="003C0752"/>
    <w:rsid w:val="003C0C03"/>
    <w:rsid w:val="003C0DA5"/>
    <w:rsid w:val="003C3042"/>
    <w:rsid w:val="003C31F0"/>
    <w:rsid w:val="003C3950"/>
    <w:rsid w:val="003C57AD"/>
    <w:rsid w:val="003C6A03"/>
    <w:rsid w:val="003C7F0C"/>
    <w:rsid w:val="003D1390"/>
    <w:rsid w:val="003D1CA5"/>
    <w:rsid w:val="003D27DB"/>
    <w:rsid w:val="003D32E7"/>
    <w:rsid w:val="003D5967"/>
    <w:rsid w:val="003E01B7"/>
    <w:rsid w:val="003E03E4"/>
    <w:rsid w:val="003E31CC"/>
    <w:rsid w:val="003E3977"/>
    <w:rsid w:val="003E3CB4"/>
    <w:rsid w:val="003E7A56"/>
    <w:rsid w:val="003F05BF"/>
    <w:rsid w:val="003F2C31"/>
    <w:rsid w:val="003F4934"/>
    <w:rsid w:val="003F4B86"/>
    <w:rsid w:val="003F6F70"/>
    <w:rsid w:val="00400E0F"/>
    <w:rsid w:val="00401A1F"/>
    <w:rsid w:val="00403F42"/>
    <w:rsid w:val="00404BCB"/>
    <w:rsid w:val="0040679D"/>
    <w:rsid w:val="00413D88"/>
    <w:rsid w:val="00414335"/>
    <w:rsid w:val="0041556F"/>
    <w:rsid w:val="004242AE"/>
    <w:rsid w:val="00427230"/>
    <w:rsid w:val="0043145B"/>
    <w:rsid w:val="00432320"/>
    <w:rsid w:val="0043256A"/>
    <w:rsid w:val="00434E96"/>
    <w:rsid w:val="0044050D"/>
    <w:rsid w:val="004413E9"/>
    <w:rsid w:val="00441BFD"/>
    <w:rsid w:val="0044314B"/>
    <w:rsid w:val="00447BFC"/>
    <w:rsid w:val="00450C5F"/>
    <w:rsid w:val="00451B60"/>
    <w:rsid w:val="00453F85"/>
    <w:rsid w:val="00454BB6"/>
    <w:rsid w:val="00456D53"/>
    <w:rsid w:val="00460A97"/>
    <w:rsid w:val="00461C60"/>
    <w:rsid w:val="0046555C"/>
    <w:rsid w:val="004658BC"/>
    <w:rsid w:val="00467249"/>
    <w:rsid w:val="004678C4"/>
    <w:rsid w:val="00470991"/>
    <w:rsid w:val="00472FED"/>
    <w:rsid w:val="004737E2"/>
    <w:rsid w:val="00474042"/>
    <w:rsid w:val="0047474F"/>
    <w:rsid w:val="00475C3E"/>
    <w:rsid w:val="0047706A"/>
    <w:rsid w:val="00477383"/>
    <w:rsid w:val="00477AF7"/>
    <w:rsid w:val="00477FC6"/>
    <w:rsid w:val="004800E8"/>
    <w:rsid w:val="00481249"/>
    <w:rsid w:val="00482BED"/>
    <w:rsid w:val="00482E51"/>
    <w:rsid w:val="0048733D"/>
    <w:rsid w:val="00487B23"/>
    <w:rsid w:val="00490CD3"/>
    <w:rsid w:val="00490E24"/>
    <w:rsid w:val="00491222"/>
    <w:rsid w:val="0049773E"/>
    <w:rsid w:val="004A0521"/>
    <w:rsid w:val="004A05C6"/>
    <w:rsid w:val="004A20D5"/>
    <w:rsid w:val="004A5DCB"/>
    <w:rsid w:val="004A6C0D"/>
    <w:rsid w:val="004A79DB"/>
    <w:rsid w:val="004B0D0D"/>
    <w:rsid w:val="004B29B4"/>
    <w:rsid w:val="004B319F"/>
    <w:rsid w:val="004B4E5F"/>
    <w:rsid w:val="004C0812"/>
    <w:rsid w:val="004C1B46"/>
    <w:rsid w:val="004C1D0D"/>
    <w:rsid w:val="004C37AE"/>
    <w:rsid w:val="004C6122"/>
    <w:rsid w:val="004C63FB"/>
    <w:rsid w:val="004D17A6"/>
    <w:rsid w:val="004D1963"/>
    <w:rsid w:val="004D2518"/>
    <w:rsid w:val="004D2A82"/>
    <w:rsid w:val="004D3774"/>
    <w:rsid w:val="004D4790"/>
    <w:rsid w:val="004D5C52"/>
    <w:rsid w:val="004E1364"/>
    <w:rsid w:val="004E2FB3"/>
    <w:rsid w:val="004E5E2C"/>
    <w:rsid w:val="004E6D76"/>
    <w:rsid w:val="004F005C"/>
    <w:rsid w:val="004F2EED"/>
    <w:rsid w:val="004F5FF4"/>
    <w:rsid w:val="004F6B91"/>
    <w:rsid w:val="004F7EC0"/>
    <w:rsid w:val="0050115F"/>
    <w:rsid w:val="00501B83"/>
    <w:rsid w:val="00501BB5"/>
    <w:rsid w:val="00501FCA"/>
    <w:rsid w:val="005020BC"/>
    <w:rsid w:val="005034FD"/>
    <w:rsid w:val="00505623"/>
    <w:rsid w:val="005076F5"/>
    <w:rsid w:val="00507DA0"/>
    <w:rsid w:val="00510457"/>
    <w:rsid w:val="00511F84"/>
    <w:rsid w:val="005131E7"/>
    <w:rsid w:val="0051643D"/>
    <w:rsid w:val="00520504"/>
    <w:rsid w:val="005215DD"/>
    <w:rsid w:val="005345E2"/>
    <w:rsid w:val="00534BC7"/>
    <w:rsid w:val="00536086"/>
    <w:rsid w:val="00537808"/>
    <w:rsid w:val="00540284"/>
    <w:rsid w:val="00542D1D"/>
    <w:rsid w:val="005434E8"/>
    <w:rsid w:val="00543E49"/>
    <w:rsid w:val="00551300"/>
    <w:rsid w:val="00553EF0"/>
    <w:rsid w:val="00554EB1"/>
    <w:rsid w:val="00564EA4"/>
    <w:rsid w:val="005659BA"/>
    <w:rsid w:val="00567157"/>
    <w:rsid w:val="00572590"/>
    <w:rsid w:val="005741E0"/>
    <w:rsid w:val="005741FD"/>
    <w:rsid w:val="005749B7"/>
    <w:rsid w:val="00574CA1"/>
    <w:rsid w:val="005763EF"/>
    <w:rsid w:val="00580F7E"/>
    <w:rsid w:val="0058105B"/>
    <w:rsid w:val="005825CD"/>
    <w:rsid w:val="005827FB"/>
    <w:rsid w:val="00582DEB"/>
    <w:rsid w:val="0058315E"/>
    <w:rsid w:val="00584627"/>
    <w:rsid w:val="00593532"/>
    <w:rsid w:val="00594748"/>
    <w:rsid w:val="00594757"/>
    <w:rsid w:val="0059556B"/>
    <w:rsid w:val="00595600"/>
    <w:rsid w:val="005A0899"/>
    <w:rsid w:val="005A1CC9"/>
    <w:rsid w:val="005A26A8"/>
    <w:rsid w:val="005A2D3F"/>
    <w:rsid w:val="005A5E4D"/>
    <w:rsid w:val="005B0DAB"/>
    <w:rsid w:val="005B1C53"/>
    <w:rsid w:val="005B410B"/>
    <w:rsid w:val="005B5670"/>
    <w:rsid w:val="005B5AF5"/>
    <w:rsid w:val="005C0641"/>
    <w:rsid w:val="005C10DB"/>
    <w:rsid w:val="005C1CCB"/>
    <w:rsid w:val="005C222A"/>
    <w:rsid w:val="005C2B0C"/>
    <w:rsid w:val="005C32DB"/>
    <w:rsid w:val="005C4DD8"/>
    <w:rsid w:val="005C7AB4"/>
    <w:rsid w:val="005C7D86"/>
    <w:rsid w:val="005D2BAE"/>
    <w:rsid w:val="005D3BB3"/>
    <w:rsid w:val="005D460D"/>
    <w:rsid w:val="005E0AAC"/>
    <w:rsid w:val="005E2074"/>
    <w:rsid w:val="005E3F88"/>
    <w:rsid w:val="005E59A0"/>
    <w:rsid w:val="005E5BB0"/>
    <w:rsid w:val="005E6E13"/>
    <w:rsid w:val="005E77FB"/>
    <w:rsid w:val="005E79C6"/>
    <w:rsid w:val="005F0061"/>
    <w:rsid w:val="005F00E4"/>
    <w:rsid w:val="005F0629"/>
    <w:rsid w:val="005F4FE2"/>
    <w:rsid w:val="005F6D85"/>
    <w:rsid w:val="005F7EC0"/>
    <w:rsid w:val="00601C23"/>
    <w:rsid w:val="0060574F"/>
    <w:rsid w:val="006072CA"/>
    <w:rsid w:val="0061063D"/>
    <w:rsid w:val="00612915"/>
    <w:rsid w:val="006142F3"/>
    <w:rsid w:val="00614A07"/>
    <w:rsid w:val="00620951"/>
    <w:rsid w:val="0062098E"/>
    <w:rsid w:val="006214CD"/>
    <w:rsid w:val="0062275D"/>
    <w:rsid w:val="00622867"/>
    <w:rsid w:val="00623FDE"/>
    <w:rsid w:val="006250A7"/>
    <w:rsid w:val="00625A6A"/>
    <w:rsid w:val="00625CEF"/>
    <w:rsid w:val="006265CC"/>
    <w:rsid w:val="00627008"/>
    <w:rsid w:val="0063133A"/>
    <w:rsid w:val="0063447D"/>
    <w:rsid w:val="00634B41"/>
    <w:rsid w:val="00636FE5"/>
    <w:rsid w:val="00637343"/>
    <w:rsid w:val="00643AE2"/>
    <w:rsid w:val="00644FD4"/>
    <w:rsid w:val="006477B0"/>
    <w:rsid w:val="00647F3F"/>
    <w:rsid w:val="00650F96"/>
    <w:rsid w:val="00651F34"/>
    <w:rsid w:val="00652B93"/>
    <w:rsid w:val="00654108"/>
    <w:rsid w:val="00654DFB"/>
    <w:rsid w:val="0066063D"/>
    <w:rsid w:val="00662CAD"/>
    <w:rsid w:val="00664E41"/>
    <w:rsid w:val="006650D3"/>
    <w:rsid w:val="006657FB"/>
    <w:rsid w:val="00666451"/>
    <w:rsid w:val="00666CBA"/>
    <w:rsid w:val="0066711D"/>
    <w:rsid w:val="00671638"/>
    <w:rsid w:val="00672634"/>
    <w:rsid w:val="00672A0C"/>
    <w:rsid w:val="006767AE"/>
    <w:rsid w:val="00676C39"/>
    <w:rsid w:val="00676F82"/>
    <w:rsid w:val="00677C55"/>
    <w:rsid w:val="00681303"/>
    <w:rsid w:val="006820BC"/>
    <w:rsid w:val="00683776"/>
    <w:rsid w:val="00683E5C"/>
    <w:rsid w:val="00685D22"/>
    <w:rsid w:val="00686BA0"/>
    <w:rsid w:val="00686EBE"/>
    <w:rsid w:val="00690D82"/>
    <w:rsid w:val="00694F69"/>
    <w:rsid w:val="00696209"/>
    <w:rsid w:val="006A447B"/>
    <w:rsid w:val="006A69C4"/>
    <w:rsid w:val="006B21EE"/>
    <w:rsid w:val="006B2B3E"/>
    <w:rsid w:val="006B4F64"/>
    <w:rsid w:val="006C228D"/>
    <w:rsid w:val="006C2E6D"/>
    <w:rsid w:val="006C4E53"/>
    <w:rsid w:val="006C767E"/>
    <w:rsid w:val="006D2307"/>
    <w:rsid w:val="006D4365"/>
    <w:rsid w:val="006D6566"/>
    <w:rsid w:val="006E272F"/>
    <w:rsid w:val="006E2FCF"/>
    <w:rsid w:val="006E308F"/>
    <w:rsid w:val="006E3951"/>
    <w:rsid w:val="006E5019"/>
    <w:rsid w:val="006F0A25"/>
    <w:rsid w:val="006F0F1E"/>
    <w:rsid w:val="006F1353"/>
    <w:rsid w:val="006F321B"/>
    <w:rsid w:val="006F3895"/>
    <w:rsid w:val="006F4A5C"/>
    <w:rsid w:val="006F5A1A"/>
    <w:rsid w:val="006F5FF2"/>
    <w:rsid w:val="007002EF"/>
    <w:rsid w:val="007018AA"/>
    <w:rsid w:val="0070320D"/>
    <w:rsid w:val="00703E6A"/>
    <w:rsid w:val="007051D1"/>
    <w:rsid w:val="007123C9"/>
    <w:rsid w:val="007127AE"/>
    <w:rsid w:val="0071320F"/>
    <w:rsid w:val="0071431F"/>
    <w:rsid w:val="00714D86"/>
    <w:rsid w:val="00720667"/>
    <w:rsid w:val="00720DF5"/>
    <w:rsid w:val="0072172A"/>
    <w:rsid w:val="00722B6D"/>
    <w:rsid w:val="00725D0D"/>
    <w:rsid w:val="00727209"/>
    <w:rsid w:val="00730E38"/>
    <w:rsid w:val="00731B80"/>
    <w:rsid w:val="00731FDF"/>
    <w:rsid w:val="00734E0D"/>
    <w:rsid w:val="00735643"/>
    <w:rsid w:val="007358D9"/>
    <w:rsid w:val="00735A4D"/>
    <w:rsid w:val="0073698C"/>
    <w:rsid w:val="00736B51"/>
    <w:rsid w:val="007400B0"/>
    <w:rsid w:val="00743900"/>
    <w:rsid w:val="00746744"/>
    <w:rsid w:val="007505E3"/>
    <w:rsid w:val="0075122E"/>
    <w:rsid w:val="007518BB"/>
    <w:rsid w:val="007521F8"/>
    <w:rsid w:val="007576A8"/>
    <w:rsid w:val="007621DF"/>
    <w:rsid w:val="00763769"/>
    <w:rsid w:val="00764E5A"/>
    <w:rsid w:val="00764EE0"/>
    <w:rsid w:val="00765300"/>
    <w:rsid w:val="007654C0"/>
    <w:rsid w:val="0077276B"/>
    <w:rsid w:val="00772D27"/>
    <w:rsid w:val="007734BB"/>
    <w:rsid w:val="00774A03"/>
    <w:rsid w:val="00774DF7"/>
    <w:rsid w:val="00775062"/>
    <w:rsid w:val="00775825"/>
    <w:rsid w:val="007809A8"/>
    <w:rsid w:val="00781481"/>
    <w:rsid w:val="00781B82"/>
    <w:rsid w:val="0078263F"/>
    <w:rsid w:val="00783998"/>
    <w:rsid w:val="00785D60"/>
    <w:rsid w:val="00785E86"/>
    <w:rsid w:val="007879C6"/>
    <w:rsid w:val="00790A2E"/>
    <w:rsid w:val="00794969"/>
    <w:rsid w:val="00795F29"/>
    <w:rsid w:val="007A051D"/>
    <w:rsid w:val="007A07AE"/>
    <w:rsid w:val="007A18F7"/>
    <w:rsid w:val="007A293A"/>
    <w:rsid w:val="007A3CCA"/>
    <w:rsid w:val="007A42EA"/>
    <w:rsid w:val="007A6942"/>
    <w:rsid w:val="007B01D5"/>
    <w:rsid w:val="007B1484"/>
    <w:rsid w:val="007B1CF8"/>
    <w:rsid w:val="007B2C48"/>
    <w:rsid w:val="007B3FB4"/>
    <w:rsid w:val="007B5B8E"/>
    <w:rsid w:val="007B5C88"/>
    <w:rsid w:val="007B6AF3"/>
    <w:rsid w:val="007C1143"/>
    <w:rsid w:val="007C1806"/>
    <w:rsid w:val="007C4224"/>
    <w:rsid w:val="007C7C25"/>
    <w:rsid w:val="007C7D0A"/>
    <w:rsid w:val="007D067D"/>
    <w:rsid w:val="007D0E63"/>
    <w:rsid w:val="007D3C29"/>
    <w:rsid w:val="007D7481"/>
    <w:rsid w:val="007E0448"/>
    <w:rsid w:val="007E10DD"/>
    <w:rsid w:val="007E1451"/>
    <w:rsid w:val="007E46F5"/>
    <w:rsid w:val="007E7CF9"/>
    <w:rsid w:val="007F0B95"/>
    <w:rsid w:val="007F0F56"/>
    <w:rsid w:val="007F2193"/>
    <w:rsid w:val="007F2E58"/>
    <w:rsid w:val="007F3C65"/>
    <w:rsid w:val="007F4844"/>
    <w:rsid w:val="007F6AA4"/>
    <w:rsid w:val="007F6C7C"/>
    <w:rsid w:val="007F7635"/>
    <w:rsid w:val="00800817"/>
    <w:rsid w:val="00801870"/>
    <w:rsid w:val="00804C0A"/>
    <w:rsid w:val="008052A2"/>
    <w:rsid w:val="00807A8C"/>
    <w:rsid w:val="00811912"/>
    <w:rsid w:val="0081219F"/>
    <w:rsid w:val="00812470"/>
    <w:rsid w:val="00812A99"/>
    <w:rsid w:val="0081365E"/>
    <w:rsid w:val="00814C3B"/>
    <w:rsid w:val="008163E3"/>
    <w:rsid w:val="00816E9F"/>
    <w:rsid w:val="00817C61"/>
    <w:rsid w:val="00820A8C"/>
    <w:rsid w:val="00821A77"/>
    <w:rsid w:val="008236A7"/>
    <w:rsid w:val="0082420B"/>
    <w:rsid w:val="00824B81"/>
    <w:rsid w:val="00824C4D"/>
    <w:rsid w:val="00825FED"/>
    <w:rsid w:val="008268B3"/>
    <w:rsid w:val="00831367"/>
    <w:rsid w:val="00831EB7"/>
    <w:rsid w:val="00834028"/>
    <w:rsid w:val="008361C7"/>
    <w:rsid w:val="008362F4"/>
    <w:rsid w:val="00836CD3"/>
    <w:rsid w:val="00837442"/>
    <w:rsid w:val="00841C99"/>
    <w:rsid w:val="00843595"/>
    <w:rsid w:val="00844049"/>
    <w:rsid w:val="0084536C"/>
    <w:rsid w:val="00845816"/>
    <w:rsid w:val="00846007"/>
    <w:rsid w:val="00846C8B"/>
    <w:rsid w:val="008509B5"/>
    <w:rsid w:val="0085107F"/>
    <w:rsid w:val="0085371C"/>
    <w:rsid w:val="008543D6"/>
    <w:rsid w:val="00855EDD"/>
    <w:rsid w:val="00856D56"/>
    <w:rsid w:val="00862C63"/>
    <w:rsid w:val="00863FE3"/>
    <w:rsid w:val="00864A04"/>
    <w:rsid w:val="00867048"/>
    <w:rsid w:val="008718A6"/>
    <w:rsid w:val="00872A13"/>
    <w:rsid w:val="00873AE7"/>
    <w:rsid w:val="008740ED"/>
    <w:rsid w:val="008745CC"/>
    <w:rsid w:val="008756F8"/>
    <w:rsid w:val="0087579A"/>
    <w:rsid w:val="00881ADA"/>
    <w:rsid w:val="008910E5"/>
    <w:rsid w:val="008956BD"/>
    <w:rsid w:val="008968FA"/>
    <w:rsid w:val="00897C34"/>
    <w:rsid w:val="00897E05"/>
    <w:rsid w:val="008A01AF"/>
    <w:rsid w:val="008A09A2"/>
    <w:rsid w:val="008A2FC8"/>
    <w:rsid w:val="008A32D0"/>
    <w:rsid w:val="008A378E"/>
    <w:rsid w:val="008B2B31"/>
    <w:rsid w:val="008B319D"/>
    <w:rsid w:val="008B5AB1"/>
    <w:rsid w:val="008B7630"/>
    <w:rsid w:val="008B7D25"/>
    <w:rsid w:val="008C024F"/>
    <w:rsid w:val="008C3540"/>
    <w:rsid w:val="008D0FCA"/>
    <w:rsid w:val="008D1BCB"/>
    <w:rsid w:val="008D6625"/>
    <w:rsid w:val="008D6D37"/>
    <w:rsid w:val="008D7534"/>
    <w:rsid w:val="008D7F36"/>
    <w:rsid w:val="008E6608"/>
    <w:rsid w:val="008F257C"/>
    <w:rsid w:val="008F51E6"/>
    <w:rsid w:val="008F6867"/>
    <w:rsid w:val="008F7A48"/>
    <w:rsid w:val="008F7D95"/>
    <w:rsid w:val="008F7FE0"/>
    <w:rsid w:val="009008CA"/>
    <w:rsid w:val="00900CDE"/>
    <w:rsid w:val="009019DE"/>
    <w:rsid w:val="009022E5"/>
    <w:rsid w:val="009023FE"/>
    <w:rsid w:val="00902FD5"/>
    <w:rsid w:val="00906212"/>
    <w:rsid w:val="0091652E"/>
    <w:rsid w:val="00920BA4"/>
    <w:rsid w:val="00921F8B"/>
    <w:rsid w:val="00924520"/>
    <w:rsid w:val="00925094"/>
    <w:rsid w:val="00925846"/>
    <w:rsid w:val="0092684A"/>
    <w:rsid w:val="009269C9"/>
    <w:rsid w:val="0093685D"/>
    <w:rsid w:val="00936E6A"/>
    <w:rsid w:val="0094061B"/>
    <w:rsid w:val="009406B4"/>
    <w:rsid w:val="00943549"/>
    <w:rsid w:val="00944CFB"/>
    <w:rsid w:val="00945721"/>
    <w:rsid w:val="00946A53"/>
    <w:rsid w:val="00951134"/>
    <w:rsid w:val="00951E95"/>
    <w:rsid w:val="009532DE"/>
    <w:rsid w:val="00953EF5"/>
    <w:rsid w:val="009560B9"/>
    <w:rsid w:val="009605BA"/>
    <w:rsid w:val="0096163A"/>
    <w:rsid w:val="00961D76"/>
    <w:rsid w:val="00964341"/>
    <w:rsid w:val="00964419"/>
    <w:rsid w:val="00970816"/>
    <w:rsid w:val="00972222"/>
    <w:rsid w:val="0097263B"/>
    <w:rsid w:val="00975359"/>
    <w:rsid w:val="00975AA0"/>
    <w:rsid w:val="00976B56"/>
    <w:rsid w:val="00984406"/>
    <w:rsid w:val="00984CFA"/>
    <w:rsid w:val="0098572F"/>
    <w:rsid w:val="009903C6"/>
    <w:rsid w:val="0099127E"/>
    <w:rsid w:val="009954CB"/>
    <w:rsid w:val="00995ECD"/>
    <w:rsid w:val="00997724"/>
    <w:rsid w:val="009A0C88"/>
    <w:rsid w:val="009A1EE8"/>
    <w:rsid w:val="009A3D1F"/>
    <w:rsid w:val="009A53D9"/>
    <w:rsid w:val="009A568E"/>
    <w:rsid w:val="009A6AAD"/>
    <w:rsid w:val="009A7AA7"/>
    <w:rsid w:val="009B0FFE"/>
    <w:rsid w:val="009B41B1"/>
    <w:rsid w:val="009B509D"/>
    <w:rsid w:val="009B5F3F"/>
    <w:rsid w:val="009B6B16"/>
    <w:rsid w:val="009B6EB2"/>
    <w:rsid w:val="009B6FE1"/>
    <w:rsid w:val="009C3FA4"/>
    <w:rsid w:val="009C4CB9"/>
    <w:rsid w:val="009C6817"/>
    <w:rsid w:val="009C6EB6"/>
    <w:rsid w:val="009D0341"/>
    <w:rsid w:val="009D57AA"/>
    <w:rsid w:val="009E641D"/>
    <w:rsid w:val="009E6B76"/>
    <w:rsid w:val="009E773F"/>
    <w:rsid w:val="009E79CA"/>
    <w:rsid w:val="009F089E"/>
    <w:rsid w:val="009F1673"/>
    <w:rsid w:val="009F38A5"/>
    <w:rsid w:val="009F40D1"/>
    <w:rsid w:val="009F54BD"/>
    <w:rsid w:val="009F5976"/>
    <w:rsid w:val="009F68E8"/>
    <w:rsid w:val="009F700E"/>
    <w:rsid w:val="009F77C1"/>
    <w:rsid w:val="00A031E3"/>
    <w:rsid w:val="00A038CF"/>
    <w:rsid w:val="00A04362"/>
    <w:rsid w:val="00A04375"/>
    <w:rsid w:val="00A04A73"/>
    <w:rsid w:val="00A0621E"/>
    <w:rsid w:val="00A06FAF"/>
    <w:rsid w:val="00A10E5E"/>
    <w:rsid w:val="00A1230F"/>
    <w:rsid w:val="00A160CD"/>
    <w:rsid w:val="00A23654"/>
    <w:rsid w:val="00A23AC0"/>
    <w:rsid w:val="00A24E69"/>
    <w:rsid w:val="00A3036C"/>
    <w:rsid w:val="00A323EE"/>
    <w:rsid w:val="00A34DA2"/>
    <w:rsid w:val="00A3533F"/>
    <w:rsid w:val="00A37881"/>
    <w:rsid w:val="00A37905"/>
    <w:rsid w:val="00A40631"/>
    <w:rsid w:val="00A40644"/>
    <w:rsid w:val="00A40904"/>
    <w:rsid w:val="00A41561"/>
    <w:rsid w:val="00A425D0"/>
    <w:rsid w:val="00A43F30"/>
    <w:rsid w:val="00A44114"/>
    <w:rsid w:val="00A46D97"/>
    <w:rsid w:val="00A50EC6"/>
    <w:rsid w:val="00A51441"/>
    <w:rsid w:val="00A52349"/>
    <w:rsid w:val="00A53555"/>
    <w:rsid w:val="00A55637"/>
    <w:rsid w:val="00A63000"/>
    <w:rsid w:val="00A63640"/>
    <w:rsid w:val="00A65696"/>
    <w:rsid w:val="00A65B96"/>
    <w:rsid w:val="00A70AB8"/>
    <w:rsid w:val="00A70C34"/>
    <w:rsid w:val="00A72B08"/>
    <w:rsid w:val="00A73685"/>
    <w:rsid w:val="00A77216"/>
    <w:rsid w:val="00A77347"/>
    <w:rsid w:val="00A80374"/>
    <w:rsid w:val="00A80F8E"/>
    <w:rsid w:val="00A83179"/>
    <w:rsid w:val="00A83377"/>
    <w:rsid w:val="00A833DD"/>
    <w:rsid w:val="00A864EA"/>
    <w:rsid w:val="00A87AE4"/>
    <w:rsid w:val="00A90DDB"/>
    <w:rsid w:val="00A92CED"/>
    <w:rsid w:val="00A96D1A"/>
    <w:rsid w:val="00A97B52"/>
    <w:rsid w:val="00AA59E0"/>
    <w:rsid w:val="00AA6951"/>
    <w:rsid w:val="00AA6966"/>
    <w:rsid w:val="00AA7457"/>
    <w:rsid w:val="00AB1033"/>
    <w:rsid w:val="00AB1959"/>
    <w:rsid w:val="00AB2425"/>
    <w:rsid w:val="00AB37D1"/>
    <w:rsid w:val="00AB406E"/>
    <w:rsid w:val="00AB5820"/>
    <w:rsid w:val="00AB77D9"/>
    <w:rsid w:val="00AB7F87"/>
    <w:rsid w:val="00AC04E7"/>
    <w:rsid w:val="00AC25DA"/>
    <w:rsid w:val="00AC26E2"/>
    <w:rsid w:val="00AC3C43"/>
    <w:rsid w:val="00AC4A0D"/>
    <w:rsid w:val="00AC54E9"/>
    <w:rsid w:val="00AD07AD"/>
    <w:rsid w:val="00AD145E"/>
    <w:rsid w:val="00AD3193"/>
    <w:rsid w:val="00AD34AB"/>
    <w:rsid w:val="00AD49EA"/>
    <w:rsid w:val="00AE027D"/>
    <w:rsid w:val="00AE224F"/>
    <w:rsid w:val="00AE4166"/>
    <w:rsid w:val="00AE444E"/>
    <w:rsid w:val="00AE512C"/>
    <w:rsid w:val="00AE66EE"/>
    <w:rsid w:val="00AE6CDC"/>
    <w:rsid w:val="00AE71C6"/>
    <w:rsid w:val="00AF025F"/>
    <w:rsid w:val="00AF272A"/>
    <w:rsid w:val="00AF5BD3"/>
    <w:rsid w:val="00AF60B6"/>
    <w:rsid w:val="00AF6436"/>
    <w:rsid w:val="00B02F8B"/>
    <w:rsid w:val="00B05E64"/>
    <w:rsid w:val="00B06E70"/>
    <w:rsid w:val="00B07F0E"/>
    <w:rsid w:val="00B105A2"/>
    <w:rsid w:val="00B11815"/>
    <w:rsid w:val="00B13774"/>
    <w:rsid w:val="00B16534"/>
    <w:rsid w:val="00B16E62"/>
    <w:rsid w:val="00B1709E"/>
    <w:rsid w:val="00B221F8"/>
    <w:rsid w:val="00B23576"/>
    <w:rsid w:val="00B255E8"/>
    <w:rsid w:val="00B25F8D"/>
    <w:rsid w:val="00B277B2"/>
    <w:rsid w:val="00B27CC2"/>
    <w:rsid w:val="00B305A0"/>
    <w:rsid w:val="00B3091F"/>
    <w:rsid w:val="00B30F35"/>
    <w:rsid w:val="00B33EAD"/>
    <w:rsid w:val="00B34740"/>
    <w:rsid w:val="00B34ED7"/>
    <w:rsid w:val="00B35B78"/>
    <w:rsid w:val="00B35D15"/>
    <w:rsid w:val="00B37DF3"/>
    <w:rsid w:val="00B4010A"/>
    <w:rsid w:val="00B41C99"/>
    <w:rsid w:val="00B42769"/>
    <w:rsid w:val="00B4396C"/>
    <w:rsid w:val="00B442F7"/>
    <w:rsid w:val="00B443E3"/>
    <w:rsid w:val="00B44C26"/>
    <w:rsid w:val="00B46F70"/>
    <w:rsid w:val="00B47B1B"/>
    <w:rsid w:val="00B5022A"/>
    <w:rsid w:val="00B50931"/>
    <w:rsid w:val="00B51111"/>
    <w:rsid w:val="00B5398E"/>
    <w:rsid w:val="00B57077"/>
    <w:rsid w:val="00B579F3"/>
    <w:rsid w:val="00B61C73"/>
    <w:rsid w:val="00B62463"/>
    <w:rsid w:val="00B63B76"/>
    <w:rsid w:val="00B64C5B"/>
    <w:rsid w:val="00B675B8"/>
    <w:rsid w:val="00B723B9"/>
    <w:rsid w:val="00B72FCF"/>
    <w:rsid w:val="00B74C31"/>
    <w:rsid w:val="00B74E01"/>
    <w:rsid w:val="00B76F14"/>
    <w:rsid w:val="00B776F1"/>
    <w:rsid w:val="00B80475"/>
    <w:rsid w:val="00B82E1C"/>
    <w:rsid w:val="00B83353"/>
    <w:rsid w:val="00B87022"/>
    <w:rsid w:val="00B9375A"/>
    <w:rsid w:val="00B9493F"/>
    <w:rsid w:val="00B95F93"/>
    <w:rsid w:val="00B96E0C"/>
    <w:rsid w:val="00BA08F9"/>
    <w:rsid w:val="00BA0D5C"/>
    <w:rsid w:val="00BA12F3"/>
    <w:rsid w:val="00BA1F9E"/>
    <w:rsid w:val="00BA36C9"/>
    <w:rsid w:val="00BA3D77"/>
    <w:rsid w:val="00BA6ABC"/>
    <w:rsid w:val="00BA73A7"/>
    <w:rsid w:val="00BB0262"/>
    <w:rsid w:val="00BB08A5"/>
    <w:rsid w:val="00BB0CEC"/>
    <w:rsid w:val="00BB1C5E"/>
    <w:rsid w:val="00BC1C5E"/>
    <w:rsid w:val="00BC2E3D"/>
    <w:rsid w:val="00BC3428"/>
    <w:rsid w:val="00BC647A"/>
    <w:rsid w:val="00BD0948"/>
    <w:rsid w:val="00BD32F6"/>
    <w:rsid w:val="00BD4BB1"/>
    <w:rsid w:val="00BD6FC8"/>
    <w:rsid w:val="00BD7588"/>
    <w:rsid w:val="00BE074C"/>
    <w:rsid w:val="00BE2B82"/>
    <w:rsid w:val="00BE6BFB"/>
    <w:rsid w:val="00BE7106"/>
    <w:rsid w:val="00BE7C06"/>
    <w:rsid w:val="00BF1E05"/>
    <w:rsid w:val="00BF27AC"/>
    <w:rsid w:val="00BF3E10"/>
    <w:rsid w:val="00BF4D27"/>
    <w:rsid w:val="00BF5333"/>
    <w:rsid w:val="00C002F4"/>
    <w:rsid w:val="00C00A28"/>
    <w:rsid w:val="00C032F7"/>
    <w:rsid w:val="00C033A0"/>
    <w:rsid w:val="00C034A0"/>
    <w:rsid w:val="00C12098"/>
    <w:rsid w:val="00C127BD"/>
    <w:rsid w:val="00C12872"/>
    <w:rsid w:val="00C16CB2"/>
    <w:rsid w:val="00C20BE9"/>
    <w:rsid w:val="00C221B1"/>
    <w:rsid w:val="00C230ED"/>
    <w:rsid w:val="00C25003"/>
    <w:rsid w:val="00C2520A"/>
    <w:rsid w:val="00C25558"/>
    <w:rsid w:val="00C25E6B"/>
    <w:rsid w:val="00C26A65"/>
    <w:rsid w:val="00C27422"/>
    <w:rsid w:val="00C27C35"/>
    <w:rsid w:val="00C30053"/>
    <w:rsid w:val="00C32A9A"/>
    <w:rsid w:val="00C3547C"/>
    <w:rsid w:val="00C356C5"/>
    <w:rsid w:val="00C411A7"/>
    <w:rsid w:val="00C41824"/>
    <w:rsid w:val="00C439B0"/>
    <w:rsid w:val="00C447FD"/>
    <w:rsid w:val="00C461E0"/>
    <w:rsid w:val="00C46408"/>
    <w:rsid w:val="00C50A24"/>
    <w:rsid w:val="00C531A5"/>
    <w:rsid w:val="00C558DF"/>
    <w:rsid w:val="00C55E4C"/>
    <w:rsid w:val="00C56FD1"/>
    <w:rsid w:val="00C5795F"/>
    <w:rsid w:val="00C624D3"/>
    <w:rsid w:val="00C63D29"/>
    <w:rsid w:val="00C64B91"/>
    <w:rsid w:val="00C65366"/>
    <w:rsid w:val="00C65790"/>
    <w:rsid w:val="00C6771E"/>
    <w:rsid w:val="00C72933"/>
    <w:rsid w:val="00C72D46"/>
    <w:rsid w:val="00C739CF"/>
    <w:rsid w:val="00C74264"/>
    <w:rsid w:val="00C74380"/>
    <w:rsid w:val="00C75744"/>
    <w:rsid w:val="00C816EA"/>
    <w:rsid w:val="00C818EB"/>
    <w:rsid w:val="00C8442F"/>
    <w:rsid w:val="00C86F18"/>
    <w:rsid w:val="00C91F09"/>
    <w:rsid w:val="00C92A53"/>
    <w:rsid w:val="00C95CAF"/>
    <w:rsid w:val="00C97BD0"/>
    <w:rsid w:val="00CA23E2"/>
    <w:rsid w:val="00CA25F8"/>
    <w:rsid w:val="00CA32F1"/>
    <w:rsid w:val="00CA42BB"/>
    <w:rsid w:val="00CB1DF2"/>
    <w:rsid w:val="00CB2461"/>
    <w:rsid w:val="00CC00D1"/>
    <w:rsid w:val="00CC031B"/>
    <w:rsid w:val="00CC1BB0"/>
    <w:rsid w:val="00CC270F"/>
    <w:rsid w:val="00CC2B8D"/>
    <w:rsid w:val="00CC2BC9"/>
    <w:rsid w:val="00CC4F21"/>
    <w:rsid w:val="00CC519C"/>
    <w:rsid w:val="00CC6059"/>
    <w:rsid w:val="00CC6676"/>
    <w:rsid w:val="00CC71D1"/>
    <w:rsid w:val="00CD16CA"/>
    <w:rsid w:val="00CD2057"/>
    <w:rsid w:val="00CD41EF"/>
    <w:rsid w:val="00CD5AC1"/>
    <w:rsid w:val="00CD6A76"/>
    <w:rsid w:val="00CE4398"/>
    <w:rsid w:val="00CE57B3"/>
    <w:rsid w:val="00CE5E7F"/>
    <w:rsid w:val="00CE79D3"/>
    <w:rsid w:val="00CF55D5"/>
    <w:rsid w:val="00CF72F4"/>
    <w:rsid w:val="00CF7522"/>
    <w:rsid w:val="00D015A0"/>
    <w:rsid w:val="00D03026"/>
    <w:rsid w:val="00D0398B"/>
    <w:rsid w:val="00D03C5E"/>
    <w:rsid w:val="00D05736"/>
    <w:rsid w:val="00D06AB7"/>
    <w:rsid w:val="00D06DEA"/>
    <w:rsid w:val="00D06DF5"/>
    <w:rsid w:val="00D07D2D"/>
    <w:rsid w:val="00D127FB"/>
    <w:rsid w:val="00D14E7B"/>
    <w:rsid w:val="00D214E5"/>
    <w:rsid w:val="00D21DD7"/>
    <w:rsid w:val="00D22AC1"/>
    <w:rsid w:val="00D22FB1"/>
    <w:rsid w:val="00D23DC8"/>
    <w:rsid w:val="00D32591"/>
    <w:rsid w:val="00D33927"/>
    <w:rsid w:val="00D33CCE"/>
    <w:rsid w:val="00D36036"/>
    <w:rsid w:val="00D37B72"/>
    <w:rsid w:val="00D42424"/>
    <w:rsid w:val="00D449A7"/>
    <w:rsid w:val="00D44BC6"/>
    <w:rsid w:val="00D44FCE"/>
    <w:rsid w:val="00D45562"/>
    <w:rsid w:val="00D50410"/>
    <w:rsid w:val="00D50E92"/>
    <w:rsid w:val="00D61B06"/>
    <w:rsid w:val="00D646FF"/>
    <w:rsid w:val="00D66B5B"/>
    <w:rsid w:val="00D74E21"/>
    <w:rsid w:val="00D75107"/>
    <w:rsid w:val="00D75F73"/>
    <w:rsid w:val="00D83FA2"/>
    <w:rsid w:val="00D84C4B"/>
    <w:rsid w:val="00D8611B"/>
    <w:rsid w:val="00D87778"/>
    <w:rsid w:val="00D87937"/>
    <w:rsid w:val="00D920EC"/>
    <w:rsid w:val="00D929F5"/>
    <w:rsid w:val="00D93856"/>
    <w:rsid w:val="00D93BB3"/>
    <w:rsid w:val="00D961E1"/>
    <w:rsid w:val="00D96E30"/>
    <w:rsid w:val="00DA07EF"/>
    <w:rsid w:val="00DA0A86"/>
    <w:rsid w:val="00DA1023"/>
    <w:rsid w:val="00DA1A0D"/>
    <w:rsid w:val="00DA2B8B"/>
    <w:rsid w:val="00DA4399"/>
    <w:rsid w:val="00DA5584"/>
    <w:rsid w:val="00DA7F5C"/>
    <w:rsid w:val="00DB00C8"/>
    <w:rsid w:val="00DB1AC0"/>
    <w:rsid w:val="00DB1DEC"/>
    <w:rsid w:val="00DB4DC4"/>
    <w:rsid w:val="00DB4E99"/>
    <w:rsid w:val="00DB4EC5"/>
    <w:rsid w:val="00DB59F8"/>
    <w:rsid w:val="00DB6782"/>
    <w:rsid w:val="00DB6F3A"/>
    <w:rsid w:val="00DB731F"/>
    <w:rsid w:val="00DC113E"/>
    <w:rsid w:val="00DC1763"/>
    <w:rsid w:val="00DC23AD"/>
    <w:rsid w:val="00DC2F29"/>
    <w:rsid w:val="00DC55F4"/>
    <w:rsid w:val="00DC5996"/>
    <w:rsid w:val="00DC5D28"/>
    <w:rsid w:val="00DD11C1"/>
    <w:rsid w:val="00DD2C05"/>
    <w:rsid w:val="00DD59F0"/>
    <w:rsid w:val="00DD6245"/>
    <w:rsid w:val="00DD6638"/>
    <w:rsid w:val="00DD6790"/>
    <w:rsid w:val="00DE1556"/>
    <w:rsid w:val="00DE33E3"/>
    <w:rsid w:val="00DE3780"/>
    <w:rsid w:val="00DE4141"/>
    <w:rsid w:val="00DE45F7"/>
    <w:rsid w:val="00DE4A91"/>
    <w:rsid w:val="00DE5CC5"/>
    <w:rsid w:val="00DE6214"/>
    <w:rsid w:val="00DE68B5"/>
    <w:rsid w:val="00DE7C5C"/>
    <w:rsid w:val="00DF15F6"/>
    <w:rsid w:val="00DF1B26"/>
    <w:rsid w:val="00E0109A"/>
    <w:rsid w:val="00E035C5"/>
    <w:rsid w:val="00E036B7"/>
    <w:rsid w:val="00E03980"/>
    <w:rsid w:val="00E0406F"/>
    <w:rsid w:val="00E042E6"/>
    <w:rsid w:val="00E047F5"/>
    <w:rsid w:val="00E04BEB"/>
    <w:rsid w:val="00E0579E"/>
    <w:rsid w:val="00E06F29"/>
    <w:rsid w:val="00E07DA4"/>
    <w:rsid w:val="00E102B9"/>
    <w:rsid w:val="00E10472"/>
    <w:rsid w:val="00E143A4"/>
    <w:rsid w:val="00E14750"/>
    <w:rsid w:val="00E200C7"/>
    <w:rsid w:val="00E249EB"/>
    <w:rsid w:val="00E24FC2"/>
    <w:rsid w:val="00E25858"/>
    <w:rsid w:val="00E26587"/>
    <w:rsid w:val="00E26BFC"/>
    <w:rsid w:val="00E274B0"/>
    <w:rsid w:val="00E30DAF"/>
    <w:rsid w:val="00E34062"/>
    <w:rsid w:val="00E3518B"/>
    <w:rsid w:val="00E408CD"/>
    <w:rsid w:val="00E44083"/>
    <w:rsid w:val="00E449E7"/>
    <w:rsid w:val="00E45102"/>
    <w:rsid w:val="00E458E1"/>
    <w:rsid w:val="00E4640C"/>
    <w:rsid w:val="00E4796A"/>
    <w:rsid w:val="00E500E2"/>
    <w:rsid w:val="00E504E2"/>
    <w:rsid w:val="00E513C9"/>
    <w:rsid w:val="00E53215"/>
    <w:rsid w:val="00E5570B"/>
    <w:rsid w:val="00E55A5A"/>
    <w:rsid w:val="00E56CED"/>
    <w:rsid w:val="00E62EC8"/>
    <w:rsid w:val="00E63624"/>
    <w:rsid w:val="00E63B53"/>
    <w:rsid w:val="00E64B24"/>
    <w:rsid w:val="00E651DA"/>
    <w:rsid w:val="00E6769D"/>
    <w:rsid w:val="00E67A95"/>
    <w:rsid w:val="00E72FBE"/>
    <w:rsid w:val="00E74394"/>
    <w:rsid w:val="00E7572F"/>
    <w:rsid w:val="00E75960"/>
    <w:rsid w:val="00E761D3"/>
    <w:rsid w:val="00E77228"/>
    <w:rsid w:val="00E81504"/>
    <w:rsid w:val="00E819FB"/>
    <w:rsid w:val="00E85C92"/>
    <w:rsid w:val="00E86889"/>
    <w:rsid w:val="00E86C5C"/>
    <w:rsid w:val="00E86FC8"/>
    <w:rsid w:val="00E873F0"/>
    <w:rsid w:val="00E9106A"/>
    <w:rsid w:val="00E91AC8"/>
    <w:rsid w:val="00E91D0B"/>
    <w:rsid w:val="00E93AB9"/>
    <w:rsid w:val="00E93EC3"/>
    <w:rsid w:val="00E967B1"/>
    <w:rsid w:val="00E96F4C"/>
    <w:rsid w:val="00E97AA5"/>
    <w:rsid w:val="00EA0EED"/>
    <w:rsid w:val="00EA1E8E"/>
    <w:rsid w:val="00EA3452"/>
    <w:rsid w:val="00EA36F3"/>
    <w:rsid w:val="00EA3D9D"/>
    <w:rsid w:val="00EA50A2"/>
    <w:rsid w:val="00EA69E0"/>
    <w:rsid w:val="00EB0293"/>
    <w:rsid w:val="00EB0706"/>
    <w:rsid w:val="00EB1BEF"/>
    <w:rsid w:val="00EB23CF"/>
    <w:rsid w:val="00EC0901"/>
    <w:rsid w:val="00EC1429"/>
    <w:rsid w:val="00EC3D87"/>
    <w:rsid w:val="00EC40EA"/>
    <w:rsid w:val="00ED01F2"/>
    <w:rsid w:val="00ED1C2F"/>
    <w:rsid w:val="00ED1F62"/>
    <w:rsid w:val="00ED3221"/>
    <w:rsid w:val="00ED58E9"/>
    <w:rsid w:val="00EE4305"/>
    <w:rsid w:val="00EE44AA"/>
    <w:rsid w:val="00EE7BB5"/>
    <w:rsid w:val="00EF3AC2"/>
    <w:rsid w:val="00EF59AB"/>
    <w:rsid w:val="00EF6070"/>
    <w:rsid w:val="00F040CC"/>
    <w:rsid w:val="00F064EB"/>
    <w:rsid w:val="00F06F2D"/>
    <w:rsid w:val="00F106C2"/>
    <w:rsid w:val="00F10C50"/>
    <w:rsid w:val="00F11627"/>
    <w:rsid w:val="00F13171"/>
    <w:rsid w:val="00F13676"/>
    <w:rsid w:val="00F14502"/>
    <w:rsid w:val="00F2209A"/>
    <w:rsid w:val="00F228C5"/>
    <w:rsid w:val="00F22A67"/>
    <w:rsid w:val="00F2341F"/>
    <w:rsid w:val="00F23702"/>
    <w:rsid w:val="00F24757"/>
    <w:rsid w:val="00F26A32"/>
    <w:rsid w:val="00F27324"/>
    <w:rsid w:val="00F27B14"/>
    <w:rsid w:val="00F32165"/>
    <w:rsid w:val="00F3566A"/>
    <w:rsid w:val="00F37AE5"/>
    <w:rsid w:val="00F40620"/>
    <w:rsid w:val="00F4146F"/>
    <w:rsid w:val="00F4201F"/>
    <w:rsid w:val="00F4465B"/>
    <w:rsid w:val="00F46619"/>
    <w:rsid w:val="00F47E5D"/>
    <w:rsid w:val="00F515E7"/>
    <w:rsid w:val="00F51F6C"/>
    <w:rsid w:val="00F5293E"/>
    <w:rsid w:val="00F56DAD"/>
    <w:rsid w:val="00F606C4"/>
    <w:rsid w:val="00F61E94"/>
    <w:rsid w:val="00F64A1F"/>
    <w:rsid w:val="00F65790"/>
    <w:rsid w:val="00F66A37"/>
    <w:rsid w:val="00F66CF9"/>
    <w:rsid w:val="00F717B7"/>
    <w:rsid w:val="00F71F03"/>
    <w:rsid w:val="00F7220D"/>
    <w:rsid w:val="00F72435"/>
    <w:rsid w:val="00F72837"/>
    <w:rsid w:val="00F72B3C"/>
    <w:rsid w:val="00F8070F"/>
    <w:rsid w:val="00F812C5"/>
    <w:rsid w:val="00F832C7"/>
    <w:rsid w:val="00F8589B"/>
    <w:rsid w:val="00F86AA0"/>
    <w:rsid w:val="00F87450"/>
    <w:rsid w:val="00F91652"/>
    <w:rsid w:val="00F926A6"/>
    <w:rsid w:val="00F96D85"/>
    <w:rsid w:val="00FA0B1E"/>
    <w:rsid w:val="00FA166E"/>
    <w:rsid w:val="00FA2FAA"/>
    <w:rsid w:val="00FA4643"/>
    <w:rsid w:val="00FA4B1B"/>
    <w:rsid w:val="00FA53DF"/>
    <w:rsid w:val="00FA716F"/>
    <w:rsid w:val="00FB019C"/>
    <w:rsid w:val="00FB0CD9"/>
    <w:rsid w:val="00FB1B48"/>
    <w:rsid w:val="00FB3D6A"/>
    <w:rsid w:val="00FB4B09"/>
    <w:rsid w:val="00FB4D2C"/>
    <w:rsid w:val="00FB4DA7"/>
    <w:rsid w:val="00FB5406"/>
    <w:rsid w:val="00FB5527"/>
    <w:rsid w:val="00FC049E"/>
    <w:rsid w:val="00FC5C59"/>
    <w:rsid w:val="00FC6B6E"/>
    <w:rsid w:val="00FC6ED6"/>
    <w:rsid w:val="00FC701F"/>
    <w:rsid w:val="00FD1E69"/>
    <w:rsid w:val="00FD7EEB"/>
    <w:rsid w:val="00FE05CA"/>
    <w:rsid w:val="00FE06C9"/>
    <w:rsid w:val="00FE0707"/>
    <w:rsid w:val="00FE1C4F"/>
    <w:rsid w:val="00FE3665"/>
    <w:rsid w:val="00FE6B4D"/>
    <w:rsid w:val="00FF22ED"/>
    <w:rsid w:val="00FF28F1"/>
    <w:rsid w:val="00FF4D06"/>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E1D53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070F"/>
    <w:pPr>
      <w:jc w:val="both"/>
    </w:pPr>
    <w:rPr>
      <w:rFonts w:eastAsia="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qFormat/>
    <w:rsid w:val="00AC04E7"/>
    <w:rPr>
      <w:sz w:val="20"/>
      <w:lang w:eastAsia="ja-JP"/>
    </w:rPr>
  </w:style>
  <w:style w:type="paragraph" w:styleId="Corpsdetexte">
    <w:name w:val="Body Text"/>
    <w:basedOn w:val="Normal"/>
    <w:link w:val="CorpsdetexteCar"/>
    <w:uiPriority w:val="99"/>
    <w:unhideWhenUsed/>
    <w:rsid w:val="003A28C7"/>
    <w:rPr>
      <w:lang w:eastAsia="ja-JP"/>
    </w:rPr>
  </w:style>
  <w:style w:type="character" w:customStyle="1" w:styleId="CorpsdetexteCar">
    <w:name w:val="Corps de texte Car"/>
    <w:link w:val="Corpsdetexte"/>
    <w:uiPriority w:val="99"/>
    <w:rsid w:val="003A28C7"/>
    <w:rPr>
      <w:rFonts w:eastAsia="Times"/>
      <w:sz w:val="24"/>
    </w:rPr>
  </w:style>
  <w:style w:type="character" w:customStyle="1" w:styleId="NotedebasdepageCar">
    <w:name w:val="Note de bas de page Car"/>
    <w:link w:val="Notedebasdepage"/>
    <w:rsid w:val="00AC04E7"/>
    <w:rPr>
      <w:szCs w:val="24"/>
    </w:rPr>
  </w:style>
  <w:style w:type="character" w:styleId="Marquenotebasdepage">
    <w:name w:val="Marque note bas de page"/>
    <w:uiPriority w:val="99"/>
    <w:unhideWhenUsed/>
    <w:rsid w:val="00FE1C4F"/>
    <w:rPr>
      <w:vertAlign w:val="superscript"/>
    </w:rPr>
  </w:style>
  <w:style w:type="paragraph" w:styleId="En-tte">
    <w:name w:val="header"/>
    <w:basedOn w:val="Normal"/>
    <w:link w:val="En-tteCar"/>
    <w:uiPriority w:val="99"/>
    <w:unhideWhenUsed/>
    <w:rsid w:val="00785E86"/>
    <w:pPr>
      <w:tabs>
        <w:tab w:val="center" w:pos="4536"/>
        <w:tab w:val="right" w:pos="9072"/>
      </w:tabs>
    </w:pPr>
  </w:style>
  <w:style w:type="character" w:customStyle="1" w:styleId="En-tteCar">
    <w:name w:val="En-tête Car"/>
    <w:link w:val="En-tte"/>
    <w:uiPriority w:val="99"/>
    <w:rsid w:val="00785E86"/>
    <w:rPr>
      <w:rFonts w:eastAsia="Times"/>
      <w:sz w:val="24"/>
      <w:lang w:eastAsia="fr-FR"/>
    </w:rPr>
  </w:style>
  <w:style w:type="paragraph" w:styleId="Pieddepage">
    <w:name w:val="footer"/>
    <w:basedOn w:val="Normal"/>
    <w:link w:val="PieddepageCar"/>
    <w:uiPriority w:val="99"/>
    <w:unhideWhenUsed/>
    <w:rsid w:val="00785E86"/>
    <w:pPr>
      <w:tabs>
        <w:tab w:val="center" w:pos="4536"/>
        <w:tab w:val="right" w:pos="9072"/>
      </w:tabs>
    </w:pPr>
  </w:style>
  <w:style w:type="character" w:customStyle="1" w:styleId="PieddepageCar">
    <w:name w:val="Pied de page Car"/>
    <w:link w:val="Pieddepage"/>
    <w:uiPriority w:val="99"/>
    <w:rsid w:val="00785E86"/>
    <w:rPr>
      <w:rFonts w:eastAsia="Times"/>
      <w:sz w:val="24"/>
      <w:lang w:eastAsia="fr-FR"/>
    </w:rPr>
  </w:style>
  <w:style w:type="character" w:styleId="Numrodepage">
    <w:name w:val="page number"/>
    <w:uiPriority w:val="99"/>
    <w:semiHidden/>
    <w:unhideWhenUsed/>
    <w:rsid w:val="00785E86"/>
  </w:style>
  <w:style w:type="character" w:customStyle="1" w:styleId="Rfdenotedefindepage">
    <w:name w:val="Réf. de note de fin de page"/>
    <w:uiPriority w:val="99"/>
    <w:rsid w:val="00061AAE"/>
    <w:rPr>
      <w:vertAlign w:val="superscript"/>
    </w:rPr>
  </w:style>
  <w:style w:type="character" w:customStyle="1" w:styleId="ReferenceNotedansNote">
    <w:name w:val="Reference Note dans Note"/>
    <w:uiPriority w:val="99"/>
    <w:rsid w:val="00061AAE"/>
    <w:rPr>
      <w:rFonts w:cs="Times New Roman"/>
      <w:vertAlign w:val="superscript"/>
    </w:rPr>
  </w:style>
  <w:style w:type="paragraph" w:customStyle="1" w:styleId="Normal1">
    <w:name w:val="Normal 1"/>
    <w:uiPriority w:val="99"/>
    <w:rsid w:val="00061AAE"/>
    <w:pPr>
      <w:autoSpaceDE w:val="0"/>
      <w:autoSpaceDN w:val="0"/>
      <w:adjustRightInd w:val="0"/>
      <w:jc w:val="both"/>
    </w:pPr>
    <w:rPr>
      <w:rFonts w:ascii="TimesNewRomanPSMT" w:eastAsia="Times New Roman" w:hAnsi="TimesNewRomanPSMT" w:cs="TimesNewRomanPSMT"/>
      <w:sz w:val="24"/>
      <w:szCs w:val="24"/>
      <w:lang w:bidi="he-IL"/>
    </w:rPr>
  </w:style>
  <w:style w:type="character" w:customStyle="1" w:styleId="titlemain">
    <w:name w:val="titlemain"/>
    <w:rsid w:val="003C3950"/>
  </w:style>
  <w:style w:type="character" w:styleId="Lienhypertexte">
    <w:name w:val="Hyperlink"/>
    <w:uiPriority w:val="99"/>
    <w:unhideWhenUsed/>
    <w:rsid w:val="00625A6A"/>
    <w:rPr>
      <w:color w:val="0000FF"/>
      <w:u w:val="single"/>
    </w:rPr>
  </w:style>
  <w:style w:type="paragraph" w:styleId="Textedebulles">
    <w:name w:val="Balloon Text"/>
    <w:basedOn w:val="Normal"/>
    <w:link w:val="TextedebullesCar"/>
    <w:uiPriority w:val="99"/>
    <w:semiHidden/>
    <w:unhideWhenUsed/>
    <w:rsid w:val="00A46D97"/>
    <w:rPr>
      <w:rFonts w:ascii="Lucida Grande" w:hAnsi="Lucida Grande" w:cs="Lucida Grande"/>
      <w:sz w:val="18"/>
      <w:szCs w:val="18"/>
    </w:rPr>
  </w:style>
  <w:style w:type="character" w:customStyle="1" w:styleId="TextedebullesCar">
    <w:name w:val="Texte de bulles Car"/>
    <w:link w:val="Textedebulles"/>
    <w:uiPriority w:val="99"/>
    <w:semiHidden/>
    <w:rsid w:val="00A46D97"/>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6214</Words>
  <Characters>31012</Characters>
  <Application>Microsoft Macintosh Word</Application>
  <DocSecurity>0</DocSecurity>
  <Lines>436</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Katell Berthelot</cp:lastModifiedBy>
  <cp:revision>2</cp:revision>
  <cp:lastPrinted>2014-08-08T08:06:00Z</cp:lastPrinted>
  <dcterms:created xsi:type="dcterms:W3CDTF">2017-07-19T10:20:00Z</dcterms:created>
  <dcterms:modified xsi:type="dcterms:W3CDTF">2017-07-19T10:20:00Z</dcterms:modified>
</cp:coreProperties>
</file>