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3FE9B" w14:textId="77777777" w:rsidR="0053690C" w:rsidRPr="002C684B" w:rsidRDefault="0053690C" w:rsidP="0053690C">
      <w:pPr>
        <w:spacing w:after="0"/>
        <w:jc w:val="center"/>
        <w:rPr>
          <w:rFonts w:ascii="Times New Roman" w:hAnsi="Times New Roman" w:cs="Times New Roman"/>
          <w:b/>
          <w:sz w:val="28"/>
          <w:szCs w:val="28"/>
        </w:rPr>
      </w:pPr>
      <w:r w:rsidRPr="002C684B">
        <w:rPr>
          <w:rFonts w:ascii="Times New Roman" w:hAnsi="Times New Roman" w:cs="Times New Roman"/>
          <w:b/>
          <w:sz w:val="28"/>
          <w:szCs w:val="28"/>
        </w:rPr>
        <w:t>How Do the Nations Relate to Israel?</w:t>
      </w:r>
    </w:p>
    <w:p w14:paraId="34AB4CD0" w14:textId="77777777" w:rsidR="0053690C" w:rsidRPr="002C684B" w:rsidRDefault="0053690C" w:rsidP="0053690C">
      <w:pPr>
        <w:spacing w:after="0"/>
        <w:jc w:val="center"/>
        <w:rPr>
          <w:rFonts w:ascii="Times New Roman" w:hAnsi="Times New Roman" w:cs="Times New Roman"/>
          <w:b/>
          <w:sz w:val="28"/>
          <w:szCs w:val="28"/>
        </w:rPr>
      </w:pPr>
      <w:r w:rsidRPr="002C684B">
        <w:rPr>
          <w:rFonts w:ascii="Times New Roman" w:hAnsi="Times New Roman" w:cs="Times New Roman"/>
          <w:b/>
          <w:sz w:val="28"/>
          <w:szCs w:val="28"/>
        </w:rPr>
        <w:t>Family, Ethnicity, and Eschatological Inclusion</w:t>
      </w:r>
    </w:p>
    <w:p w14:paraId="2AAE8C80" w14:textId="77777777" w:rsidR="0053690C" w:rsidRPr="002C684B" w:rsidRDefault="0053690C" w:rsidP="0053690C">
      <w:pPr>
        <w:spacing w:after="0"/>
        <w:jc w:val="center"/>
        <w:rPr>
          <w:rFonts w:ascii="Times New Roman" w:hAnsi="Times New Roman" w:cs="Times New Roman"/>
          <w:b/>
          <w:sz w:val="28"/>
          <w:szCs w:val="28"/>
        </w:rPr>
      </w:pPr>
      <w:r w:rsidRPr="002C684B">
        <w:rPr>
          <w:rFonts w:ascii="Times New Roman" w:hAnsi="Times New Roman" w:cs="Times New Roman"/>
          <w:b/>
          <w:sz w:val="28"/>
          <w:szCs w:val="28"/>
        </w:rPr>
        <w:t xml:space="preserve"> in the Apostle Paul</w:t>
      </w:r>
    </w:p>
    <w:p w14:paraId="0550C22D" w14:textId="77777777" w:rsidR="0053690C" w:rsidRPr="002C684B" w:rsidRDefault="0053690C" w:rsidP="0053690C">
      <w:pPr>
        <w:spacing w:after="0"/>
        <w:jc w:val="both"/>
        <w:rPr>
          <w:rFonts w:ascii="Times New Roman" w:hAnsi="Times New Roman" w:cs="Times New Roman"/>
          <w:i/>
          <w:sz w:val="22"/>
          <w:szCs w:val="22"/>
        </w:rPr>
      </w:pPr>
    </w:p>
    <w:p w14:paraId="0635EA41" w14:textId="77777777" w:rsidR="0053690C" w:rsidRPr="002C684B" w:rsidRDefault="0053690C" w:rsidP="0053690C">
      <w:pPr>
        <w:spacing w:after="0"/>
        <w:jc w:val="center"/>
        <w:rPr>
          <w:rFonts w:ascii="Times New Roman" w:hAnsi="Times New Roman" w:cs="Times New Roman"/>
        </w:rPr>
      </w:pPr>
      <w:r w:rsidRPr="002C684B">
        <w:rPr>
          <w:rFonts w:ascii="Times New Roman" w:hAnsi="Times New Roman" w:cs="Times New Roman"/>
          <w:sz w:val="22"/>
          <w:szCs w:val="22"/>
        </w:rPr>
        <w:t xml:space="preserve">      </w:t>
      </w:r>
      <w:r w:rsidRPr="002C684B">
        <w:rPr>
          <w:rFonts w:ascii="Times New Roman" w:hAnsi="Times New Roman" w:cs="Times New Roman"/>
        </w:rPr>
        <w:t xml:space="preserve">Paula Fredriksen </w:t>
      </w:r>
    </w:p>
    <w:p w14:paraId="5D68720A" w14:textId="77777777" w:rsidR="0053690C" w:rsidRPr="002C684B" w:rsidRDefault="0053690C" w:rsidP="0053690C">
      <w:pPr>
        <w:spacing w:after="0"/>
        <w:jc w:val="center"/>
        <w:rPr>
          <w:rFonts w:ascii="Times New Roman" w:hAnsi="Times New Roman" w:cs="Times New Roman"/>
        </w:rPr>
      </w:pPr>
      <w:r w:rsidRPr="002C684B">
        <w:rPr>
          <w:rFonts w:ascii="Times New Roman" w:hAnsi="Times New Roman" w:cs="Times New Roman"/>
        </w:rPr>
        <w:t xml:space="preserve">         The Hebrew University, Jerusalem</w:t>
      </w:r>
    </w:p>
    <w:p w14:paraId="0AEBCCD7" w14:textId="77777777" w:rsidR="0053690C" w:rsidRPr="002C684B" w:rsidRDefault="0053690C" w:rsidP="0053690C">
      <w:pPr>
        <w:spacing w:after="0"/>
        <w:jc w:val="center"/>
        <w:rPr>
          <w:rFonts w:ascii="Times New Roman" w:hAnsi="Times New Roman" w:cs="Times New Roman"/>
          <w:sz w:val="22"/>
          <w:szCs w:val="22"/>
        </w:rPr>
      </w:pPr>
    </w:p>
    <w:p w14:paraId="131E1A77" w14:textId="77777777" w:rsidR="0053690C" w:rsidRPr="002C684B" w:rsidRDefault="0053690C" w:rsidP="0053690C">
      <w:pPr>
        <w:ind w:firstLine="720"/>
        <w:rPr>
          <w:rFonts w:ascii="Times New Roman" w:hAnsi="Times New Roman" w:cs="Times New Roman"/>
        </w:rPr>
      </w:pPr>
    </w:p>
    <w:p w14:paraId="04EA1037"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This volume asks the question to what degree Graeco-Roman notions of citizenship provided a model for ideas of community, solidarity and self-definition. In other words, how did civic institutions, civic life and ideological discourses about citizenship inform the dynamics of identity? Alongside the civic construction of community, other notions could play an important role in defining a group, notions that could complement a membership in a civic community, but also be independe</w:t>
      </w:r>
      <w:r w:rsidR="00F11B7E" w:rsidRPr="002C684B">
        <w:rPr>
          <w:rFonts w:ascii="Times New Roman" w:hAnsi="Times New Roman" w:cs="Times New Roman"/>
        </w:rPr>
        <w:t>nt from any form of citizenship. Among these criteria would be</w:t>
      </w:r>
      <w:r w:rsidRPr="002C684B">
        <w:rPr>
          <w:rFonts w:ascii="Times New Roman" w:hAnsi="Times New Roman" w:cs="Times New Roman"/>
        </w:rPr>
        <w:t xml:space="preserve"> a) common descent, </w:t>
      </w:r>
      <w:r w:rsidR="00F11B7E" w:rsidRPr="002C684B">
        <w:rPr>
          <w:rFonts w:ascii="Times New Roman" w:hAnsi="Times New Roman" w:cs="Times New Roman"/>
        </w:rPr>
        <w:t xml:space="preserve">whether </w:t>
      </w:r>
      <w:r w:rsidRPr="002C684B">
        <w:rPr>
          <w:rFonts w:ascii="Times New Roman" w:hAnsi="Times New Roman" w:cs="Times New Roman"/>
        </w:rPr>
        <w:t>real or imagined; b) unity under the same ruler, be that ruler human or divine; and c) “voluntary association” with sectarian or philosophical groups.</w:t>
      </w:r>
    </w:p>
    <w:p w14:paraId="227CBE50" w14:textId="77777777" w:rsidR="0053690C" w:rsidRPr="002C684B" w:rsidRDefault="00F11B7E" w:rsidP="0053690C">
      <w:pPr>
        <w:ind w:firstLine="720"/>
        <w:rPr>
          <w:rFonts w:ascii="Times New Roman" w:hAnsi="Times New Roman" w:cs="Times New Roman"/>
        </w:rPr>
      </w:pPr>
      <w:r w:rsidRPr="002C684B">
        <w:rPr>
          <w:rFonts w:ascii="Times New Roman" w:hAnsi="Times New Roman" w:cs="Times New Roman"/>
        </w:rPr>
        <w:t>In this chapter I propose to consider one</w:t>
      </w:r>
      <w:r w:rsidR="0053690C" w:rsidRPr="002C684B">
        <w:rPr>
          <w:rFonts w:ascii="Times New Roman" w:hAnsi="Times New Roman" w:cs="Times New Roman"/>
        </w:rPr>
        <w:t xml:space="preserve"> specif</w:t>
      </w:r>
      <w:r w:rsidRPr="002C684B">
        <w:rPr>
          <w:rFonts w:ascii="Times New Roman" w:hAnsi="Times New Roman" w:cs="Times New Roman"/>
        </w:rPr>
        <w:t>ically Jewish conceptualization</w:t>
      </w:r>
      <w:r w:rsidR="0053690C" w:rsidRPr="002C684B">
        <w:rPr>
          <w:rFonts w:ascii="Times New Roman" w:hAnsi="Times New Roman" w:cs="Times New Roman"/>
        </w:rPr>
        <w:t xml:space="preserve"> of boundary-crossing, affiliation, and communal ide</w:t>
      </w:r>
      <w:r w:rsidRPr="002C684B">
        <w:rPr>
          <w:rFonts w:ascii="Times New Roman" w:hAnsi="Times New Roman" w:cs="Times New Roman"/>
        </w:rPr>
        <w:t>ntity</w:t>
      </w:r>
      <w:r w:rsidR="0053690C" w:rsidRPr="002C684B">
        <w:rPr>
          <w:rFonts w:ascii="Times New Roman" w:hAnsi="Times New Roman" w:cs="Times New Roman"/>
        </w:rPr>
        <w:t>: that of the apostle Paul, mid-first century CE, when he worked to incorporate pagans (</w:t>
      </w:r>
      <w:r w:rsidR="0053690C" w:rsidRPr="002C684B">
        <w:rPr>
          <w:rFonts w:ascii="Times New Roman" w:hAnsi="Times New Roman" w:cs="Times New Roman"/>
          <w:i/>
        </w:rPr>
        <w:t>ta ethnē</w:t>
      </w:r>
      <w:r w:rsidR="0053690C" w:rsidRPr="002C684B">
        <w:rPr>
          <w:rFonts w:ascii="Times New Roman" w:hAnsi="Times New Roman" w:cs="Times New Roman"/>
        </w:rPr>
        <w:t>) into the impending</w:t>
      </w:r>
      <w:r w:rsidRPr="002C684B">
        <w:rPr>
          <w:rFonts w:ascii="Times New Roman" w:hAnsi="Times New Roman" w:cs="Times New Roman"/>
        </w:rPr>
        <w:t xml:space="preserve"> messianic redemption of Israel.</w:t>
      </w:r>
      <w:r w:rsidR="0053690C" w:rsidRPr="002C684B">
        <w:rPr>
          <w:rFonts w:ascii="Times New Roman" w:hAnsi="Times New Roman" w:cs="Times New Roman"/>
        </w:rPr>
        <w:t xml:space="preserve"> As our examination will reveal, </w:t>
      </w:r>
      <w:r w:rsidRPr="002C684B">
        <w:rPr>
          <w:rFonts w:ascii="Times New Roman" w:hAnsi="Times New Roman" w:cs="Times New Roman"/>
        </w:rPr>
        <w:t xml:space="preserve">Paul’s efforts at </w:t>
      </w:r>
      <w:r w:rsidR="0053690C" w:rsidRPr="002C684B">
        <w:rPr>
          <w:rFonts w:ascii="Times New Roman" w:hAnsi="Times New Roman" w:cs="Times New Roman"/>
        </w:rPr>
        <w:t>cross-ethnic “outreach” draw deeply on Jewish scriptural and extra-scriptural</w:t>
      </w:r>
      <w:r w:rsidRPr="002C684B">
        <w:rPr>
          <w:rFonts w:ascii="Times New Roman" w:hAnsi="Times New Roman" w:cs="Times New Roman"/>
        </w:rPr>
        <w:t xml:space="preserve"> customs and textual traditions. And he sees both his native community (Israel) and his eschatological community (the </w:t>
      </w:r>
      <w:r w:rsidRPr="002C684B">
        <w:rPr>
          <w:rFonts w:ascii="Times New Roman" w:hAnsi="Times New Roman" w:cs="Times New Roman"/>
          <w:i/>
        </w:rPr>
        <w:t>ekklēsia</w:t>
      </w:r>
      <w:r w:rsidRPr="002C684B">
        <w:rPr>
          <w:rFonts w:ascii="Times New Roman" w:hAnsi="Times New Roman" w:cs="Times New Roman"/>
        </w:rPr>
        <w:t>)</w:t>
      </w:r>
      <w:r w:rsidR="0053690C" w:rsidRPr="002C684B">
        <w:rPr>
          <w:rFonts w:ascii="Times New Roman" w:hAnsi="Times New Roman" w:cs="Times New Roman"/>
        </w:rPr>
        <w:t xml:space="preserve"> as contrasting sharply to contemporary pagan culture. Yet to a surprising degree, </w:t>
      </w:r>
      <w:r w:rsidRPr="002C684B">
        <w:rPr>
          <w:rFonts w:ascii="Times New Roman" w:hAnsi="Times New Roman" w:cs="Times New Roman"/>
        </w:rPr>
        <w:t xml:space="preserve">Paul’s ideas on gentile incorporation into Israel’s redemption draws profoundly and </w:t>
      </w:r>
      <w:r w:rsidR="0053690C" w:rsidRPr="002C684B">
        <w:rPr>
          <w:rFonts w:ascii="Times New Roman" w:hAnsi="Times New Roman" w:cs="Times New Roman"/>
        </w:rPr>
        <w:t>specifically</w:t>
      </w:r>
      <w:r w:rsidRPr="002C684B">
        <w:rPr>
          <w:rFonts w:ascii="Times New Roman" w:hAnsi="Times New Roman" w:cs="Times New Roman"/>
        </w:rPr>
        <w:t xml:space="preserve"> on a Roman -- thus, pagan -- cultural practice</w:t>
      </w:r>
      <w:r w:rsidR="0053690C" w:rsidRPr="002C684B">
        <w:rPr>
          <w:rFonts w:ascii="Times New Roman" w:hAnsi="Times New Roman" w:cs="Times New Roman"/>
        </w:rPr>
        <w:t>.</w:t>
      </w:r>
    </w:p>
    <w:p w14:paraId="269DBC9C" w14:textId="77777777" w:rsidR="0053690C" w:rsidRPr="002C684B" w:rsidRDefault="0053690C" w:rsidP="0053690C">
      <w:pPr>
        <w:ind w:firstLine="720"/>
        <w:rPr>
          <w:rFonts w:ascii="Times New Roman" w:hAnsi="Times New Roman" w:cs="Times New Roman"/>
        </w:rPr>
      </w:pPr>
    </w:p>
    <w:p w14:paraId="0C597355" w14:textId="77777777" w:rsidR="0053690C" w:rsidRPr="002C684B" w:rsidRDefault="0053690C" w:rsidP="0053690C">
      <w:pPr>
        <w:keepNext/>
        <w:ind w:firstLine="720"/>
        <w:rPr>
          <w:rFonts w:ascii="Times New Roman" w:hAnsi="Times New Roman" w:cs="Times New Roman"/>
          <w:i/>
        </w:rPr>
      </w:pPr>
      <w:r w:rsidRPr="002C684B">
        <w:rPr>
          <w:rFonts w:ascii="Times New Roman" w:hAnsi="Times New Roman" w:cs="Times New Roman"/>
        </w:rPr>
        <w:t xml:space="preserve">1. </w:t>
      </w:r>
      <w:r w:rsidRPr="002C684B">
        <w:rPr>
          <w:rFonts w:ascii="Times New Roman" w:hAnsi="Times New Roman" w:cs="Times New Roman"/>
          <w:i/>
        </w:rPr>
        <w:t xml:space="preserve">Gods and Humans in Mediterranean Antiquity </w:t>
      </w:r>
    </w:p>
    <w:p w14:paraId="5EAA425E" w14:textId="77777777" w:rsidR="0053690C" w:rsidRPr="002C684B" w:rsidRDefault="00F11B7E" w:rsidP="0053690C">
      <w:pPr>
        <w:keepNext/>
        <w:ind w:firstLine="720"/>
        <w:rPr>
          <w:rFonts w:ascii="Times New Roman" w:hAnsi="Times New Roman" w:cs="Times New Roman"/>
        </w:rPr>
      </w:pPr>
      <w:r w:rsidRPr="002C684B">
        <w:rPr>
          <w:rFonts w:ascii="Times New Roman" w:hAnsi="Times New Roman" w:cs="Times New Roman"/>
        </w:rPr>
        <w:t>Before I begin, however, I</w:t>
      </w:r>
      <w:r w:rsidR="0053690C" w:rsidRPr="002C684B">
        <w:rPr>
          <w:rFonts w:ascii="Times New Roman" w:hAnsi="Times New Roman" w:cs="Times New Roman"/>
        </w:rPr>
        <w:t xml:space="preserve"> would like to emphasize that in Graeco-Roman antiquity, peoplehood/descent/kinship and relations with divinities were not </w:t>
      </w:r>
      <w:r w:rsidR="0053690C" w:rsidRPr="002C684B">
        <w:rPr>
          <w:rFonts w:ascii="Times New Roman" w:hAnsi="Times New Roman" w:cs="Times New Roman"/>
          <w:i/>
        </w:rPr>
        <w:t>alternatives</w:t>
      </w:r>
      <w:r w:rsidR="0053690C" w:rsidRPr="002C684B">
        <w:rPr>
          <w:rFonts w:ascii="Times New Roman" w:hAnsi="Times New Roman" w:cs="Times New Roman"/>
        </w:rPr>
        <w:t xml:space="preserve"> to constructions of citizenship, but came bundled together </w:t>
      </w:r>
      <w:r w:rsidR="0053690C" w:rsidRPr="002C684B">
        <w:rPr>
          <w:rFonts w:ascii="Times New Roman" w:hAnsi="Times New Roman" w:cs="Times New Roman"/>
          <w:i/>
        </w:rPr>
        <w:t>with</w:t>
      </w:r>
      <w:r w:rsidR="0053690C" w:rsidRPr="002C684B">
        <w:rPr>
          <w:rFonts w:ascii="Times New Roman" w:hAnsi="Times New Roman" w:cs="Times New Roman"/>
        </w:rPr>
        <w:t xml:space="preserve"> them. This was so first of all because, in Mediterranean antiquity, gods and humans together formed family groups. To phrase the same thought slightly differently: from the micro-level of the individual </w:t>
      </w:r>
      <w:r w:rsidR="0053690C" w:rsidRPr="002C684B">
        <w:rPr>
          <w:rFonts w:ascii="Times New Roman" w:hAnsi="Times New Roman" w:cs="Times New Roman"/>
          <w:i/>
        </w:rPr>
        <w:t>domus</w:t>
      </w:r>
      <w:r w:rsidR="0053690C" w:rsidRPr="002C684B">
        <w:rPr>
          <w:rFonts w:ascii="Times New Roman" w:hAnsi="Times New Roman" w:cs="Times New Roman"/>
        </w:rPr>
        <w:t xml:space="preserve"> or </w:t>
      </w:r>
      <w:r w:rsidR="0053690C" w:rsidRPr="002C684B">
        <w:rPr>
          <w:rFonts w:ascii="Times New Roman" w:hAnsi="Times New Roman" w:cs="Times New Roman"/>
          <w:i/>
        </w:rPr>
        <w:t>oikos</w:t>
      </w:r>
      <w:r w:rsidR="0053690C" w:rsidRPr="002C684B">
        <w:rPr>
          <w:rFonts w:ascii="Times New Roman" w:hAnsi="Times New Roman" w:cs="Times New Roman"/>
        </w:rPr>
        <w:t xml:space="preserve"> to the macro-level of the city, ancient gods ran in the blood.</w:t>
      </w:r>
      <w:r w:rsidR="0053690C" w:rsidRPr="002C684B">
        <w:rPr>
          <w:rFonts w:ascii="Times New Roman" w:hAnsi="Times New Roman" w:cs="Times New Roman"/>
          <w:vertAlign w:val="superscript"/>
        </w:rPr>
        <w:footnoteReference w:id="1"/>
      </w:r>
      <w:r w:rsidR="0053690C" w:rsidRPr="002C684B">
        <w:rPr>
          <w:rFonts w:ascii="Times New Roman" w:hAnsi="Times New Roman" w:cs="Times New Roman"/>
        </w:rPr>
        <w:t xml:space="preserve"> There was no word for or concept of what moderns call “religion,” the individual’s assent to certain propositions about divinity based on notions of “belief.”</w:t>
      </w:r>
      <w:r w:rsidR="0053690C" w:rsidRPr="002C684B">
        <w:rPr>
          <w:rFonts w:ascii="Times New Roman" w:hAnsi="Times New Roman" w:cs="Times New Roman"/>
          <w:vertAlign w:val="superscript"/>
        </w:rPr>
        <w:t xml:space="preserve"> </w:t>
      </w:r>
      <w:r w:rsidR="0053690C" w:rsidRPr="002C684B">
        <w:rPr>
          <w:rFonts w:ascii="Times New Roman" w:hAnsi="Times New Roman" w:cs="Times New Roman"/>
          <w:vertAlign w:val="superscript"/>
        </w:rPr>
        <w:footnoteReference w:id="2"/>
      </w:r>
      <w:r w:rsidR="0053690C" w:rsidRPr="002C684B">
        <w:rPr>
          <w:rFonts w:ascii="Times New Roman" w:hAnsi="Times New Roman" w:cs="Times New Roman"/>
        </w:rPr>
        <w:t xml:space="preserve"> Relations between heaven and </w:t>
      </w:r>
      <w:r w:rsidR="0053690C" w:rsidRPr="002C684B">
        <w:rPr>
          <w:rFonts w:ascii="Times New Roman" w:hAnsi="Times New Roman" w:cs="Times New Roman"/>
        </w:rPr>
        <w:lastRenderedPageBreak/>
        <w:t>earth, from the level of the household to the level of the city and, eventually, beyond, were community concerns</w:t>
      </w:r>
      <w:r w:rsidRPr="002C684B">
        <w:rPr>
          <w:rFonts w:ascii="Times New Roman" w:hAnsi="Times New Roman" w:cs="Times New Roman"/>
        </w:rPr>
        <w:t>, often expressed through inherited protocols,</w:t>
      </w:r>
      <w:r w:rsidR="0053690C" w:rsidRPr="002C684B">
        <w:rPr>
          <w:rFonts w:ascii="Times New Roman" w:hAnsi="Times New Roman" w:cs="Times New Roman"/>
        </w:rPr>
        <w:t xml:space="preserve"> that were maintained through cult. </w:t>
      </w:r>
      <w:r w:rsidR="0053690C" w:rsidRPr="002C684B">
        <w:rPr>
          <w:rFonts w:ascii="Times New Roman" w:hAnsi="Times New Roman" w:cs="Times New Roman"/>
          <w:vertAlign w:val="superscript"/>
        </w:rPr>
        <w:footnoteReference w:id="3"/>
      </w:r>
      <w:r w:rsidR="0053690C" w:rsidRPr="002C684B">
        <w:rPr>
          <w:rFonts w:ascii="Times New Roman" w:hAnsi="Times New Roman" w:cs="Times New Roman"/>
          <w:vertAlign w:val="superscript"/>
        </w:rPr>
        <w:t xml:space="preserve"> </w:t>
      </w:r>
    </w:p>
    <w:p w14:paraId="44C0FCB8"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 In this context, where people-groups, notionally bound together by shared “blood” (</w:t>
      </w:r>
      <w:r w:rsidRPr="002C684B">
        <w:rPr>
          <w:rFonts w:ascii="Times New Roman" w:hAnsi="Times New Roman" w:cs="Times New Roman"/>
          <w:i/>
        </w:rPr>
        <w:t xml:space="preserve">sungeneis </w:t>
      </w:r>
      <w:r w:rsidRPr="002C684B">
        <w:rPr>
          <w:rFonts w:ascii="Times New Roman" w:hAnsi="Times New Roman" w:cs="Times New Roman"/>
        </w:rPr>
        <w:t xml:space="preserve">in Paul’s term, Rom 9.4), also shared a family relationship with their god(s), </w:t>
      </w:r>
      <w:r w:rsidRPr="002C684B">
        <w:rPr>
          <w:rFonts w:ascii="Times New Roman" w:hAnsi="Times New Roman" w:cs="Times New Roman"/>
          <w:i/>
        </w:rPr>
        <w:t xml:space="preserve"> </w:t>
      </w:r>
      <w:r w:rsidRPr="002C684B">
        <w:rPr>
          <w:rFonts w:ascii="Times New Roman" w:hAnsi="Times New Roman" w:cs="Times New Roman"/>
        </w:rPr>
        <w:t xml:space="preserve">“worship” – enacted fealty to the god – was accordingly imagined as an inheritance, “ancestral custom”: </w:t>
      </w:r>
      <w:r w:rsidRPr="002C684B">
        <w:rPr>
          <w:rFonts w:ascii="Gentium" w:hAnsi="Gentium" w:cs="Times New Roman"/>
        </w:rPr>
        <w:t>τα πάτρ</w:t>
      </w:r>
      <w:bookmarkStart w:id="0" w:name="_GoBack"/>
      <w:bookmarkEnd w:id="0"/>
      <w:r w:rsidRPr="002C684B">
        <w:rPr>
          <w:rFonts w:ascii="Gentium" w:hAnsi="Gentium" w:cs="Times New Roman"/>
        </w:rPr>
        <w:t>ια ἔθη</w:t>
      </w:r>
      <w:r w:rsidRPr="002C684B">
        <w:rPr>
          <w:rFonts w:ascii="Times New Roman" w:hAnsi="Times New Roman" w:cs="Times New Roman"/>
        </w:rPr>
        <w:t xml:space="preserve">, </w:t>
      </w:r>
      <w:r w:rsidRPr="002C684B">
        <w:rPr>
          <w:rFonts w:ascii="Times New Roman" w:hAnsi="Times New Roman" w:cs="Times New Roman"/>
          <w:i/>
        </w:rPr>
        <w:t>mos maiorum</w:t>
      </w:r>
      <w:r w:rsidRPr="002C684B">
        <w:rPr>
          <w:rFonts w:ascii="Times New Roman" w:hAnsi="Times New Roman" w:cs="Times New Roman"/>
        </w:rPr>
        <w:t xml:space="preserve">, </w:t>
      </w:r>
      <w:r w:rsidRPr="002C684B">
        <w:rPr>
          <w:rFonts w:ascii="Gentium" w:hAnsi="Gentium" w:cs="Times New Roman"/>
        </w:rPr>
        <w:t xml:space="preserve">οἱ πατριοί νόμοι, </w:t>
      </w:r>
      <w:r w:rsidRPr="002C684B">
        <w:rPr>
          <w:rFonts w:ascii="Gentium" w:hAnsi="Gentium"/>
        </w:rPr>
        <w:t>αἱ πατρίκαι παραδόσεις</w:t>
      </w:r>
      <w:r w:rsidRPr="002C684B">
        <w:rPr>
          <w:rFonts w:ascii="Times New Roman" w:hAnsi="Times New Roman" w:cs="Times New Roman"/>
        </w:rPr>
        <w:t xml:space="preserve"> (Paul again, Gal 1:14). These customs connected humans not only to their gods but, across generations, to each other. Since humans were born into their obligations to their gods, these observations were a piece of their cultural patrimony: cult and ethnicity defined each other.</w:t>
      </w:r>
      <w:r w:rsidRPr="002C684B">
        <w:rPr>
          <w:rFonts w:ascii="Times New Roman" w:hAnsi="Times New Roman" w:cs="Times New Roman"/>
          <w:vertAlign w:val="superscript"/>
        </w:rPr>
        <w:t xml:space="preserve"> </w:t>
      </w:r>
      <w:r w:rsidRPr="002C684B">
        <w:rPr>
          <w:rFonts w:ascii="Times New Roman" w:hAnsi="Times New Roman" w:cs="Times New Roman"/>
          <w:vertAlign w:val="superscript"/>
        </w:rPr>
        <w:footnoteReference w:id="4"/>
      </w:r>
      <w:r w:rsidRPr="002C684B">
        <w:rPr>
          <w:rFonts w:ascii="Times New Roman" w:hAnsi="Times New Roman" w:cs="Times New Roman"/>
        </w:rPr>
        <w:t xml:space="preserve"> </w:t>
      </w:r>
    </w:p>
    <w:p w14:paraId="3AAC0040"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Ethnicity mapped not only onto heaven but also onto earth, not only in terms of lands and languages but, in the Hellenistic period, more specifically onto the city. Citizens were often imagined as forming a single </w:t>
      </w:r>
      <w:r w:rsidRPr="002C684B">
        <w:rPr>
          <w:rFonts w:ascii="Times New Roman" w:hAnsi="Times New Roman" w:cs="Times New Roman"/>
          <w:i/>
        </w:rPr>
        <w:t>genos</w:t>
      </w:r>
      <w:r w:rsidRPr="002C684B">
        <w:rPr>
          <w:rFonts w:ascii="Times New Roman" w:hAnsi="Times New Roman" w:cs="Times New Roman"/>
        </w:rPr>
        <w:t xml:space="preserve">/descent group; hence, at Acts 18.24, Apollos is described as “an Alexandrian by </w:t>
      </w:r>
      <w:r w:rsidRPr="002C684B">
        <w:rPr>
          <w:rFonts w:ascii="Gentium" w:hAnsi="Gentium" w:cs="Times New Roman"/>
        </w:rPr>
        <w:t>γένος</w:t>
      </w:r>
      <w:r w:rsidRPr="002C684B">
        <w:rPr>
          <w:rFonts w:ascii="Times New Roman" w:hAnsi="Times New Roman" w:cs="Times New Roman"/>
        </w:rPr>
        <w:t xml:space="preserve">,” that is, a citizen. Similarly, some Roman aristocratic families (especially the Julio-Claudians) presented themselves as </w:t>
      </w:r>
      <w:r w:rsidRPr="002C684B">
        <w:rPr>
          <w:rFonts w:ascii="Times New Roman" w:hAnsi="Times New Roman" w:cs="Times New Roman"/>
          <w:i/>
        </w:rPr>
        <w:t>Aeneadae</w:t>
      </w:r>
      <w:r w:rsidRPr="002C684B">
        <w:rPr>
          <w:rFonts w:ascii="Times New Roman" w:hAnsi="Times New Roman" w:cs="Times New Roman"/>
        </w:rPr>
        <w:t>, descendants of Aeneas and, thus, descendants of Venus as well.</w:t>
      </w:r>
      <w:r w:rsidRPr="002C684B">
        <w:rPr>
          <w:rFonts w:ascii="Times New Roman" w:hAnsi="Times New Roman" w:cs="Times New Roman"/>
          <w:vertAlign w:val="superscript"/>
        </w:rPr>
        <w:footnoteReference w:id="5"/>
      </w:r>
      <w:r w:rsidRPr="002C684B">
        <w:rPr>
          <w:rFonts w:ascii="Times New Roman" w:hAnsi="Times New Roman" w:cs="Times New Roman"/>
        </w:rPr>
        <w:t xml:space="preserve"> The city itself,</w:t>
      </w:r>
      <w:r w:rsidR="0087293A" w:rsidRPr="002C684B">
        <w:rPr>
          <w:rFonts w:ascii="Times New Roman" w:hAnsi="Times New Roman" w:cs="Times New Roman"/>
        </w:rPr>
        <w:t xml:space="preserve"> post-Alexander, was thus a kind</w:t>
      </w:r>
      <w:r w:rsidRPr="002C684B">
        <w:rPr>
          <w:rFonts w:ascii="Times New Roman" w:hAnsi="Times New Roman" w:cs="Times New Roman"/>
        </w:rPr>
        <w:t xml:space="preserve"> of f</w:t>
      </w:r>
      <w:r w:rsidR="0087293A" w:rsidRPr="002C684B">
        <w:rPr>
          <w:rFonts w:ascii="Times New Roman" w:hAnsi="Times New Roman" w:cs="Times New Roman"/>
        </w:rPr>
        <w:t>amily-based religious</w:t>
      </w:r>
      <w:r w:rsidRPr="002C684B">
        <w:rPr>
          <w:rFonts w:ascii="Times New Roman" w:hAnsi="Times New Roman" w:cs="Times New Roman"/>
        </w:rPr>
        <w:t xml:space="preserve"> institution. Urban wellbeing depended on heaven’s beneficence, and thus the organs of city government were in effect media for showing respect to the presiding god(s). </w:t>
      </w:r>
    </w:p>
    <w:p w14:paraId="7392762E"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These vertical family relationships between gods, citizens and cities put </w:t>
      </w:r>
      <w:r w:rsidR="0087293A" w:rsidRPr="002C684B">
        <w:rPr>
          <w:rFonts w:ascii="Times New Roman" w:hAnsi="Times New Roman" w:cs="Times New Roman"/>
        </w:rPr>
        <w:t xml:space="preserve">those </w:t>
      </w:r>
      <w:r w:rsidRPr="002C684B">
        <w:rPr>
          <w:rFonts w:ascii="Times New Roman" w:hAnsi="Times New Roman" w:cs="Times New Roman"/>
        </w:rPr>
        <w:t xml:space="preserve">Jews </w:t>
      </w:r>
      <w:r w:rsidR="0087293A" w:rsidRPr="002C684B">
        <w:rPr>
          <w:rFonts w:ascii="Times New Roman" w:hAnsi="Times New Roman" w:cs="Times New Roman"/>
        </w:rPr>
        <w:t>residing</w:t>
      </w:r>
      <w:r w:rsidRPr="002C684B">
        <w:rPr>
          <w:rFonts w:ascii="Times New Roman" w:hAnsi="Times New Roman" w:cs="Times New Roman"/>
        </w:rPr>
        <w:t xml:space="preserve"> in the cities of the Diaspora in an awkward position: their god was famously demanding, insisting that </w:t>
      </w:r>
      <w:r w:rsidRPr="002C684B">
        <w:rPr>
          <w:rFonts w:ascii="Times New Roman" w:hAnsi="Times New Roman" w:cs="Times New Roman"/>
          <w:i/>
        </w:rPr>
        <w:t>his</w:t>
      </w:r>
      <w:r w:rsidRPr="002C684B">
        <w:rPr>
          <w:rFonts w:ascii="Times New Roman" w:hAnsi="Times New Roman" w:cs="Times New Roman"/>
        </w:rPr>
        <w:t xml:space="preserve"> people restrict cult only to him.</w:t>
      </w:r>
      <w:r w:rsidRPr="002C684B">
        <w:rPr>
          <w:rFonts w:ascii="Times New Roman" w:hAnsi="Times New Roman" w:cs="Times New Roman"/>
          <w:vertAlign w:val="superscript"/>
        </w:rPr>
        <w:footnoteReference w:id="6"/>
      </w:r>
      <w:r w:rsidRPr="002C684B">
        <w:rPr>
          <w:rFonts w:ascii="Times New Roman" w:hAnsi="Times New Roman" w:cs="Times New Roman"/>
        </w:rPr>
        <w:t xml:space="preserve">  Apion’s question was commonsensical and well-observed: “If the Jews wish to be Alexandrian citizens, why don’t they worship the Alexandrian gods?” (Josephus, </w:t>
      </w:r>
      <w:r w:rsidRPr="002C684B">
        <w:rPr>
          <w:rFonts w:ascii="Times New Roman" w:hAnsi="Times New Roman" w:cs="Times New Roman"/>
          <w:i/>
        </w:rPr>
        <w:t>C. Ap.</w:t>
      </w:r>
      <w:r w:rsidRPr="002C684B">
        <w:rPr>
          <w:rFonts w:ascii="Times New Roman" w:hAnsi="Times New Roman" w:cs="Times New Roman"/>
        </w:rPr>
        <w:t xml:space="preserve"> 2.65; cf. the similar complaints from cities in first-century Asia Minor, </w:t>
      </w:r>
      <w:r w:rsidRPr="002C684B">
        <w:rPr>
          <w:rFonts w:ascii="Times New Roman" w:hAnsi="Times New Roman" w:cs="Times New Roman"/>
          <w:i/>
        </w:rPr>
        <w:t>A.J.</w:t>
      </w:r>
      <w:r w:rsidRPr="002C684B">
        <w:rPr>
          <w:rFonts w:ascii="Times New Roman" w:hAnsi="Times New Roman" w:cs="Times New Roman"/>
        </w:rPr>
        <w:t xml:space="preserve"> 12.126). Literary and epigraphical evidence, however, attests to Jews</w:t>
      </w:r>
      <w:r w:rsidR="0087293A" w:rsidRPr="002C684B">
        <w:rPr>
          <w:rFonts w:ascii="Times New Roman" w:hAnsi="Times New Roman" w:cs="Times New Roman"/>
        </w:rPr>
        <w:t>’</w:t>
      </w:r>
      <w:r w:rsidRPr="002C684B">
        <w:rPr>
          <w:rFonts w:ascii="Times New Roman" w:hAnsi="Times New Roman" w:cs="Times New Roman"/>
        </w:rPr>
        <w:t xml:space="preserve"> serving as ephebes and town councilors (thus, citizens), as athletes and actors, as generals and gladiators. Their activities would have involved them in some degree with showing respect – though perhaps not full cult – to the gods of their cities.</w:t>
      </w:r>
      <w:r w:rsidRPr="002C684B">
        <w:rPr>
          <w:rFonts w:ascii="Times New Roman" w:hAnsi="Times New Roman" w:cs="Times New Roman"/>
          <w:vertAlign w:val="superscript"/>
        </w:rPr>
        <w:footnoteReference w:id="7"/>
      </w:r>
    </w:p>
    <w:p w14:paraId="54CCC83B" w14:textId="77777777" w:rsidR="0053690C" w:rsidRPr="002C684B" w:rsidRDefault="0053690C" w:rsidP="0053690C">
      <w:pPr>
        <w:spacing w:after="0"/>
        <w:ind w:firstLine="720"/>
        <w:rPr>
          <w:rFonts w:ascii="Times New Roman" w:hAnsi="Times New Roman" w:cs="Times New Roman"/>
        </w:rPr>
      </w:pPr>
      <w:r w:rsidRPr="002C684B">
        <w:rPr>
          <w:rFonts w:ascii="Times New Roman" w:hAnsi="Times New Roman" w:cs="Times New Roman"/>
        </w:rPr>
        <w:t xml:space="preserve"> Gods through their humans operated pol</w:t>
      </w:r>
      <w:r w:rsidR="0087293A" w:rsidRPr="002C684B">
        <w:rPr>
          <w:rFonts w:ascii="Times New Roman" w:hAnsi="Times New Roman" w:cs="Times New Roman"/>
        </w:rPr>
        <w:t>itically not only within cities; they also operated</w:t>
      </w:r>
      <w:r w:rsidRPr="002C684B">
        <w:rPr>
          <w:rFonts w:ascii="Times New Roman" w:hAnsi="Times New Roman" w:cs="Times New Roman"/>
        </w:rPr>
        <w:t xml:space="preserve"> </w:t>
      </w:r>
      <w:r w:rsidRPr="002C684B">
        <w:rPr>
          <w:rFonts w:ascii="Times New Roman" w:hAnsi="Times New Roman" w:cs="Times New Roman"/>
          <w:i/>
        </w:rPr>
        <w:t>between</w:t>
      </w:r>
      <w:r w:rsidRPr="002C684B">
        <w:rPr>
          <w:rFonts w:ascii="Times New Roman" w:hAnsi="Times New Roman" w:cs="Times New Roman"/>
        </w:rPr>
        <w:t xml:space="preserve"> cities. When negotiating inter-city treaties, </w:t>
      </w:r>
      <w:r w:rsidR="0087293A" w:rsidRPr="002C684B">
        <w:rPr>
          <w:rFonts w:ascii="Times New Roman" w:hAnsi="Times New Roman" w:cs="Times New Roman"/>
        </w:rPr>
        <w:t xml:space="preserve">Hellenistic and later Roman </w:t>
      </w:r>
      <w:r w:rsidRPr="002C684B">
        <w:rPr>
          <w:rFonts w:ascii="Times New Roman" w:hAnsi="Times New Roman" w:cs="Times New Roman"/>
        </w:rPr>
        <w:t xml:space="preserve">diplomats </w:t>
      </w:r>
      <w:r w:rsidR="0087293A" w:rsidRPr="002C684B">
        <w:rPr>
          <w:rFonts w:ascii="Times New Roman" w:hAnsi="Times New Roman" w:cs="Times New Roman"/>
        </w:rPr>
        <w:t>would generate</w:t>
      </w:r>
      <w:r w:rsidRPr="002C684B">
        <w:rPr>
          <w:rFonts w:ascii="Times New Roman" w:hAnsi="Times New Roman" w:cs="Times New Roman"/>
        </w:rPr>
        <w:t xml:space="preserve"> genealogies in order to</w:t>
      </w:r>
      <w:r w:rsidR="0087293A" w:rsidRPr="002C684B">
        <w:rPr>
          <w:rFonts w:ascii="Times New Roman" w:hAnsi="Times New Roman" w:cs="Times New Roman"/>
        </w:rPr>
        <w:t xml:space="preserve"> trace back to shared ancestors --</w:t>
      </w:r>
      <w:r w:rsidRPr="002C684B">
        <w:rPr>
          <w:rFonts w:ascii="Times New Roman" w:hAnsi="Times New Roman" w:cs="Times New Roman"/>
        </w:rPr>
        <w:t xml:space="preserve"> often, ultimately, to a god. The parties under agreement themselves thus became “kin.” Since the Jewish god did not leave human children behind in the ways that Greek gods did, the Hellenistic Judean kingdom under the Hasmoneans had to mobilize the progeny of the patriarchs to break into inter-city diplomacy. An alliance between Sparta and Jerusalem was accordingly effected and stabilized through the distant union of a granddaughter of Abraham’s with the widely-wandering Heracles. “After reading a certain document,” announces a Spartan king to the Jewish high priest, “we have found that Jews and Lacedaemonians [Spartans] are of one </w:t>
      </w:r>
      <w:r w:rsidRPr="002C684B">
        <w:rPr>
          <w:rFonts w:ascii="Gentium" w:hAnsi="Gentium" w:cs="Times New Roman"/>
        </w:rPr>
        <w:t>γένος</w:t>
      </w:r>
      <w:r w:rsidRPr="002C684B">
        <w:rPr>
          <w:rFonts w:ascii="Times New Roman" w:hAnsi="Times New Roman" w:cs="Times New Roman"/>
        </w:rPr>
        <w:t xml:space="preserve">, and share a connection with Abraham” (Josephus, </w:t>
      </w:r>
      <w:r w:rsidRPr="002C684B">
        <w:rPr>
          <w:rFonts w:ascii="Times New Roman" w:hAnsi="Times New Roman" w:cs="Times New Roman"/>
          <w:i/>
        </w:rPr>
        <w:t>A.J.</w:t>
      </w:r>
      <w:r w:rsidRPr="002C684B">
        <w:rPr>
          <w:rFonts w:ascii="Times New Roman" w:hAnsi="Times New Roman" w:cs="Times New Roman"/>
        </w:rPr>
        <w:t xml:space="preserve"> 12.226).</w:t>
      </w:r>
      <w:r w:rsidRPr="002C684B">
        <w:rPr>
          <w:rFonts w:ascii="Times New Roman" w:hAnsi="Times New Roman" w:cs="Times New Roman"/>
          <w:vertAlign w:val="superscript"/>
        </w:rPr>
        <w:footnoteReference w:id="8"/>
      </w:r>
    </w:p>
    <w:p w14:paraId="4F2A73A6" w14:textId="77777777" w:rsidR="0053690C" w:rsidRPr="002C684B" w:rsidRDefault="0053690C" w:rsidP="0053690C">
      <w:pPr>
        <w:spacing w:after="0"/>
        <w:ind w:firstLine="720"/>
        <w:rPr>
          <w:rFonts w:ascii="Times New Roman" w:hAnsi="Times New Roman" w:cs="Times New Roman"/>
        </w:rPr>
      </w:pPr>
      <w:r w:rsidRPr="002C684B">
        <w:rPr>
          <w:rFonts w:ascii="Times New Roman" w:hAnsi="Times New Roman" w:cs="Times New Roman"/>
        </w:rPr>
        <w:t xml:space="preserve"> </w:t>
      </w:r>
    </w:p>
    <w:p w14:paraId="2AA37695" w14:textId="77777777" w:rsidR="0053690C" w:rsidRPr="002C684B" w:rsidRDefault="0053690C" w:rsidP="0053690C">
      <w:pPr>
        <w:spacing w:after="0"/>
        <w:ind w:firstLine="720"/>
        <w:rPr>
          <w:rFonts w:ascii="Times New Roman" w:hAnsi="Times New Roman" w:cs="Times New Roman"/>
        </w:rPr>
      </w:pPr>
      <w:r w:rsidRPr="002C684B">
        <w:rPr>
          <w:rFonts w:ascii="Times New Roman" w:hAnsi="Times New Roman" w:cs="Times New Roman"/>
        </w:rPr>
        <w:t xml:space="preserve">Kinship and cult articulated family hierarchy. At the “micro” level the bride, entering her husband’s household, assumed responsibility for what were for her new ancestors and new gods. So too with an adopted son: his induction into a new family not only established a pattern of inheritance; it also assured the continuation of family cult. And Augustus, positioning himself as the empire’s </w:t>
      </w:r>
      <w:r w:rsidRPr="002C684B">
        <w:rPr>
          <w:rFonts w:ascii="Times New Roman" w:hAnsi="Times New Roman" w:cs="Times New Roman"/>
          <w:i/>
        </w:rPr>
        <w:t>pater</w:t>
      </w:r>
      <w:r w:rsidRPr="002C684B">
        <w:rPr>
          <w:rFonts w:ascii="Times New Roman" w:hAnsi="Times New Roman" w:cs="Times New Roman"/>
        </w:rPr>
        <w:t xml:space="preserve">, through the worship of his own </w:t>
      </w:r>
      <w:r w:rsidRPr="002C684B">
        <w:rPr>
          <w:rFonts w:ascii="Times New Roman" w:hAnsi="Times New Roman" w:cs="Times New Roman"/>
          <w:i/>
        </w:rPr>
        <w:t>genius,</w:t>
      </w:r>
      <w:r w:rsidRPr="002C684B">
        <w:rPr>
          <w:rFonts w:ascii="Times New Roman" w:hAnsi="Times New Roman" w:cs="Times New Roman"/>
        </w:rPr>
        <w:t xml:space="preserve"> turned his new political unit into a single, vast, multi-ethnic </w:t>
      </w:r>
      <w:r w:rsidRPr="002C684B">
        <w:rPr>
          <w:rFonts w:ascii="Times New Roman" w:hAnsi="Times New Roman" w:cs="Times New Roman"/>
          <w:i/>
        </w:rPr>
        <w:t xml:space="preserve">oikos </w:t>
      </w:r>
      <w:r w:rsidRPr="002C684B">
        <w:rPr>
          <w:rFonts w:ascii="Times New Roman" w:hAnsi="Times New Roman" w:cs="Times New Roman"/>
        </w:rPr>
        <w:t xml:space="preserve">or </w:t>
      </w:r>
      <w:r w:rsidRPr="002C684B">
        <w:rPr>
          <w:rFonts w:ascii="Times New Roman" w:hAnsi="Times New Roman" w:cs="Times New Roman"/>
          <w:i/>
        </w:rPr>
        <w:t>domus</w:t>
      </w:r>
      <w:r w:rsidRPr="002C684B">
        <w:rPr>
          <w:rFonts w:ascii="Times New Roman" w:hAnsi="Times New Roman" w:cs="Times New Roman"/>
        </w:rPr>
        <w:t xml:space="preserve"> or “family” (</w:t>
      </w:r>
      <w:r w:rsidRPr="002C684B">
        <w:rPr>
          <w:rFonts w:ascii="Times New Roman" w:hAnsi="Times New Roman" w:cs="Times New Roman"/>
          <w:i/>
        </w:rPr>
        <w:t>gens</w:t>
      </w:r>
      <w:r w:rsidRPr="002C684B">
        <w:rPr>
          <w:rFonts w:ascii="Times New Roman" w:hAnsi="Times New Roman" w:cs="Times New Roman"/>
        </w:rPr>
        <w:t>).</w:t>
      </w:r>
      <w:r w:rsidRPr="002C684B">
        <w:rPr>
          <w:rFonts w:ascii="Times New Roman" w:hAnsi="Times New Roman" w:cs="Times New Roman"/>
          <w:vertAlign w:val="superscript"/>
        </w:rPr>
        <w:t xml:space="preserve"> </w:t>
      </w:r>
      <w:r w:rsidRPr="002C684B">
        <w:rPr>
          <w:rFonts w:ascii="Times New Roman" w:hAnsi="Times New Roman" w:cs="Times New Roman"/>
          <w:vertAlign w:val="superscript"/>
        </w:rPr>
        <w:footnoteReference w:id="9"/>
      </w:r>
    </w:p>
    <w:p w14:paraId="5C08EC59" w14:textId="77777777" w:rsidR="0053690C" w:rsidRPr="002C684B" w:rsidRDefault="0053690C" w:rsidP="0053690C">
      <w:pPr>
        <w:spacing w:after="0"/>
        <w:ind w:firstLine="720"/>
        <w:rPr>
          <w:rFonts w:ascii="Times New Roman" w:hAnsi="Times New Roman" w:cs="Times New Roman"/>
        </w:rPr>
      </w:pPr>
    </w:p>
    <w:p w14:paraId="5D5FF157" w14:textId="77777777" w:rsidR="0053690C" w:rsidRPr="002C684B" w:rsidRDefault="0053690C" w:rsidP="0053690C">
      <w:pPr>
        <w:spacing w:after="0"/>
        <w:ind w:firstLine="720"/>
        <w:rPr>
          <w:rFonts w:ascii="Times New Roman" w:hAnsi="Times New Roman" w:cs="Times New Roman"/>
        </w:rPr>
      </w:pPr>
      <w:r w:rsidRPr="002C684B">
        <w:rPr>
          <w:rFonts w:ascii="Times New Roman" w:hAnsi="Times New Roman" w:cs="Times New Roman"/>
        </w:rPr>
        <w:t xml:space="preserve">Finally, proper awareness of and appropriate deference to superiors within this numinous-human hierarchy were deemed </w:t>
      </w:r>
      <w:r w:rsidRPr="002C684B">
        <w:rPr>
          <w:rFonts w:ascii="Times New Roman" w:hAnsi="Times New Roman" w:cs="Times New Roman"/>
          <w:i/>
        </w:rPr>
        <w:t>pietas</w:t>
      </w:r>
      <w:r w:rsidRPr="002C684B">
        <w:rPr>
          <w:rFonts w:ascii="Times New Roman" w:hAnsi="Times New Roman" w:cs="Times New Roman"/>
        </w:rPr>
        <w:t xml:space="preserve"> or </w:t>
      </w:r>
      <w:r w:rsidRPr="002C684B">
        <w:rPr>
          <w:rFonts w:ascii="Times New Roman" w:hAnsi="Times New Roman" w:cs="Times New Roman"/>
          <w:i/>
        </w:rPr>
        <w:t>eusebeia</w:t>
      </w:r>
      <w:r w:rsidRPr="002C684B">
        <w:rPr>
          <w:rFonts w:ascii="Times New Roman" w:hAnsi="Times New Roman" w:cs="Times New Roman"/>
        </w:rPr>
        <w:t xml:space="preserve">; one’s </w:t>
      </w:r>
      <w:r w:rsidRPr="002C684B">
        <w:rPr>
          <w:rFonts w:ascii="Times New Roman" w:hAnsi="Times New Roman" w:cs="Times New Roman"/>
          <w:i/>
        </w:rPr>
        <w:t>pistis</w:t>
      </w:r>
      <w:r w:rsidRPr="002C684B">
        <w:rPr>
          <w:rFonts w:ascii="Times New Roman" w:hAnsi="Times New Roman" w:cs="Times New Roman"/>
        </w:rPr>
        <w:t xml:space="preserve"> or </w:t>
      </w:r>
      <w:r w:rsidRPr="002C684B">
        <w:rPr>
          <w:rFonts w:ascii="Times New Roman" w:hAnsi="Times New Roman" w:cs="Times New Roman"/>
          <w:i/>
        </w:rPr>
        <w:t>fides</w:t>
      </w:r>
      <w:r w:rsidRPr="002C684B">
        <w:rPr>
          <w:rFonts w:ascii="Times New Roman" w:hAnsi="Times New Roman" w:cs="Times New Roman"/>
        </w:rPr>
        <w:t xml:space="preserve"> expressed one’s loyalty to these bequeathed practices and to the divine-human and intra-human relationships that they articulated</w:t>
      </w:r>
      <w:r w:rsidRPr="002C684B">
        <w:rPr>
          <w:rFonts w:ascii="Times New Roman" w:hAnsi="Times New Roman" w:cs="Times New Roman"/>
          <w:i/>
        </w:rPr>
        <w:t>.</w:t>
      </w:r>
      <w:r w:rsidRPr="002C684B">
        <w:rPr>
          <w:rFonts w:ascii="Times New Roman" w:hAnsi="Times New Roman" w:cs="Times New Roman"/>
        </w:rPr>
        <w:t xml:space="preserve"> Harmonious relations – showing respect, and being seen to show respect – began at the hearth and extended outward to the city, to the larger empire and, thence, to the cosmos itself. Enacting these arrangements at the micro-level was pious common sense; at the macro-level, it was tantamount to safeguarding the </w:t>
      </w:r>
      <w:r w:rsidRPr="002C684B">
        <w:rPr>
          <w:rFonts w:ascii="Times New Roman" w:hAnsi="Times New Roman" w:cs="Times New Roman"/>
          <w:i/>
        </w:rPr>
        <w:t>pax deorum.</w:t>
      </w:r>
      <w:r w:rsidRPr="002C684B">
        <w:rPr>
          <w:rFonts w:ascii="Times New Roman" w:hAnsi="Times New Roman" w:cs="Times New Roman"/>
          <w:vertAlign w:val="superscript"/>
        </w:rPr>
        <w:footnoteReference w:id="10"/>
      </w:r>
      <w:r w:rsidRPr="002C684B">
        <w:rPr>
          <w:rFonts w:ascii="Times New Roman" w:hAnsi="Times New Roman" w:cs="Times New Roman"/>
        </w:rPr>
        <w:t xml:space="preserve"> Kinship and cult were thus not separated from politics: rather, and at a fundamental level, they constituted politics.</w:t>
      </w:r>
    </w:p>
    <w:p w14:paraId="44BA7CBC" w14:textId="77777777" w:rsidR="0053690C" w:rsidRPr="002C684B" w:rsidRDefault="0053690C" w:rsidP="0053690C">
      <w:pPr>
        <w:spacing w:after="0"/>
        <w:ind w:firstLine="720"/>
        <w:rPr>
          <w:rFonts w:ascii="Times New Roman" w:hAnsi="Times New Roman" w:cs="Times New Roman"/>
        </w:rPr>
      </w:pPr>
    </w:p>
    <w:p w14:paraId="415001E0"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Against this “genealogical” model of divine/human relations stands the odd phenomenon of what we would call “conversion to Judaism.” Given </w:t>
      </w:r>
      <w:r w:rsidR="0087293A" w:rsidRPr="002C684B">
        <w:rPr>
          <w:rFonts w:ascii="Times New Roman" w:hAnsi="Times New Roman" w:cs="Times New Roman"/>
        </w:rPr>
        <w:t xml:space="preserve">ancient </w:t>
      </w:r>
      <w:r w:rsidRPr="002C684B">
        <w:rPr>
          <w:rFonts w:ascii="Times New Roman" w:hAnsi="Times New Roman" w:cs="Times New Roman"/>
        </w:rPr>
        <w:t xml:space="preserve">divinity’s ethnic embeddedness, the term, and the </w:t>
      </w:r>
      <w:r w:rsidR="0087293A" w:rsidRPr="002C684B">
        <w:rPr>
          <w:rFonts w:ascii="Times New Roman" w:hAnsi="Times New Roman" w:cs="Times New Roman"/>
        </w:rPr>
        <w:t>phenomenon, scarcely make sense.</w:t>
      </w:r>
      <w:r w:rsidRPr="002C684B">
        <w:rPr>
          <w:rFonts w:ascii="Times New Roman" w:hAnsi="Times New Roman" w:cs="Times New Roman"/>
        </w:rPr>
        <w:t xml:space="preserve"> To fully change gods, to make an exclusive commitment to the Jewish god and to Jewish ancestral practices was tantamount to changing ethnicity. A pagan’s “becoming” a Jew in effect altered his own past, reconfigured his ancestry and (as Tacitus complained, </w:t>
      </w:r>
      <w:r w:rsidRPr="002C684B">
        <w:rPr>
          <w:rFonts w:ascii="Times New Roman" w:hAnsi="Times New Roman" w:cs="Times New Roman"/>
          <w:i/>
        </w:rPr>
        <w:t>Hist.</w:t>
      </w:r>
      <w:r w:rsidRPr="002C684B">
        <w:rPr>
          <w:rFonts w:ascii="Times New Roman" w:hAnsi="Times New Roman" w:cs="Times New Roman"/>
        </w:rPr>
        <w:t xml:space="preserve"> V.5.1,2) cut his ties to his own pantheon, family, and </w:t>
      </w:r>
      <w:r w:rsidRPr="002C684B">
        <w:rPr>
          <w:rFonts w:ascii="Times New Roman" w:hAnsi="Times New Roman" w:cs="Times New Roman"/>
          <w:i/>
        </w:rPr>
        <w:t>patria.</w:t>
      </w:r>
      <w:r w:rsidRPr="002C684B">
        <w:rPr>
          <w:rFonts w:ascii="Times New Roman" w:hAnsi="Times New Roman" w:cs="Times New Roman"/>
        </w:rPr>
        <w:t xml:space="preserve"> For this reason, what we call “conversion,” ancients saw as deserting ancestral customs for foreign laws. </w:t>
      </w:r>
    </w:p>
    <w:p w14:paraId="3564D674"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The political model of configuring divine-human relations, in other words, shaped the discourse of “conversion.” Philo speaks of what we call “conversion” as forming a new political affiliation, a non-Jew’s entering the Jewish </w:t>
      </w:r>
      <w:r w:rsidRPr="002C684B">
        <w:rPr>
          <w:rFonts w:ascii="Gentium" w:hAnsi="Gentium" w:cs="Times New Roman"/>
        </w:rPr>
        <w:t>πολιτεία</w:t>
      </w:r>
      <w:r w:rsidRPr="002C684B">
        <w:rPr>
          <w:rFonts w:ascii="Times New Roman" w:hAnsi="Times New Roman" w:cs="Times New Roman"/>
          <w:i/>
        </w:rPr>
        <w:t xml:space="preserve"> </w:t>
      </w:r>
      <w:r w:rsidRPr="002C684B">
        <w:rPr>
          <w:rFonts w:ascii="Times New Roman" w:hAnsi="Times New Roman" w:cs="Times New Roman"/>
        </w:rPr>
        <w:t>(</w:t>
      </w:r>
      <w:r w:rsidRPr="002C684B">
        <w:rPr>
          <w:rFonts w:ascii="Times New Roman" w:hAnsi="Times New Roman" w:cs="Times New Roman"/>
          <w:i/>
        </w:rPr>
        <w:t xml:space="preserve">Spec. </w:t>
      </w:r>
      <w:r w:rsidRPr="002C684B">
        <w:rPr>
          <w:rFonts w:ascii="Times New Roman" w:hAnsi="Times New Roman" w:cs="Times New Roman"/>
        </w:rPr>
        <w:t>1.51). So too Justin</w:t>
      </w:r>
      <w:r w:rsidR="0087293A" w:rsidRPr="002C684B">
        <w:rPr>
          <w:rFonts w:ascii="Times New Roman" w:hAnsi="Times New Roman" w:cs="Times New Roman"/>
        </w:rPr>
        <w:t>, mid-second century CE,</w:t>
      </w:r>
      <w:r w:rsidRPr="002C684B">
        <w:rPr>
          <w:rFonts w:ascii="Times New Roman" w:hAnsi="Times New Roman" w:cs="Times New Roman"/>
        </w:rPr>
        <w:t xml:space="preserve"> describes conversion to Judaism as a person’s entering </w:t>
      </w:r>
      <w:r w:rsidRPr="002C684B">
        <w:rPr>
          <w:rFonts w:ascii="Gentium" w:hAnsi="Gentium" w:cs="Times New Roman"/>
        </w:rPr>
        <w:t>τὴν ἐννόμον πολιτείαν</w:t>
      </w:r>
      <w:r w:rsidRPr="002C684B">
        <w:rPr>
          <w:rFonts w:ascii="Times New Roman" w:hAnsi="Times New Roman" w:cs="Times New Roman"/>
          <w:i/>
        </w:rPr>
        <w:t xml:space="preserve"> </w:t>
      </w:r>
      <w:r w:rsidRPr="002C684B">
        <w:rPr>
          <w:rFonts w:ascii="Times New Roman" w:hAnsi="Times New Roman" w:cs="Times New Roman"/>
        </w:rPr>
        <w:t>(</w:t>
      </w:r>
      <w:r w:rsidRPr="002C684B">
        <w:rPr>
          <w:rFonts w:ascii="Times New Roman" w:hAnsi="Times New Roman" w:cs="Times New Roman"/>
          <w:i/>
        </w:rPr>
        <w:t>Dial.</w:t>
      </w:r>
      <w:r w:rsidRPr="002C684B">
        <w:rPr>
          <w:rFonts w:ascii="Times New Roman" w:hAnsi="Times New Roman" w:cs="Times New Roman"/>
        </w:rPr>
        <w:t xml:space="preserve"> 46–47). Celsus, a gen</w:t>
      </w:r>
      <w:r w:rsidR="0087293A" w:rsidRPr="002C684B">
        <w:rPr>
          <w:rFonts w:ascii="Times New Roman" w:hAnsi="Times New Roman" w:cs="Times New Roman"/>
        </w:rPr>
        <w:t>eration later, sounds the themes</w:t>
      </w:r>
      <w:r w:rsidRPr="002C684B">
        <w:rPr>
          <w:rFonts w:ascii="Times New Roman" w:hAnsi="Times New Roman" w:cs="Times New Roman"/>
        </w:rPr>
        <w:t xml:space="preserve"> of disloyalty shading to treason, criticizing those pagans who have “abandoned their own traditions and professed those of the Jews” (</w:t>
      </w:r>
      <w:r w:rsidRPr="002C684B">
        <w:rPr>
          <w:rFonts w:ascii="Times New Roman" w:hAnsi="Times New Roman" w:cs="Times New Roman"/>
          <w:i/>
        </w:rPr>
        <w:t>c. Cels.</w:t>
      </w:r>
      <w:r w:rsidRPr="002C684B">
        <w:rPr>
          <w:rFonts w:ascii="Times New Roman" w:hAnsi="Times New Roman" w:cs="Times New Roman"/>
        </w:rPr>
        <w:t xml:space="preserve"> 5.41). And Domitian executed some members of the Roman aristocracy for “atheism,” that is, for spurning their own gods on account of treasonable loyalty to “the customs of the Jews” (Dio, </w:t>
      </w:r>
      <w:r w:rsidRPr="002C684B">
        <w:rPr>
          <w:rFonts w:ascii="Times New Roman" w:hAnsi="Times New Roman" w:cs="Times New Roman"/>
          <w:i/>
        </w:rPr>
        <w:t>Roman History</w:t>
      </w:r>
      <w:r w:rsidRPr="002C684B">
        <w:rPr>
          <w:rFonts w:ascii="Times New Roman" w:hAnsi="Times New Roman" w:cs="Times New Roman"/>
        </w:rPr>
        <w:t xml:space="preserve"> 67.14, 1–2). </w:t>
      </w:r>
    </w:p>
    <w:p w14:paraId="7883DF14"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But pagans in fact had a broad range of different degrees of affiliation with Jews and, thus, with the Jews’ god. A.D. Nock called this sp</w:t>
      </w:r>
      <w:r w:rsidR="0087293A" w:rsidRPr="002C684B">
        <w:rPr>
          <w:rFonts w:ascii="Times New Roman" w:hAnsi="Times New Roman" w:cs="Times New Roman"/>
        </w:rPr>
        <w:t>ecies of affiliation “adherence.” L</w:t>
      </w:r>
      <w:r w:rsidRPr="002C684B">
        <w:rPr>
          <w:rFonts w:ascii="Times New Roman" w:hAnsi="Times New Roman" w:cs="Times New Roman"/>
        </w:rPr>
        <w:t>iterary and epigraphical data referred to it as “god-fearing.”</w:t>
      </w:r>
      <w:r w:rsidRPr="002C684B">
        <w:rPr>
          <w:rFonts w:ascii="Times New Roman" w:hAnsi="Times New Roman" w:cs="Times New Roman"/>
          <w:vertAlign w:val="superscript"/>
        </w:rPr>
        <w:footnoteReference w:id="11"/>
      </w:r>
      <w:r w:rsidRPr="002C684B">
        <w:rPr>
          <w:rFonts w:ascii="Times New Roman" w:hAnsi="Times New Roman" w:cs="Times New Roman"/>
        </w:rPr>
        <w:t xml:space="preserve"> Pagans were free to add the Jewish god to their own native pantheons, dropping in whether to the diaspora synagogue or </w:t>
      </w:r>
      <w:r w:rsidR="0087293A" w:rsidRPr="002C684B">
        <w:rPr>
          <w:rFonts w:ascii="Times New Roman" w:hAnsi="Times New Roman" w:cs="Times New Roman"/>
        </w:rPr>
        <w:t xml:space="preserve">(up until 66 CE) </w:t>
      </w:r>
      <w:r w:rsidRPr="002C684B">
        <w:rPr>
          <w:rFonts w:ascii="Times New Roman" w:hAnsi="Times New Roman" w:cs="Times New Roman"/>
        </w:rPr>
        <w:t xml:space="preserve">to the temple </w:t>
      </w:r>
      <w:r w:rsidR="0087293A" w:rsidRPr="002C684B">
        <w:rPr>
          <w:rFonts w:ascii="Times New Roman" w:hAnsi="Times New Roman" w:cs="Times New Roman"/>
        </w:rPr>
        <w:t xml:space="preserve">of Israel’s god </w:t>
      </w:r>
      <w:r w:rsidRPr="002C684B">
        <w:rPr>
          <w:rFonts w:ascii="Times New Roman" w:hAnsi="Times New Roman" w:cs="Times New Roman"/>
        </w:rPr>
        <w:t>in Jerusalem. This sort of social/religious mixing marked the Greco-Roman city generally. (By turning up in curiae, circuses, odeons et cetera, diaspora Jews frequented pagan places as well). It was the gentile’s step from adherence to “conversion” that brought with it the momentous consequence, for men, of circumcision, and occasioned the loudest disapproval from pagan observers.</w:t>
      </w:r>
    </w:p>
    <w:p w14:paraId="7611F248" w14:textId="77777777" w:rsidR="0053690C" w:rsidRPr="002C684B" w:rsidRDefault="0053690C" w:rsidP="0053690C">
      <w:pPr>
        <w:ind w:firstLine="720"/>
        <w:rPr>
          <w:rFonts w:ascii="Times New Roman" w:hAnsi="Times New Roman" w:cs="Times New Roman"/>
        </w:rPr>
      </w:pPr>
    </w:p>
    <w:p w14:paraId="2988A347" w14:textId="77777777" w:rsidR="0053690C" w:rsidRPr="002C684B" w:rsidRDefault="0053690C" w:rsidP="0053690C">
      <w:pPr>
        <w:ind w:firstLine="720"/>
        <w:rPr>
          <w:rFonts w:ascii="Times New Roman" w:hAnsi="Times New Roman" w:cs="Times New Roman"/>
          <w:i/>
        </w:rPr>
      </w:pPr>
      <w:r w:rsidRPr="002C684B">
        <w:rPr>
          <w:rFonts w:ascii="Times New Roman" w:hAnsi="Times New Roman" w:cs="Times New Roman"/>
        </w:rPr>
        <w:t xml:space="preserve">2. </w:t>
      </w:r>
      <w:r w:rsidRPr="002C684B">
        <w:rPr>
          <w:rFonts w:ascii="Times New Roman" w:hAnsi="Times New Roman" w:cs="Times New Roman"/>
          <w:i/>
        </w:rPr>
        <w:t>Paul and the Nations-in-Christ</w:t>
      </w:r>
    </w:p>
    <w:p w14:paraId="79EC9CA7"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With this brief introduction to orient us, let us look at what Paul is doing.</w:t>
      </w:r>
    </w:p>
    <w:p w14:paraId="0542A5E9" w14:textId="77777777" w:rsidR="0053690C" w:rsidRPr="002C684B" w:rsidRDefault="0053690C" w:rsidP="0053690C">
      <w:pPr>
        <w:ind w:firstLine="720"/>
        <w:rPr>
          <w:rFonts w:ascii="Times New Roman" w:hAnsi="Times New Roman" w:cs="Times New Roman"/>
          <w:i/>
        </w:rPr>
      </w:pPr>
      <w:r w:rsidRPr="002C684B">
        <w:rPr>
          <w:rFonts w:ascii="Times New Roman" w:hAnsi="Times New Roman" w:cs="Times New Roman"/>
        </w:rPr>
        <w:t xml:space="preserve">Notoriously, Paul not only does </w:t>
      </w:r>
      <w:r w:rsidRPr="002C684B">
        <w:rPr>
          <w:rFonts w:ascii="Times New Roman" w:hAnsi="Times New Roman" w:cs="Times New Roman"/>
          <w:i/>
        </w:rPr>
        <w:t>not</w:t>
      </w:r>
      <w:r w:rsidRPr="002C684B">
        <w:rPr>
          <w:rFonts w:ascii="Times New Roman" w:hAnsi="Times New Roman" w:cs="Times New Roman"/>
        </w:rPr>
        <w:t xml:space="preserve"> preach circumcision; he preaches </w:t>
      </w:r>
      <w:r w:rsidRPr="002C684B">
        <w:rPr>
          <w:rFonts w:ascii="Times New Roman" w:hAnsi="Times New Roman" w:cs="Times New Roman"/>
          <w:i/>
        </w:rPr>
        <w:t>against</w:t>
      </w:r>
      <w:r w:rsidRPr="002C684B">
        <w:rPr>
          <w:rFonts w:ascii="Times New Roman" w:hAnsi="Times New Roman" w:cs="Times New Roman"/>
        </w:rPr>
        <w:t xml:space="preserve"> circumcision – which is another way of saying that he is going to and writing to outsiders, </w:t>
      </w:r>
      <w:r w:rsidRPr="002C684B">
        <w:rPr>
          <w:rFonts w:ascii="Times New Roman" w:hAnsi="Times New Roman" w:cs="Times New Roman"/>
          <w:i/>
        </w:rPr>
        <w:t>ta</w:t>
      </w:r>
      <w:r w:rsidRPr="002C684B">
        <w:rPr>
          <w:rFonts w:ascii="Times New Roman" w:hAnsi="Times New Roman" w:cs="Times New Roman"/>
        </w:rPr>
        <w:t xml:space="preserve"> </w:t>
      </w:r>
      <w:r w:rsidRPr="002C684B">
        <w:rPr>
          <w:rFonts w:ascii="Times New Roman" w:hAnsi="Times New Roman" w:cs="Times New Roman"/>
          <w:i/>
        </w:rPr>
        <w:t>ethnē</w:t>
      </w:r>
      <w:r w:rsidRPr="002C684B">
        <w:rPr>
          <w:rFonts w:ascii="Times New Roman" w:hAnsi="Times New Roman" w:cs="Times New Roman"/>
        </w:rPr>
        <w:t>.</w:t>
      </w:r>
      <w:r w:rsidRPr="002C684B">
        <w:rPr>
          <w:rFonts w:ascii="Times New Roman" w:hAnsi="Times New Roman" w:cs="Times New Roman"/>
          <w:vertAlign w:val="superscript"/>
        </w:rPr>
        <w:footnoteReference w:id="12"/>
      </w:r>
      <w:r w:rsidRPr="002C684B">
        <w:rPr>
          <w:rFonts w:ascii="Times New Roman" w:hAnsi="Times New Roman" w:cs="Times New Roman"/>
        </w:rPr>
        <w:t xml:space="preserve"> Yet he works to incorporate these </w:t>
      </w:r>
      <w:r w:rsidRPr="002C684B">
        <w:rPr>
          <w:rFonts w:ascii="Times New Roman" w:hAnsi="Times New Roman" w:cs="Times New Roman"/>
          <w:i/>
        </w:rPr>
        <w:t>ethnē</w:t>
      </w:r>
      <w:r w:rsidRPr="002C684B">
        <w:rPr>
          <w:rFonts w:ascii="Times New Roman" w:hAnsi="Times New Roman" w:cs="Times New Roman"/>
        </w:rPr>
        <w:t xml:space="preserve"> into a </w:t>
      </w:r>
      <w:r w:rsidRPr="002C684B">
        <w:rPr>
          <w:rFonts w:ascii="Times New Roman" w:hAnsi="Times New Roman" w:cs="Times New Roman"/>
          <w:i/>
        </w:rPr>
        <w:t>Jewish</w:t>
      </w:r>
      <w:r w:rsidRPr="002C684B">
        <w:rPr>
          <w:rFonts w:ascii="Times New Roman" w:hAnsi="Times New Roman" w:cs="Times New Roman"/>
        </w:rPr>
        <w:t xml:space="preserve"> religious institution or association, the </w:t>
      </w:r>
      <w:r w:rsidRPr="002C684B">
        <w:rPr>
          <w:rFonts w:ascii="Times New Roman" w:hAnsi="Times New Roman" w:cs="Times New Roman"/>
          <w:i/>
        </w:rPr>
        <w:t>ekklēsia</w:t>
      </w:r>
      <w:r w:rsidRPr="002C684B">
        <w:rPr>
          <w:rFonts w:ascii="Times New Roman" w:hAnsi="Times New Roman" w:cs="Times New Roman"/>
        </w:rPr>
        <w:t xml:space="preserve"> (“assembly”), dedicated rigorously to the sole worship of Israel’s god (e.g., 1 Cor 8.6). By immersion, these </w:t>
      </w:r>
      <w:r w:rsidRPr="002C684B">
        <w:rPr>
          <w:rFonts w:ascii="Times New Roman" w:hAnsi="Times New Roman" w:cs="Times New Roman"/>
          <w:i/>
        </w:rPr>
        <w:t>ethnē</w:t>
      </w:r>
      <w:r w:rsidRPr="002C684B">
        <w:rPr>
          <w:rFonts w:ascii="Times New Roman" w:hAnsi="Times New Roman" w:cs="Times New Roman"/>
        </w:rPr>
        <w:t xml:space="preserve"> receive the spirit of Israel’s god, or that of his son, the Christ (Gal 4.5-7; Rom 8.9-15). They thereby remain </w:t>
      </w:r>
      <w:r w:rsidRPr="002C684B">
        <w:rPr>
          <w:rFonts w:ascii="Times New Roman" w:hAnsi="Times New Roman" w:cs="Times New Roman"/>
          <w:i/>
        </w:rPr>
        <w:t>ethnē</w:t>
      </w:r>
      <w:r w:rsidRPr="002C684B">
        <w:rPr>
          <w:rFonts w:ascii="Times New Roman" w:hAnsi="Times New Roman" w:cs="Times New Roman"/>
        </w:rPr>
        <w:t xml:space="preserve">, although </w:t>
      </w:r>
      <w:r w:rsidRPr="002C684B">
        <w:rPr>
          <w:rFonts w:ascii="Times New Roman" w:hAnsi="Times New Roman" w:cs="Times New Roman"/>
          <w:i/>
        </w:rPr>
        <w:t>ethnē</w:t>
      </w:r>
      <w:r w:rsidRPr="002C684B">
        <w:rPr>
          <w:rFonts w:ascii="Times New Roman" w:hAnsi="Times New Roman" w:cs="Times New Roman"/>
        </w:rPr>
        <w:t xml:space="preserve"> with a difference. They must have absolutely abandoned </w:t>
      </w:r>
      <w:r w:rsidRPr="002C684B">
        <w:rPr>
          <w:rFonts w:ascii="Times New Roman" w:hAnsi="Times New Roman" w:cs="Times New Roman"/>
          <w:i/>
        </w:rPr>
        <w:t>latreia</w:t>
      </w:r>
      <w:r w:rsidRPr="002C684B">
        <w:rPr>
          <w:rFonts w:ascii="Times New Roman" w:hAnsi="Times New Roman" w:cs="Times New Roman"/>
        </w:rPr>
        <w:t xml:space="preserve"> to images, and they may no longer worship their native gods. Receiving this spirit in turn enables these </w:t>
      </w:r>
      <w:r w:rsidRPr="002C684B">
        <w:rPr>
          <w:rFonts w:ascii="Times New Roman" w:hAnsi="Times New Roman" w:cs="Times New Roman"/>
          <w:i/>
        </w:rPr>
        <w:t>ethnē</w:t>
      </w:r>
      <w:r w:rsidRPr="002C684B">
        <w:rPr>
          <w:rFonts w:ascii="Times New Roman" w:hAnsi="Times New Roman" w:cs="Times New Roman"/>
        </w:rPr>
        <w:t xml:space="preserve"> to do God’s ordinances, which are themselves part of Jewish culture, what Paul calls the </w:t>
      </w:r>
      <w:r w:rsidRPr="002C684B">
        <w:rPr>
          <w:rFonts w:ascii="Times New Roman" w:hAnsi="Times New Roman" w:cs="Times New Roman"/>
          <w:i/>
        </w:rPr>
        <w:t>nomos.</w:t>
      </w:r>
      <w:r w:rsidRPr="002C684B">
        <w:rPr>
          <w:rFonts w:ascii="Times New Roman" w:hAnsi="Times New Roman" w:cs="Times New Roman"/>
          <w:vertAlign w:val="superscript"/>
        </w:rPr>
        <w:footnoteReference w:id="13"/>
      </w:r>
    </w:p>
    <w:p w14:paraId="68E39D34"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 Paul does </w:t>
      </w:r>
      <w:r w:rsidRPr="002C684B">
        <w:rPr>
          <w:rFonts w:ascii="Times New Roman" w:hAnsi="Times New Roman" w:cs="Times New Roman"/>
          <w:i/>
        </w:rPr>
        <w:t>not</w:t>
      </w:r>
      <w:r w:rsidRPr="002C684B">
        <w:rPr>
          <w:rFonts w:ascii="Times New Roman" w:hAnsi="Times New Roman" w:cs="Times New Roman"/>
        </w:rPr>
        <w:t xml:space="preserve"> use the language of citizenship to articulate the new relationship that these </w:t>
      </w:r>
      <w:r w:rsidRPr="002C684B">
        <w:rPr>
          <w:rFonts w:ascii="Times New Roman" w:hAnsi="Times New Roman" w:cs="Times New Roman"/>
          <w:i/>
        </w:rPr>
        <w:t>ethnē</w:t>
      </w:r>
      <w:r w:rsidRPr="002C684B">
        <w:rPr>
          <w:rFonts w:ascii="Times New Roman" w:hAnsi="Times New Roman" w:cs="Times New Roman"/>
        </w:rPr>
        <w:t xml:space="preserve"> have with his god. They do </w:t>
      </w:r>
      <w:r w:rsidRPr="002C684B">
        <w:rPr>
          <w:rFonts w:ascii="Times New Roman" w:hAnsi="Times New Roman" w:cs="Times New Roman"/>
          <w:i/>
        </w:rPr>
        <w:t>not</w:t>
      </w:r>
      <w:r w:rsidR="0087293A" w:rsidRPr="002C684B">
        <w:rPr>
          <w:rFonts w:ascii="Times New Roman" w:hAnsi="Times New Roman" w:cs="Times New Roman"/>
        </w:rPr>
        <w:t xml:space="preserve">, through immersion, </w:t>
      </w:r>
      <w:r w:rsidRPr="002C684B">
        <w:rPr>
          <w:rFonts w:ascii="Times New Roman" w:hAnsi="Times New Roman" w:cs="Times New Roman"/>
        </w:rPr>
        <w:t xml:space="preserve">thereby become members of Israel. (To do that would require circumcision which, he says, would mean that the messiah was of no advantage to them, Gal 5.2). On the contrary, these </w:t>
      </w:r>
      <w:r w:rsidRPr="002C684B">
        <w:rPr>
          <w:rFonts w:ascii="Times New Roman" w:hAnsi="Times New Roman" w:cs="Times New Roman"/>
          <w:i/>
        </w:rPr>
        <w:t>ethnē</w:t>
      </w:r>
      <w:r w:rsidRPr="002C684B">
        <w:rPr>
          <w:rFonts w:ascii="Times New Roman" w:hAnsi="Times New Roman" w:cs="Times New Roman"/>
        </w:rPr>
        <w:t xml:space="preserve">, uncircumcised, remain precisely that: gentiles (see, for example, Rom 11.13). How then does Paul construct this new, eschatological non-Jewish Jewish assembly? </w:t>
      </w:r>
    </w:p>
    <w:p w14:paraId="7F12D19E"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By appealing to the utterly Roman model of </w:t>
      </w:r>
      <w:r w:rsidRPr="002C684B">
        <w:rPr>
          <w:rFonts w:ascii="Times New Roman" w:hAnsi="Times New Roman" w:cs="Times New Roman"/>
          <w:i/>
        </w:rPr>
        <w:t>huiothesia</w:t>
      </w:r>
      <w:r w:rsidRPr="002C684B">
        <w:rPr>
          <w:rFonts w:ascii="Times New Roman" w:hAnsi="Times New Roman" w:cs="Times New Roman"/>
        </w:rPr>
        <w:t>, son-adoption. Paul charismatically construct</w:t>
      </w:r>
      <w:r w:rsidR="005D424D" w:rsidRPr="002C684B">
        <w:rPr>
          <w:rFonts w:ascii="Times New Roman" w:hAnsi="Times New Roman" w:cs="Times New Roman"/>
        </w:rPr>
        <w:t>s a new lineage for these gentiles-in-Christ</w:t>
      </w:r>
      <w:r w:rsidRPr="002C684B">
        <w:rPr>
          <w:rFonts w:ascii="Times New Roman" w:hAnsi="Times New Roman" w:cs="Times New Roman"/>
        </w:rPr>
        <w:t xml:space="preserve"> as </w:t>
      </w:r>
      <w:r w:rsidRPr="002C684B">
        <w:rPr>
          <w:rFonts w:ascii="Times New Roman" w:hAnsi="Times New Roman" w:cs="Times New Roman"/>
          <w:i/>
        </w:rPr>
        <w:t>aldelphoi kata pneuma</w:t>
      </w:r>
      <w:r w:rsidRPr="002C684B">
        <w:rPr>
          <w:rFonts w:ascii="Times New Roman" w:hAnsi="Times New Roman" w:cs="Times New Roman"/>
        </w:rPr>
        <w:t>. They may remain ethnically distinct</w:t>
      </w:r>
      <w:r w:rsidR="005D424D" w:rsidRPr="002C684B">
        <w:rPr>
          <w:rFonts w:ascii="Times New Roman" w:hAnsi="Times New Roman" w:cs="Times New Roman"/>
        </w:rPr>
        <w:t xml:space="preserve"> from Israel</w:t>
      </w:r>
      <w:r w:rsidRPr="002C684B">
        <w:rPr>
          <w:rFonts w:ascii="Times New Roman" w:hAnsi="Times New Roman" w:cs="Times New Roman"/>
        </w:rPr>
        <w:t xml:space="preserve">, distinct </w:t>
      </w:r>
      <w:r w:rsidRPr="002C684B">
        <w:rPr>
          <w:rFonts w:ascii="Times New Roman" w:hAnsi="Times New Roman" w:cs="Times New Roman"/>
          <w:i/>
        </w:rPr>
        <w:t>kata sarka</w:t>
      </w:r>
      <w:r w:rsidR="005D424D" w:rsidRPr="002C684B">
        <w:rPr>
          <w:rFonts w:ascii="Times New Roman" w:hAnsi="Times New Roman" w:cs="Times New Roman"/>
        </w:rPr>
        <w:t xml:space="preserve"> (thus, no circumcision). But they become</w:t>
      </w:r>
      <w:r w:rsidRPr="002C684B">
        <w:rPr>
          <w:rFonts w:ascii="Times New Roman" w:hAnsi="Times New Roman" w:cs="Times New Roman"/>
        </w:rPr>
        <w:t xml:space="preserve"> brothers </w:t>
      </w:r>
      <w:r w:rsidRPr="002C684B">
        <w:rPr>
          <w:rFonts w:ascii="Times New Roman" w:hAnsi="Times New Roman" w:cs="Times New Roman"/>
          <w:i/>
        </w:rPr>
        <w:t>ek pisteos</w:t>
      </w:r>
      <w:r w:rsidRPr="002C684B">
        <w:rPr>
          <w:rFonts w:ascii="Times New Roman" w:hAnsi="Times New Roman" w:cs="Times New Roman"/>
        </w:rPr>
        <w:t xml:space="preserve"> (not </w:t>
      </w:r>
      <w:r w:rsidRPr="002C684B">
        <w:rPr>
          <w:rFonts w:ascii="Times New Roman" w:hAnsi="Times New Roman" w:cs="Times New Roman"/>
          <w:i/>
        </w:rPr>
        <w:t>ek nomos,</w:t>
      </w:r>
      <w:r w:rsidRPr="002C684B">
        <w:rPr>
          <w:rFonts w:ascii="Times New Roman" w:hAnsi="Times New Roman" w:cs="Times New Roman"/>
        </w:rPr>
        <w:t xml:space="preserve"> the more “political” model), brothers </w:t>
      </w:r>
      <w:r w:rsidRPr="002C684B">
        <w:rPr>
          <w:rFonts w:ascii="Times New Roman" w:hAnsi="Times New Roman" w:cs="Times New Roman"/>
          <w:i/>
        </w:rPr>
        <w:t>kata pneuma</w:t>
      </w:r>
      <w:r w:rsidRPr="002C684B">
        <w:rPr>
          <w:rFonts w:ascii="Times New Roman" w:hAnsi="Times New Roman" w:cs="Times New Roman"/>
        </w:rPr>
        <w:t xml:space="preserve">. </w:t>
      </w:r>
    </w:p>
    <w:p w14:paraId="100092A9"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Why does Paul use this very Roman idea of adoption? For a very Roman reason: adoption affects these Christ-following gentiles’ status as “heirs.” They too, thanks to spirit, can inherit. Inherit what?  An idiosyncratically Jewish patrimony: the </w:t>
      </w:r>
      <w:r w:rsidRPr="002C684B">
        <w:rPr>
          <w:rFonts w:ascii="Times New Roman" w:hAnsi="Times New Roman" w:cs="Times New Roman"/>
          <w:i/>
        </w:rPr>
        <w:t>basileia tou theou</w:t>
      </w:r>
      <w:r w:rsidRPr="002C684B">
        <w:rPr>
          <w:rFonts w:ascii="Times New Roman" w:hAnsi="Times New Roman" w:cs="Times New Roman"/>
        </w:rPr>
        <w:t>.</w:t>
      </w:r>
      <w:r w:rsidRPr="002C684B">
        <w:rPr>
          <w:rFonts w:ascii="Times New Roman" w:hAnsi="Times New Roman" w:cs="Times New Roman"/>
          <w:vertAlign w:val="superscript"/>
        </w:rPr>
        <w:footnoteReference w:id="14"/>
      </w:r>
    </w:p>
    <w:p w14:paraId="01072568"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Paul in fact presents </w:t>
      </w:r>
      <w:r w:rsidRPr="002C684B">
        <w:rPr>
          <w:rFonts w:ascii="Times New Roman" w:hAnsi="Times New Roman" w:cs="Times New Roman"/>
          <w:i/>
        </w:rPr>
        <w:t>two</w:t>
      </w:r>
      <w:r w:rsidRPr="002C684B">
        <w:rPr>
          <w:rFonts w:ascii="Times New Roman" w:hAnsi="Times New Roman" w:cs="Times New Roman"/>
        </w:rPr>
        <w:t xml:space="preserve"> different lineages to account for this gentile inclusion in God’s kingdom. The first, and the one more prominently discussed in New Testament scholarship, is the one traced through Christ back to Abraham (Gal 3 and Rom 4). This new gentile patrimony is not presented consistently. Sometimes Paul positions himself as his gentiles’ father (1 Cor 4.15: “I became your father in Chr</w:t>
      </w:r>
      <w:r w:rsidR="005D424D" w:rsidRPr="002C684B">
        <w:rPr>
          <w:rFonts w:ascii="Times New Roman" w:hAnsi="Times New Roman" w:cs="Times New Roman"/>
        </w:rPr>
        <w:t>ist Jesus through the gospel”). S</w:t>
      </w:r>
      <w:r w:rsidRPr="002C684B">
        <w:rPr>
          <w:rFonts w:ascii="Times New Roman" w:hAnsi="Times New Roman" w:cs="Times New Roman"/>
        </w:rPr>
        <w:t xml:space="preserve">ometimes he refers to “our father Abraham” (Rom 4.1; cf. Gal 3.29: “If you are Christ’s, then you are Abraham’s </w:t>
      </w:r>
      <w:r w:rsidRPr="002C684B">
        <w:rPr>
          <w:rFonts w:ascii="Times New Roman" w:hAnsi="Times New Roman" w:cs="Times New Roman"/>
          <w:i/>
        </w:rPr>
        <w:t>sperma</w:t>
      </w:r>
      <w:r w:rsidRPr="002C684B">
        <w:rPr>
          <w:rFonts w:ascii="Times New Roman" w:hAnsi="Times New Roman" w:cs="Times New Roman"/>
        </w:rPr>
        <w:t xml:space="preserve">”). But most dramatically – one of the rare Aramaic outcroppings in New Testament literature – Paul speaks of </w:t>
      </w:r>
      <w:r w:rsidRPr="002C684B">
        <w:rPr>
          <w:rFonts w:ascii="Times New Roman" w:hAnsi="Times New Roman" w:cs="Times New Roman"/>
          <w:i/>
        </w:rPr>
        <w:t>God</w:t>
      </w:r>
      <w:r w:rsidRPr="002C684B">
        <w:rPr>
          <w:rFonts w:ascii="Times New Roman" w:hAnsi="Times New Roman" w:cs="Times New Roman"/>
        </w:rPr>
        <w:t xml:space="preserve"> as the gentiles’ new </w:t>
      </w:r>
      <w:r w:rsidR="005D424D" w:rsidRPr="002C684B">
        <w:rPr>
          <w:rFonts w:ascii="Times New Roman" w:hAnsi="Times New Roman" w:cs="Times New Roman"/>
        </w:rPr>
        <w:t xml:space="preserve">father, their </w:t>
      </w:r>
      <w:r w:rsidRPr="002C684B">
        <w:rPr>
          <w:rFonts w:ascii="Times New Roman" w:hAnsi="Times New Roman" w:cs="Times New Roman"/>
        </w:rPr>
        <w:t xml:space="preserve">“Abba” (Gal 4.7; Rom 8.15). Inheriting the Abrahamic promise of redemption </w:t>
      </w:r>
      <w:r w:rsidRPr="002C684B">
        <w:rPr>
          <w:rFonts w:ascii="Times New Roman" w:hAnsi="Times New Roman" w:cs="Times New Roman"/>
          <w:i/>
        </w:rPr>
        <w:t>ek pisteos</w:t>
      </w:r>
      <w:r w:rsidRPr="002C684B">
        <w:rPr>
          <w:rFonts w:ascii="Times New Roman" w:hAnsi="Times New Roman" w:cs="Times New Roman"/>
        </w:rPr>
        <w:t>, out of s</w:t>
      </w:r>
      <w:r w:rsidR="005D424D" w:rsidRPr="002C684B">
        <w:rPr>
          <w:rFonts w:ascii="Times New Roman" w:hAnsi="Times New Roman" w:cs="Times New Roman"/>
        </w:rPr>
        <w:t>teadfastness or conviction, these gentiles</w:t>
      </w:r>
      <w:r w:rsidRPr="002C684B">
        <w:rPr>
          <w:rFonts w:ascii="Times New Roman" w:hAnsi="Times New Roman" w:cs="Times New Roman"/>
        </w:rPr>
        <w:t xml:space="preserve"> live by hope. As is the case with al</w:t>
      </w:r>
      <w:r w:rsidR="005D424D" w:rsidRPr="002C684B">
        <w:rPr>
          <w:rFonts w:ascii="Times New Roman" w:hAnsi="Times New Roman" w:cs="Times New Roman"/>
        </w:rPr>
        <w:t>l human adoption, they</w:t>
      </w:r>
      <w:r w:rsidRPr="002C684B">
        <w:rPr>
          <w:rFonts w:ascii="Times New Roman" w:hAnsi="Times New Roman" w:cs="Times New Roman"/>
        </w:rPr>
        <w:t xml:space="preserve"> remain distinct with respect to physical genealogy</w:t>
      </w:r>
      <w:r w:rsidR="005D424D" w:rsidRPr="002C684B">
        <w:rPr>
          <w:rFonts w:ascii="Times New Roman" w:hAnsi="Times New Roman" w:cs="Times New Roman"/>
        </w:rPr>
        <w:t>. (T</w:t>
      </w:r>
      <w:r w:rsidRPr="002C684B">
        <w:rPr>
          <w:rFonts w:ascii="Times New Roman" w:hAnsi="Times New Roman" w:cs="Times New Roman"/>
        </w:rPr>
        <w:t xml:space="preserve">hey are of different “flesh” from Paul’s </w:t>
      </w:r>
      <w:r w:rsidRPr="002C684B">
        <w:rPr>
          <w:rFonts w:ascii="Times New Roman" w:hAnsi="Times New Roman" w:cs="Times New Roman"/>
          <w:i/>
        </w:rPr>
        <w:t>sungeneis</w:t>
      </w:r>
      <w:r w:rsidRPr="002C684B">
        <w:rPr>
          <w:rFonts w:ascii="Times New Roman" w:hAnsi="Times New Roman" w:cs="Times New Roman"/>
        </w:rPr>
        <w:t xml:space="preserve">, who already </w:t>
      </w:r>
      <w:r w:rsidR="005D424D" w:rsidRPr="002C684B">
        <w:rPr>
          <w:rFonts w:ascii="Times New Roman" w:hAnsi="Times New Roman" w:cs="Times New Roman"/>
        </w:rPr>
        <w:t>have sonship apart from Christ, Rom 9.4).</w:t>
      </w:r>
      <w:r w:rsidRPr="002C684B">
        <w:rPr>
          <w:rFonts w:ascii="Times New Roman" w:hAnsi="Times New Roman" w:cs="Times New Roman"/>
        </w:rPr>
        <w:t xml:space="preserve"> </w:t>
      </w:r>
      <w:r w:rsidR="005D424D" w:rsidRPr="002C684B">
        <w:rPr>
          <w:rFonts w:ascii="Times New Roman" w:hAnsi="Times New Roman" w:cs="Times New Roman"/>
        </w:rPr>
        <w:t>A</w:t>
      </w:r>
      <w:r w:rsidRPr="002C684B">
        <w:rPr>
          <w:rFonts w:ascii="Times New Roman" w:hAnsi="Times New Roman" w:cs="Times New Roman"/>
        </w:rPr>
        <w:t>ccording to the Spirit,</w:t>
      </w:r>
      <w:r w:rsidR="005D424D" w:rsidRPr="002C684B">
        <w:rPr>
          <w:rFonts w:ascii="Times New Roman" w:hAnsi="Times New Roman" w:cs="Times New Roman"/>
        </w:rPr>
        <w:t xml:space="preserve"> however,</w:t>
      </w:r>
      <w:r w:rsidRPr="002C684B">
        <w:rPr>
          <w:rFonts w:ascii="Times New Roman" w:hAnsi="Times New Roman" w:cs="Times New Roman"/>
        </w:rPr>
        <w:t xml:space="preserve"> they are </w:t>
      </w:r>
      <w:r w:rsidRPr="002C684B">
        <w:rPr>
          <w:rFonts w:ascii="Times New Roman" w:hAnsi="Times New Roman" w:cs="Times New Roman"/>
          <w:i/>
        </w:rPr>
        <w:t>adopted</w:t>
      </w:r>
      <w:r w:rsidRPr="002C684B">
        <w:rPr>
          <w:rFonts w:ascii="Times New Roman" w:hAnsi="Times New Roman" w:cs="Times New Roman"/>
        </w:rPr>
        <w:t xml:space="preserve"> sons, responsible to a</w:t>
      </w:r>
      <w:r w:rsidR="005D424D" w:rsidRPr="002C684B">
        <w:rPr>
          <w:rFonts w:ascii="Times New Roman" w:hAnsi="Times New Roman" w:cs="Times New Roman"/>
        </w:rPr>
        <w:t>nd for the new patrilineal cult. Thus they are</w:t>
      </w:r>
      <w:r w:rsidRPr="002C684B">
        <w:rPr>
          <w:rFonts w:ascii="Times New Roman" w:hAnsi="Times New Roman" w:cs="Times New Roman"/>
        </w:rPr>
        <w:t xml:space="preserve"> heirs too, according to the promise, legitimate co-inheritors together with Israel of God’s kingdom.</w:t>
      </w:r>
      <w:r w:rsidRPr="002C684B">
        <w:rPr>
          <w:rFonts w:ascii="Times New Roman" w:hAnsi="Times New Roman" w:cs="Times New Roman"/>
          <w:vertAlign w:val="superscript"/>
        </w:rPr>
        <w:footnoteReference w:id="15"/>
      </w:r>
    </w:p>
    <w:p w14:paraId="0A32A940"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Note, also, how this Roman metaphor resonates with the larger pan-Mediterranean construction of divine/human relations: Gods and their humans form family groups. If these </w:t>
      </w:r>
      <w:r w:rsidRPr="002C684B">
        <w:rPr>
          <w:rFonts w:ascii="Times New Roman" w:hAnsi="Times New Roman" w:cs="Times New Roman"/>
          <w:i/>
        </w:rPr>
        <w:t>ethnē</w:t>
      </w:r>
      <w:r w:rsidRPr="002C684B">
        <w:rPr>
          <w:rFonts w:ascii="Times New Roman" w:hAnsi="Times New Roman" w:cs="Times New Roman"/>
        </w:rPr>
        <w:t xml:space="preserve"> now worship Israel’s god, then they are adopted into that god’s family.  (I should add that they worship this god according to the dictates of the first table of his </w:t>
      </w:r>
      <w:r w:rsidR="005D424D" w:rsidRPr="002C684B">
        <w:rPr>
          <w:rFonts w:ascii="Times New Roman" w:hAnsi="Times New Roman" w:cs="Times New Roman"/>
        </w:rPr>
        <w:t xml:space="preserve">Israelite </w:t>
      </w:r>
      <w:r w:rsidRPr="002C684B">
        <w:rPr>
          <w:rFonts w:ascii="Times New Roman" w:hAnsi="Times New Roman" w:cs="Times New Roman"/>
        </w:rPr>
        <w:t xml:space="preserve">law: no other gods, and no images). </w:t>
      </w:r>
    </w:p>
    <w:p w14:paraId="5493C501"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The other lineage that Paul constructs for these </w:t>
      </w:r>
      <w:r w:rsidRPr="002C684B">
        <w:rPr>
          <w:rFonts w:ascii="Times New Roman" w:hAnsi="Times New Roman" w:cs="Times New Roman"/>
          <w:i/>
        </w:rPr>
        <w:t>ethnē</w:t>
      </w:r>
      <w:r w:rsidRPr="002C684B">
        <w:rPr>
          <w:rFonts w:ascii="Times New Roman" w:hAnsi="Times New Roman" w:cs="Times New Roman"/>
        </w:rPr>
        <w:t xml:space="preserve"> is more biblically traditional, and the salvific function of Christ is accordingly reduced. This lineage is evoked at the crescendo of Paul’s argument in Romans 11:25-26, and he again conjures it as he closes, in Romans 15:9-12, with a cento of citations to the Law, the Prophets, and the Writings. Paul says in Romans 11, “A hardening has come upon part of Israel, until the fullness of the gentiles comes in, and so all Israel will be saved.” </w:t>
      </w:r>
      <w:r w:rsidRPr="002C684B">
        <w:rPr>
          <w:rFonts w:ascii="Times New Roman" w:hAnsi="Times New Roman" w:cs="Times New Roman"/>
          <w:i/>
        </w:rPr>
        <w:t>Plerōma tōn ethnōn</w:t>
      </w:r>
      <w:r w:rsidRPr="002C684B">
        <w:rPr>
          <w:rFonts w:ascii="Times New Roman" w:hAnsi="Times New Roman" w:cs="Times New Roman"/>
        </w:rPr>
        <w:t xml:space="preserve"> and </w:t>
      </w:r>
      <w:r w:rsidRPr="002C684B">
        <w:rPr>
          <w:rFonts w:ascii="Times New Roman" w:hAnsi="Times New Roman" w:cs="Times New Roman"/>
          <w:i/>
        </w:rPr>
        <w:t>pas Israēl</w:t>
      </w:r>
      <w:r w:rsidRPr="002C684B">
        <w:rPr>
          <w:rFonts w:ascii="Times New Roman" w:hAnsi="Times New Roman" w:cs="Times New Roman"/>
        </w:rPr>
        <w:t>. Paul’s language here echoes that of the Table of the Nations in Gen 10 – traditionally imagined as totaling seventy nations. This idea is reprised in Isa 66:18-20, an incandescently eschatological vision of “all nations and tongues” coming to see God’s glory in Jerusalem. From there this trope threads through Jubilees (8-9), the Qumran Genesis Apocryphon (16-17) and the War Scroll (1 QM 2.10-14), book 3 of the Sybilline Oracles, Josephus (</w:t>
      </w:r>
      <w:r w:rsidRPr="002C684B">
        <w:rPr>
          <w:rFonts w:ascii="Times New Roman" w:hAnsi="Times New Roman" w:cs="Times New Roman"/>
          <w:i/>
        </w:rPr>
        <w:t xml:space="preserve">AJ </w:t>
      </w:r>
      <w:r w:rsidRPr="002C684B">
        <w:rPr>
          <w:rFonts w:ascii="Times New Roman" w:hAnsi="Times New Roman" w:cs="Times New Roman"/>
        </w:rPr>
        <w:t xml:space="preserve"> 1.120-147), the rabbis and the Targumim: it bespeaks “all humanity.” In this cluster of associations, </w:t>
      </w:r>
      <w:r w:rsidRPr="002C684B">
        <w:rPr>
          <w:rFonts w:ascii="Times New Roman" w:hAnsi="Times New Roman" w:cs="Times New Roman"/>
          <w:i/>
          <w:u w:val="single"/>
        </w:rPr>
        <w:t>Noah</w:t>
      </w:r>
      <w:r w:rsidRPr="002C684B">
        <w:rPr>
          <w:rFonts w:ascii="Times New Roman" w:hAnsi="Times New Roman" w:cs="Times New Roman"/>
        </w:rPr>
        <w:t xml:space="preserve"> is the primal ancestor. From him come three sons, whose sons have sons who have sons in turn, until, with Johab, the full number reaches 70 (or 72, if refracted through Deut 32.8 MT).</w:t>
      </w:r>
      <w:r w:rsidRPr="002C684B">
        <w:rPr>
          <w:rFonts w:ascii="Times New Roman" w:hAnsi="Times New Roman" w:cs="Times New Roman"/>
          <w:vertAlign w:val="superscript"/>
        </w:rPr>
        <w:footnoteReference w:id="16"/>
      </w:r>
      <w:r w:rsidRPr="002C684B">
        <w:rPr>
          <w:rFonts w:ascii="Times New Roman" w:hAnsi="Times New Roman" w:cs="Times New Roman"/>
        </w:rPr>
        <w:t xml:space="preserve"> </w:t>
      </w:r>
    </w:p>
    <w:p w14:paraId="43F9AB04"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Here Paul nowhere mobilizes his adoption metaphors; and the “Redeemer who comes from Zion” might be as easily read as Israel’s god, not his messiah (Rm 11:26).</w:t>
      </w:r>
      <w:r w:rsidRPr="002C684B">
        <w:rPr>
          <w:rFonts w:ascii="Times New Roman" w:hAnsi="Times New Roman" w:cs="Times New Roman"/>
          <w:vertAlign w:val="superscript"/>
        </w:rPr>
        <w:footnoteReference w:id="17"/>
      </w:r>
      <w:r w:rsidRPr="002C684B">
        <w:rPr>
          <w:rFonts w:ascii="Times New Roman" w:hAnsi="Times New Roman" w:cs="Times New Roman"/>
        </w:rPr>
        <w:t xml:space="preserve"> The </w:t>
      </w:r>
      <w:r w:rsidRPr="002C684B">
        <w:rPr>
          <w:rFonts w:ascii="Times New Roman" w:hAnsi="Times New Roman" w:cs="Times New Roman"/>
          <w:i/>
        </w:rPr>
        <w:t>ethnē</w:t>
      </w:r>
      <w:r w:rsidRPr="002C684B">
        <w:rPr>
          <w:rFonts w:ascii="Times New Roman" w:hAnsi="Times New Roman" w:cs="Times New Roman"/>
        </w:rPr>
        <w:t xml:space="preserve"> are </w:t>
      </w:r>
      <w:r w:rsidRPr="002C684B">
        <w:rPr>
          <w:rFonts w:ascii="Times New Roman" w:hAnsi="Times New Roman" w:cs="Times New Roman"/>
          <w:i/>
        </w:rPr>
        <w:t>ethnē</w:t>
      </w:r>
      <w:r w:rsidRPr="002C684B">
        <w:rPr>
          <w:rFonts w:ascii="Times New Roman" w:hAnsi="Times New Roman" w:cs="Times New Roman"/>
        </w:rPr>
        <w:t xml:space="preserve">, not </w:t>
      </w:r>
      <w:r w:rsidRPr="002C684B">
        <w:rPr>
          <w:rFonts w:ascii="Times New Roman" w:hAnsi="Times New Roman" w:cs="Times New Roman"/>
          <w:i/>
        </w:rPr>
        <w:t>adelphoi</w:t>
      </w:r>
      <w:r w:rsidR="005D424D" w:rsidRPr="002C684B">
        <w:rPr>
          <w:rFonts w:ascii="Times New Roman" w:hAnsi="Times New Roman" w:cs="Times New Roman"/>
        </w:rPr>
        <w:t>. T</w:t>
      </w:r>
      <w:r w:rsidRPr="002C684B">
        <w:rPr>
          <w:rFonts w:ascii="Times New Roman" w:hAnsi="Times New Roman" w:cs="Times New Roman"/>
        </w:rPr>
        <w:t>heir “fullness” together with Israel, is Paul’s way, too, of saying “all humanity” – especially, given the way Isaiah provides the prophetic substructure of the entire letter, “all eschatological humanity.”</w:t>
      </w:r>
      <w:r w:rsidRPr="002C684B">
        <w:rPr>
          <w:rFonts w:ascii="Times New Roman" w:hAnsi="Times New Roman" w:cs="Times New Roman"/>
          <w:vertAlign w:val="superscript"/>
        </w:rPr>
        <w:footnoteReference w:id="18"/>
      </w:r>
      <w:r w:rsidRPr="002C684B">
        <w:rPr>
          <w:rFonts w:ascii="Times New Roman" w:hAnsi="Times New Roman" w:cs="Times New Roman"/>
        </w:rPr>
        <w:t xml:space="preserve"> Reprising his argument in Romans 15, Paul concludes, “Christ became a servant to the circumcised in order to show God’s truth, to confirm the promises given to the fathers, and in order that the </w:t>
      </w:r>
      <w:r w:rsidRPr="002C684B">
        <w:rPr>
          <w:rFonts w:ascii="Times New Roman" w:hAnsi="Times New Roman" w:cs="Times New Roman"/>
          <w:i/>
        </w:rPr>
        <w:t>ethnē</w:t>
      </w:r>
      <w:r w:rsidRPr="002C684B">
        <w:rPr>
          <w:rFonts w:ascii="Times New Roman" w:hAnsi="Times New Roman" w:cs="Times New Roman"/>
        </w:rPr>
        <w:t xml:space="preserve"> might glorify God for his mercy.” The gentiles then praise God together with Israel, and they hope in the messiah, the root or shoot of Jesse (Rom 15:9-12). </w:t>
      </w:r>
    </w:p>
    <w:p w14:paraId="5C228CF9" w14:textId="77777777" w:rsidR="0053690C" w:rsidRPr="002C684B" w:rsidRDefault="0053690C" w:rsidP="0053690C">
      <w:pPr>
        <w:ind w:firstLine="720"/>
        <w:rPr>
          <w:rFonts w:ascii="Times New Roman" w:hAnsi="Times New Roman" w:cs="Times New Roman"/>
        </w:rPr>
      </w:pPr>
      <w:r w:rsidRPr="002C684B">
        <w:rPr>
          <w:rFonts w:ascii="Times New Roman" w:hAnsi="Times New Roman" w:cs="Times New Roman"/>
        </w:rPr>
        <w:t xml:space="preserve">What then are the metaphors of </w:t>
      </w:r>
      <w:r w:rsidR="005D424D" w:rsidRPr="002C684B">
        <w:rPr>
          <w:rFonts w:ascii="Times New Roman" w:hAnsi="Times New Roman" w:cs="Times New Roman"/>
        </w:rPr>
        <w:t xml:space="preserve">outsiders’ </w:t>
      </w:r>
      <w:r w:rsidRPr="002C684B">
        <w:rPr>
          <w:rFonts w:ascii="Times New Roman" w:hAnsi="Times New Roman" w:cs="Times New Roman"/>
        </w:rPr>
        <w:t xml:space="preserve">belonging </w:t>
      </w:r>
      <w:r w:rsidR="005D424D" w:rsidRPr="002C684B">
        <w:rPr>
          <w:rFonts w:ascii="Times New Roman" w:hAnsi="Times New Roman" w:cs="Times New Roman"/>
        </w:rPr>
        <w:t xml:space="preserve">within Israel’s redemption </w:t>
      </w:r>
      <w:r w:rsidRPr="002C684B">
        <w:rPr>
          <w:rFonts w:ascii="Times New Roman" w:hAnsi="Times New Roman" w:cs="Times New Roman"/>
        </w:rPr>
        <w:t xml:space="preserve">that Paul appeals to for his gospel? “Citizenship” does not come into play. Rather, Paul avails himself of two other metaphors, one Roman, thus pagan; the other biblical and, thus, Jewish. With the “Roman” </w:t>
      </w:r>
      <w:r w:rsidRPr="002C684B">
        <w:rPr>
          <w:rFonts w:ascii="Times New Roman" w:hAnsi="Times New Roman" w:cs="Times New Roman"/>
          <w:i/>
        </w:rPr>
        <w:t>domus</w:t>
      </w:r>
      <w:r w:rsidRPr="002C684B">
        <w:rPr>
          <w:rFonts w:ascii="Times New Roman" w:hAnsi="Times New Roman" w:cs="Times New Roman"/>
        </w:rPr>
        <w:t xml:space="preserve">-model, he speaks of adoption and inheritance achieved through a constructed lineage, though that lineage is effected </w:t>
      </w:r>
      <w:r w:rsidRPr="002C684B">
        <w:rPr>
          <w:rFonts w:ascii="Times New Roman" w:hAnsi="Times New Roman" w:cs="Times New Roman"/>
          <w:i/>
        </w:rPr>
        <w:t xml:space="preserve">kata pneuma </w:t>
      </w:r>
      <w:r w:rsidRPr="002C684B">
        <w:rPr>
          <w:rFonts w:ascii="Times New Roman" w:hAnsi="Times New Roman" w:cs="Times New Roman"/>
        </w:rPr>
        <w:t>via Christ to Abraham. With the biblical model, Paul speaks o</w:t>
      </w:r>
      <w:r w:rsidR="005D424D" w:rsidRPr="002C684B">
        <w:rPr>
          <w:rFonts w:ascii="Times New Roman" w:hAnsi="Times New Roman" w:cs="Times New Roman"/>
        </w:rPr>
        <w:t>f descent from Noah, Genesis 10 – all seventy nations –</w:t>
      </w:r>
      <w:r w:rsidRPr="002C684B">
        <w:rPr>
          <w:rFonts w:ascii="Times New Roman" w:hAnsi="Times New Roman" w:cs="Times New Roman"/>
        </w:rPr>
        <w:t xml:space="preserve"> refracted through Isa 66. Israel and the </w:t>
      </w:r>
      <w:r w:rsidRPr="002C684B">
        <w:rPr>
          <w:rFonts w:ascii="Times New Roman" w:hAnsi="Times New Roman" w:cs="Times New Roman"/>
          <w:i/>
        </w:rPr>
        <w:t>ethnē</w:t>
      </w:r>
      <w:r w:rsidRPr="002C684B">
        <w:rPr>
          <w:rFonts w:ascii="Times New Roman" w:hAnsi="Times New Roman" w:cs="Times New Roman"/>
        </w:rPr>
        <w:t xml:space="preserve">, together in the charismatic </w:t>
      </w:r>
      <w:r w:rsidRPr="002C684B">
        <w:rPr>
          <w:rFonts w:ascii="Times New Roman" w:hAnsi="Times New Roman" w:cs="Times New Roman"/>
          <w:i/>
        </w:rPr>
        <w:t>ekklēsia</w:t>
      </w:r>
      <w:r w:rsidRPr="002C684B">
        <w:rPr>
          <w:rFonts w:ascii="Times New Roman" w:hAnsi="Times New Roman" w:cs="Times New Roman"/>
        </w:rPr>
        <w:t xml:space="preserve"> that expects imminent redemption, thus do and do not form the same family; they are and are not under the same </w:t>
      </w:r>
      <w:r w:rsidRPr="002C684B">
        <w:rPr>
          <w:rFonts w:ascii="Times New Roman" w:hAnsi="Times New Roman" w:cs="Times New Roman"/>
          <w:i/>
        </w:rPr>
        <w:t>nomos</w:t>
      </w:r>
      <w:r w:rsidRPr="002C684B">
        <w:rPr>
          <w:rFonts w:ascii="Times New Roman" w:hAnsi="Times New Roman" w:cs="Times New Roman"/>
        </w:rPr>
        <w:t xml:space="preserve"> or </w:t>
      </w:r>
      <w:r w:rsidRPr="002C684B">
        <w:rPr>
          <w:rFonts w:ascii="Times New Roman" w:hAnsi="Times New Roman" w:cs="Times New Roman"/>
          <w:i/>
        </w:rPr>
        <w:t>dikaiōmata</w:t>
      </w:r>
      <w:r w:rsidRPr="002C684B">
        <w:rPr>
          <w:rFonts w:ascii="Times New Roman" w:hAnsi="Times New Roman" w:cs="Times New Roman"/>
        </w:rPr>
        <w:t>.</w:t>
      </w:r>
      <w:r w:rsidRPr="002C684B">
        <w:rPr>
          <w:rFonts w:ascii="Times New Roman" w:hAnsi="Times New Roman" w:cs="Times New Roman"/>
          <w:vertAlign w:val="superscript"/>
        </w:rPr>
        <w:footnoteReference w:id="19"/>
      </w:r>
      <w:r w:rsidRPr="002C684B">
        <w:rPr>
          <w:rFonts w:ascii="Times New Roman" w:hAnsi="Times New Roman" w:cs="Times New Roman"/>
        </w:rPr>
        <w:t xml:space="preserve"> But both people-groups hope in the same promised inheritance; and together, under the god of Israel and his son, the messiah, they form a single eschatological community of the saved. </w:t>
      </w:r>
    </w:p>
    <w:p w14:paraId="3487021A" w14:textId="77777777" w:rsidR="0053690C" w:rsidRPr="002C684B" w:rsidRDefault="0053690C"/>
    <w:sectPr w:rsidR="0053690C" w:rsidRPr="002C684B" w:rsidSect="0053690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F82DE" w14:textId="77777777" w:rsidR="00775053" w:rsidRDefault="00775053" w:rsidP="0053690C">
      <w:pPr>
        <w:spacing w:after="0"/>
      </w:pPr>
      <w:r>
        <w:separator/>
      </w:r>
    </w:p>
  </w:endnote>
  <w:endnote w:type="continuationSeparator" w:id="0">
    <w:p w14:paraId="22809CF0" w14:textId="77777777" w:rsidR="00775053" w:rsidRDefault="00775053" w:rsidP="005369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entium">
    <w:panose1 w:val="02000503060000020004"/>
    <w:charset w:val="00"/>
    <w:family w:val="auto"/>
    <w:pitch w:val="variable"/>
    <w:sig w:usb0="E00000FF" w:usb1="00000003" w:usb2="00000000" w:usb3="00000000" w:csb0="0000001B"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5328F" w14:textId="77777777" w:rsidR="00775053" w:rsidRDefault="00775053" w:rsidP="0053690C">
      <w:pPr>
        <w:spacing w:after="0"/>
      </w:pPr>
      <w:r>
        <w:separator/>
      </w:r>
    </w:p>
  </w:footnote>
  <w:footnote w:type="continuationSeparator" w:id="0">
    <w:p w14:paraId="6386E3BD" w14:textId="77777777" w:rsidR="00775053" w:rsidRDefault="00775053" w:rsidP="0053690C">
      <w:pPr>
        <w:spacing w:after="0"/>
      </w:pPr>
      <w:r>
        <w:continuationSeparator/>
      </w:r>
    </w:p>
  </w:footnote>
  <w:footnote w:id="1">
    <w:p w14:paraId="7AB20E2E" w14:textId="77777777" w:rsidR="0087293A" w:rsidRPr="002C684B" w:rsidRDefault="0087293A" w:rsidP="0053690C">
      <w:pPr>
        <w:spacing w:after="0"/>
        <w:rPr>
          <w:rFonts w:ascii="Times New Roman" w:hAnsi="Times New Roman" w:cs="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cs="Times New Roman"/>
          <w:sz w:val="20"/>
          <w:szCs w:val="20"/>
        </w:rPr>
        <w:t xml:space="preserve"> See P. Fredriksen, </w:t>
      </w:r>
      <w:r w:rsidRPr="002C684B">
        <w:rPr>
          <w:rFonts w:ascii="Times New Roman" w:hAnsi="Times New Roman" w:cs="Times New Roman"/>
          <w:i/>
          <w:sz w:val="20"/>
          <w:szCs w:val="20"/>
        </w:rPr>
        <w:t>Augustine and the Jews</w:t>
      </w:r>
      <w:r w:rsidRPr="002C684B">
        <w:rPr>
          <w:rFonts w:ascii="Times New Roman" w:hAnsi="Times New Roman" w:cs="Times New Roman"/>
          <w:sz w:val="20"/>
          <w:szCs w:val="20"/>
        </w:rPr>
        <w:t xml:space="preserve"> (New Haven: Yale University Press 2010), 3-15; eadem, “Mandatory Retirement: Ideas in the Study of Christian Origins whose Time Has Come to Go,” </w:t>
      </w:r>
      <w:r w:rsidRPr="002C684B">
        <w:rPr>
          <w:rFonts w:ascii="Times New Roman" w:hAnsi="Times New Roman" w:cs="Times New Roman"/>
          <w:i/>
          <w:sz w:val="20"/>
          <w:szCs w:val="20"/>
        </w:rPr>
        <w:t xml:space="preserve">Studies in Religion/Sciences Religieuses </w:t>
      </w:r>
      <w:r w:rsidRPr="002C684B">
        <w:rPr>
          <w:rFonts w:ascii="Times New Roman" w:hAnsi="Times New Roman" w:cs="Times New Roman"/>
          <w:sz w:val="20"/>
          <w:szCs w:val="20"/>
        </w:rPr>
        <w:t>35 (2006) 231-246, at p. 232.</w:t>
      </w:r>
    </w:p>
  </w:footnote>
  <w:footnote w:id="2">
    <w:p w14:paraId="1BD6FCCA"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On the problems with importing the modern concept of “religion” into Mediterranean antiquity, see Brent Nongbri, </w:t>
      </w:r>
      <w:r w:rsidRPr="002C684B">
        <w:rPr>
          <w:rFonts w:ascii="Times New Roman" w:hAnsi="Times New Roman"/>
          <w:i/>
          <w:sz w:val="20"/>
          <w:szCs w:val="20"/>
        </w:rPr>
        <w:t>Before Religion. A History of a Modern Concept</w:t>
      </w:r>
      <w:r w:rsidRPr="002C684B">
        <w:rPr>
          <w:rFonts w:ascii="Times New Roman" w:hAnsi="Times New Roman"/>
          <w:sz w:val="20"/>
          <w:szCs w:val="20"/>
        </w:rPr>
        <w:t xml:space="preserve"> (New Haven: Yale University Press 2013; idem, “The Concept of Religion and the Study of the Apostle Paul,” </w:t>
      </w:r>
      <w:r w:rsidRPr="002C684B">
        <w:rPr>
          <w:rFonts w:ascii="Times New Roman" w:hAnsi="Times New Roman"/>
          <w:i/>
          <w:sz w:val="20"/>
          <w:szCs w:val="20"/>
        </w:rPr>
        <w:t>Journal of the Jesus Movement in its Jewish Setting</w:t>
      </w:r>
      <w:r w:rsidRPr="002C684B">
        <w:rPr>
          <w:rFonts w:ascii="Times New Roman" w:hAnsi="Times New Roman"/>
          <w:sz w:val="20"/>
          <w:szCs w:val="20"/>
        </w:rPr>
        <w:t xml:space="preserve"> 2 (2015) 1-26.</w:t>
      </w:r>
    </w:p>
  </w:footnote>
  <w:footnote w:id="3">
    <w:p w14:paraId="21AC9173"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On the cultic maintenance of good divine-human relations, John Scheid, </w:t>
      </w:r>
      <w:r w:rsidRPr="002C684B">
        <w:rPr>
          <w:rFonts w:ascii="Times New Roman" w:hAnsi="Times New Roman"/>
          <w:i/>
          <w:sz w:val="20"/>
          <w:szCs w:val="20"/>
        </w:rPr>
        <w:t>Quand faire, c’est croire</w:t>
      </w:r>
      <w:r w:rsidRPr="002C684B">
        <w:rPr>
          <w:rFonts w:ascii="Times New Roman" w:hAnsi="Times New Roman"/>
          <w:sz w:val="20"/>
          <w:szCs w:val="20"/>
        </w:rPr>
        <w:t xml:space="preserve"> (Paris: Flammarion, 2005) and, more recently idem, </w:t>
      </w:r>
      <w:r w:rsidRPr="002C684B">
        <w:rPr>
          <w:rFonts w:ascii="Times New Roman" w:hAnsi="Times New Roman"/>
          <w:i/>
          <w:sz w:val="20"/>
          <w:szCs w:val="20"/>
        </w:rPr>
        <w:t>The Gods, the State, and the Individual</w:t>
      </w:r>
      <w:r w:rsidRPr="002C684B">
        <w:rPr>
          <w:rFonts w:ascii="Times New Roman" w:hAnsi="Times New Roman"/>
          <w:sz w:val="20"/>
          <w:szCs w:val="20"/>
        </w:rPr>
        <w:t xml:space="preserve"> (Philadelphia” University of Pennsylvania Press, 2016); for domestic cult, </w:t>
      </w:r>
      <w:r w:rsidRPr="002C684B">
        <w:rPr>
          <w:rFonts w:ascii="Times New Roman" w:hAnsi="Times New Roman"/>
          <w:i/>
          <w:sz w:val="20"/>
          <w:szCs w:val="20"/>
        </w:rPr>
        <w:t>Household and Family Religion</w:t>
      </w:r>
      <w:r w:rsidRPr="002C684B">
        <w:rPr>
          <w:rFonts w:ascii="Times New Roman" w:hAnsi="Times New Roman"/>
          <w:sz w:val="20"/>
          <w:szCs w:val="20"/>
        </w:rPr>
        <w:t xml:space="preserve">, edd. John Bodel and Saul M. Olyan (Malden, MA: Blackwell Publishing, 2008). </w:t>
      </w:r>
    </w:p>
  </w:footnote>
  <w:footnote w:id="4">
    <w:p w14:paraId="7454A7DD"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We see a classic statement of this cluster of ideas around ethnicity and cult – gods, family, culture, cult – in a famous passage of the Greek historian Herodotus (fifth century BCE). There, Herodotus defined “Greekness,” </w:t>
      </w:r>
      <w:r w:rsidRPr="002C684B">
        <w:rPr>
          <w:rFonts w:ascii="Times New Roman" w:hAnsi="Times New Roman"/>
          <w:i/>
          <w:sz w:val="20"/>
          <w:szCs w:val="20"/>
        </w:rPr>
        <w:t>to hellēnikon</w:t>
      </w:r>
      <w:r w:rsidRPr="002C684B">
        <w:rPr>
          <w:rFonts w:ascii="Times New Roman" w:hAnsi="Times New Roman"/>
          <w:sz w:val="20"/>
          <w:szCs w:val="20"/>
        </w:rPr>
        <w:t>, in terms of shared blood (</w:t>
      </w:r>
      <w:r w:rsidRPr="002C684B">
        <w:rPr>
          <w:rFonts w:ascii="Times New Roman" w:hAnsi="Times New Roman"/>
          <w:i/>
          <w:sz w:val="20"/>
          <w:szCs w:val="20"/>
        </w:rPr>
        <w:t>homaimon</w:t>
      </w:r>
      <w:r w:rsidRPr="002C684B">
        <w:rPr>
          <w:rFonts w:ascii="Times New Roman" w:hAnsi="Times New Roman"/>
          <w:sz w:val="20"/>
          <w:szCs w:val="20"/>
        </w:rPr>
        <w:t>), language (</w:t>
      </w:r>
      <w:r w:rsidRPr="002C684B">
        <w:rPr>
          <w:rFonts w:ascii="Times New Roman" w:hAnsi="Times New Roman"/>
          <w:i/>
          <w:sz w:val="20"/>
          <w:szCs w:val="20"/>
        </w:rPr>
        <w:t>homoglōssa</w:t>
      </w:r>
      <w:r w:rsidRPr="002C684B">
        <w:rPr>
          <w:rFonts w:ascii="Times New Roman" w:hAnsi="Times New Roman"/>
          <w:sz w:val="20"/>
          <w:szCs w:val="20"/>
        </w:rPr>
        <w:t>), sancturaries and sacrifices (</w:t>
      </w:r>
      <w:r w:rsidRPr="002C684B">
        <w:rPr>
          <w:rFonts w:ascii="Times New Roman" w:hAnsi="Times New Roman"/>
          <w:i/>
          <w:sz w:val="20"/>
          <w:szCs w:val="20"/>
        </w:rPr>
        <w:t>theōn hidrumata koina kai thusiai</w:t>
      </w:r>
      <w:r w:rsidRPr="002C684B">
        <w:rPr>
          <w:rFonts w:ascii="Times New Roman" w:hAnsi="Times New Roman"/>
          <w:sz w:val="20"/>
          <w:szCs w:val="20"/>
        </w:rPr>
        <w:t>), and customs (</w:t>
      </w:r>
      <w:r w:rsidRPr="002C684B">
        <w:rPr>
          <w:rFonts w:ascii="Times New Roman" w:hAnsi="Times New Roman"/>
          <w:i/>
          <w:sz w:val="20"/>
          <w:szCs w:val="20"/>
        </w:rPr>
        <w:t>ethea homotropa</w:t>
      </w:r>
      <w:r w:rsidRPr="002C684B">
        <w:rPr>
          <w:rFonts w:ascii="Times New Roman" w:hAnsi="Times New Roman"/>
          <w:sz w:val="20"/>
          <w:szCs w:val="20"/>
        </w:rPr>
        <w:t xml:space="preserve">; </w:t>
      </w:r>
      <w:r w:rsidRPr="002C684B">
        <w:rPr>
          <w:rFonts w:ascii="Times New Roman" w:hAnsi="Times New Roman"/>
          <w:i/>
          <w:sz w:val="20"/>
          <w:szCs w:val="20"/>
        </w:rPr>
        <w:t>Histories</w:t>
      </w:r>
      <w:r w:rsidRPr="002C684B">
        <w:rPr>
          <w:rFonts w:ascii="Times New Roman" w:hAnsi="Times New Roman"/>
          <w:sz w:val="20"/>
          <w:szCs w:val="20"/>
        </w:rPr>
        <w:t xml:space="preserve"> 8.144.2-3). Half a millennium later, in his letter to the Romans, Paul will define “Jewishness” with much the same categories. Israelites are his </w:t>
      </w:r>
      <w:r w:rsidRPr="002C684B">
        <w:rPr>
          <w:rFonts w:ascii="Times New Roman" w:hAnsi="Times New Roman"/>
          <w:i/>
          <w:sz w:val="20"/>
          <w:szCs w:val="20"/>
        </w:rPr>
        <w:t>sungeneis</w:t>
      </w:r>
      <w:r w:rsidRPr="002C684B">
        <w:rPr>
          <w:rFonts w:ascii="Times New Roman" w:hAnsi="Times New Roman"/>
          <w:sz w:val="20"/>
          <w:szCs w:val="20"/>
        </w:rPr>
        <w:t xml:space="preserve">, “kinsmen” (a shared “blood” term: </w:t>
      </w:r>
      <w:r w:rsidRPr="002C684B">
        <w:rPr>
          <w:rFonts w:ascii="Times New Roman" w:hAnsi="Times New Roman"/>
          <w:i/>
          <w:sz w:val="20"/>
          <w:szCs w:val="20"/>
        </w:rPr>
        <w:t>syn</w:t>
      </w:r>
      <w:r w:rsidRPr="002C684B">
        <w:rPr>
          <w:rFonts w:ascii="Times New Roman" w:hAnsi="Times New Roman"/>
          <w:sz w:val="20"/>
          <w:szCs w:val="20"/>
        </w:rPr>
        <w:t xml:space="preserve">- “together with;” </w:t>
      </w:r>
      <w:r w:rsidRPr="002C684B">
        <w:rPr>
          <w:rFonts w:ascii="Times New Roman" w:hAnsi="Times New Roman"/>
          <w:i/>
          <w:sz w:val="20"/>
          <w:szCs w:val="20"/>
        </w:rPr>
        <w:t>genos</w:t>
      </w:r>
      <w:r w:rsidRPr="002C684B">
        <w:rPr>
          <w:rFonts w:ascii="Times New Roman" w:hAnsi="Times New Roman"/>
          <w:sz w:val="20"/>
          <w:szCs w:val="20"/>
        </w:rPr>
        <w:t>, “family”). To them, Paul says, belong the “glory” (</w:t>
      </w:r>
      <w:r w:rsidRPr="002C684B">
        <w:rPr>
          <w:rFonts w:ascii="Times New Roman" w:hAnsi="Times New Roman"/>
          <w:i/>
          <w:sz w:val="20"/>
          <w:szCs w:val="20"/>
        </w:rPr>
        <w:t>doxa</w:t>
      </w:r>
      <w:r w:rsidRPr="002C684B">
        <w:rPr>
          <w:rFonts w:ascii="Times New Roman" w:hAnsi="Times New Roman"/>
          <w:sz w:val="20"/>
          <w:szCs w:val="20"/>
        </w:rPr>
        <w:t>), the covenants (</w:t>
      </w:r>
      <w:r w:rsidRPr="002C684B">
        <w:rPr>
          <w:rFonts w:ascii="Times New Roman" w:hAnsi="Times New Roman"/>
          <w:i/>
          <w:sz w:val="20"/>
          <w:szCs w:val="20"/>
        </w:rPr>
        <w:t>diathēkai</w:t>
      </w:r>
      <w:r w:rsidRPr="002C684B">
        <w:rPr>
          <w:rFonts w:ascii="Times New Roman" w:hAnsi="Times New Roman"/>
          <w:sz w:val="20"/>
          <w:szCs w:val="20"/>
        </w:rPr>
        <w:t xml:space="preserve">), the giving of the Law (that is, the Torah, </w:t>
      </w:r>
      <w:r w:rsidRPr="002C684B">
        <w:rPr>
          <w:rFonts w:ascii="Times New Roman" w:hAnsi="Times New Roman"/>
          <w:i/>
          <w:sz w:val="20"/>
          <w:szCs w:val="20"/>
        </w:rPr>
        <w:t>nomothesia</w:t>
      </w:r>
      <w:r w:rsidRPr="002C684B">
        <w:rPr>
          <w:rFonts w:ascii="Times New Roman" w:hAnsi="Times New Roman"/>
          <w:sz w:val="20"/>
          <w:szCs w:val="20"/>
        </w:rPr>
        <w:t>), and the “worship” (</w:t>
      </w:r>
      <w:r w:rsidRPr="002C684B">
        <w:rPr>
          <w:rFonts w:ascii="Times New Roman" w:hAnsi="Times New Roman"/>
          <w:i/>
          <w:sz w:val="20"/>
          <w:szCs w:val="20"/>
        </w:rPr>
        <w:t>latreia</w:t>
      </w:r>
      <w:r w:rsidRPr="002C684B">
        <w:rPr>
          <w:rFonts w:ascii="Times New Roman" w:hAnsi="Times New Roman"/>
          <w:sz w:val="20"/>
          <w:szCs w:val="20"/>
        </w:rPr>
        <w:t>; Rom 9.4-5).</w:t>
      </w:r>
      <w:r w:rsidRPr="002C684B">
        <w:rPr>
          <w:rFonts w:ascii="Times New Roman" w:hAnsi="Times New Roman"/>
          <w:i/>
          <w:sz w:val="20"/>
          <w:szCs w:val="20"/>
        </w:rPr>
        <w:t xml:space="preserve"> </w:t>
      </w:r>
      <w:r w:rsidRPr="002C684B">
        <w:rPr>
          <w:rFonts w:ascii="Times New Roman" w:hAnsi="Times New Roman"/>
          <w:sz w:val="20"/>
          <w:szCs w:val="20"/>
        </w:rPr>
        <w:t xml:space="preserve">The English of the Revised Standard Version obscures two of Paul’s key identifiers here, </w:t>
      </w:r>
      <w:r w:rsidRPr="002C684B">
        <w:rPr>
          <w:rFonts w:ascii="Times New Roman" w:hAnsi="Times New Roman"/>
          <w:i/>
          <w:sz w:val="20"/>
          <w:szCs w:val="20"/>
        </w:rPr>
        <w:t>doxa</w:t>
      </w:r>
      <w:r w:rsidRPr="002C684B">
        <w:rPr>
          <w:rFonts w:ascii="Times New Roman" w:hAnsi="Times New Roman"/>
          <w:sz w:val="20"/>
          <w:szCs w:val="20"/>
        </w:rPr>
        <w:t xml:space="preserve"> and </w:t>
      </w:r>
      <w:r w:rsidRPr="002C684B">
        <w:rPr>
          <w:rFonts w:ascii="Times New Roman" w:hAnsi="Times New Roman"/>
          <w:i/>
          <w:sz w:val="20"/>
          <w:szCs w:val="20"/>
        </w:rPr>
        <w:t>latreia.</w:t>
      </w:r>
      <w:r w:rsidRPr="002C684B">
        <w:rPr>
          <w:rFonts w:ascii="Times New Roman" w:hAnsi="Times New Roman"/>
          <w:sz w:val="20"/>
          <w:szCs w:val="20"/>
        </w:rPr>
        <w:t xml:space="preserve"> Behind Paul’s Greek word for “glory” stands the Hebrew </w:t>
      </w:r>
      <w:r w:rsidRPr="002C684B">
        <w:rPr>
          <w:rFonts w:ascii="Times New Roman" w:hAnsi="Times New Roman"/>
          <w:i/>
          <w:sz w:val="20"/>
          <w:szCs w:val="20"/>
        </w:rPr>
        <w:t>kavod,</w:t>
      </w:r>
      <w:r w:rsidRPr="002C684B">
        <w:rPr>
          <w:rFonts w:ascii="Times New Roman" w:hAnsi="Times New Roman"/>
          <w:sz w:val="20"/>
          <w:szCs w:val="20"/>
        </w:rPr>
        <w:t xml:space="preserve"> which refers specifically to God’s glorious presence, thus to the location of that presence, namely his temple in Jerusalem. And </w:t>
      </w:r>
      <w:r w:rsidRPr="002C684B">
        <w:rPr>
          <w:rFonts w:ascii="Times New Roman" w:hAnsi="Times New Roman"/>
          <w:i/>
          <w:sz w:val="20"/>
          <w:szCs w:val="20"/>
        </w:rPr>
        <w:t>latreia</w:t>
      </w:r>
      <w:r w:rsidRPr="002C684B">
        <w:rPr>
          <w:rFonts w:ascii="Times New Roman" w:hAnsi="Times New Roman"/>
          <w:sz w:val="20"/>
          <w:szCs w:val="20"/>
        </w:rPr>
        <w:t xml:space="preserve"> (“worship” or “offerings”) points to the Hebrew </w:t>
      </w:r>
      <w:r w:rsidRPr="002C684B">
        <w:rPr>
          <w:rFonts w:ascii="Times New Roman" w:hAnsi="Times New Roman"/>
          <w:i/>
          <w:sz w:val="20"/>
          <w:szCs w:val="20"/>
        </w:rPr>
        <w:t>avodah</w:t>
      </w:r>
      <w:r w:rsidRPr="002C684B">
        <w:rPr>
          <w:rFonts w:ascii="Times New Roman" w:hAnsi="Times New Roman"/>
          <w:sz w:val="20"/>
          <w:szCs w:val="20"/>
        </w:rPr>
        <w:t xml:space="preserve">: Paul here names the sacrificial cult, revealed in scripture and enacted around Jerusalem’s altar, as a defining privilege of Israel. Paul’s two words, </w:t>
      </w:r>
      <w:r w:rsidRPr="002C684B">
        <w:rPr>
          <w:rFonts w:ascii="Times New Roman" w:hAnsi="Times New Roman"/>
          <w:i/>
          <w:sz w:val="20"/>
          <w:szCs w:val="20"/>
        </w:rPr>
        <w:t xml:space="preserve">doxa </w:t>
      </w:r>
      <w:r w:rsidRPr="002C684B">
        <w:rPr>
          <w:rFonts w:ascii="Times New Roman" w:hAnsi="Times New Roman"/>
          <w:sz w:val="20"/>
          <w:szCs w:val="20"/>
        </w:rPr>
        <w:t xml:space="preserve"> and </w:t>
      </w:r>
      <w:r w:rsidRPr="002C684B">
        <w:rPr>
          <w:rFonts w:ascii="Times New Roman" w:hAnsi="Times New Roman"/>
          <w:i/>
          <w:sz w:val="20"/>
          <w:szCs w:val="20"/>
        </w:rPr>
        <w:t>latreia</w:t>
      </w:r>
      <w:r w:rsidRPr="002C684B">
        <w:rPr>
          <w:rFonts w:ascii="Times New Roman" w:hAnsi="Times New Roman"/>
          <w:sz w:val="20"/>
          <w:szCs w:val="20"/>
        </w:rPr>
        <w:t>, in brief, correspond exactly to Herodotus’ “sanctuaries and sacrifices.” Despite the six centuries standing between them, both of these Greek thinkers, pagan and Jew, define cult via ethnicity, and ethnicity via cult.</w:t>
      </w:r>
    </w:p>
  </w:footnote>
  <w:footnote w:id="5">
    <w:p w14:paraId="6EB8C73D"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On the civic construction of divine lineages, and the ways that diplomat mobilized these to secure and to stabilize intra-city agreements, see especially C.P. Jones, </w:t>
      </w:r>
      <w:r w:rsidRPr="002C684B">
        <w:rPr>
          <w:rFonts w:ascii="Times New Roman" w:hAnsi="Times New Roman"/>
          <w:i/>
          <w:sz w:val="20"/>
          <w:szCs w:val="20"/>
        </w:rPr>
        <w:t>Kinship Diplomacy in the Ancient World</w:t>
      </w:r>
      <w:r w:rsidRPr="002C684B">
        <w:rPr>
          <w:rFonts w:ascii="Times New Roman" w:hAnsi="Times New Roman"/>
          <w:sz w:val="20"/>
          <w:szCs w:val="20"/>
        </w:rPr>
        <w:t xml:space="preserve"> (HUP 1999). Jones comments on Romans as “Aeneadae” on p. 88.</w:t>
      </w:r>
    </w:p>
  </w:footnote>
  <w:footnote w:id="6">
    <w:p w14:paraId="41C05609"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Ex 20.3-4; Deut 5.6-21, the first commandment in these two iterations of the Decalogue. On the elasticity of Hellenistic Jewish interpretation of this commandment, see Fredriksen, “Judaizing the Nations. The Ritual Demands of Paul’s Gospel,” </w:t>
      </w:r>
      <w:r w:rsidRPr="002C684B">
        <w:rPr>
          <w:rFonts w:ascii="Times New Roman" w:hAnsi="Times New Roman"/>
          <w:i/>
          <w:sz w:val="20"/>
          <w:szCs w:val="20"/>
        </w:rPr>
        <w:t xml:space="preserve">NTS </w:t>
      </w:r>
      <w:r w:rsidRPr="002C684B">
        <w:rPr>
          <w:rFonts w:ascii="Times New Roman" w:hAnsi="Times New Roman"/>
          <w:sz w:val="20"/>
          <w:szCs w:val="20"/>
        </w:rPr>
        <w:t>56 (2010): 232-52, at pp. 236-38; and the following note.</w:t>
      </w:r>
    </w:p>
  </w:footnote>
  <w:footnote w:id="7">
    <w:p w14:paraId="0AB1803F"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Pagan complaints of Jewish </w:t>
      </w:r>
      <w:r w:rsidRPr="002C684B">
        <w:rPr>
          <w:rFonts w:ascii="Times New Roman" w:hAnsi="Times New Roman"/>
          <w:i/>
          <w:sz w:val="20"/>
          <w:szCs w:val="20"/>
        </w:rPr>
        <w:t>asebeia</w:t>
      </w:r>
      <w:r w:rsidRPr="002C684B">
        <w:rPr>
          <w:rFonts w:ascii="Times New Roman" w:hAnsi="Times New Roman"/>
          <w:sz w:val="20"/>
          <w:szCs w:val="20"/>
        </w:rPr>
        <w:t xml:space="preserve"> are assembled in M. Stern, </w:t>
      </w:r>
      <w:r w:rsidRPr="002C684B">
        <w:rPr>
          <w:rFonts w:ascii="Times New Roman" w:hAnsi="Times New Roman"/>
          <w:i/>
          <w:sz w:val="20"/>
          <w:szCs w:val="20"/>
        </w:rPr>
        <w:t>Greek and Latin Authors on Jews and Judaism</w:t>
      </w:r>
      <w:r w:rsidRPr="002C684B">
        <w:rPr>
          <w:rFonts w:ascii="Times New Roman" w:hAnsi="Times New Roman"/>
          <w:sz w:val="20"/>
          <w:szCs w:val="20"/>
        </w:rPr>
        <w:t xml:space="preserve">, 3 vols. (Jerusalem: Hebrew University Press, 1974-1994); for anti-Jewish ethnographic slurs more generally, B. Isaac, </w:t>
      </w:r>
      <w:r w:rsidRPr="002C684B">
        <w:rPr>
          <w:rFonts w:ascii="Times New Roman" w:hAnsi="Times New Roman"/>
          <w:i/>
          <w:sz w:val="20"/>
          <w:szCs w:val="20"/>
        </w:rPr>
        <w:t xml:space="preserve">The Invention of Racism in Classical Antiquity </w:t>
      </w:r>
      <w:r w:rsidRPr="002C684B">
        <w:rPr>
          <w:rFonts w:ascii="Times New Roman" w:hAnsi="Times New Roman"/>
          <w:sz w:val="20"/>
          <w:szCs w:val="20"/>
        </w:rPr>
        <w:t xml:space="preserve">(Princeton: Princeton University Press, 2004), 440-491. The principle of Jewish exemption from public cult was so well established that emperors, attempting to recruit Jews into onerous service in the civic curiae, stipulated that civic liturgies should not “transgress their religion,” </w:t>
      </w:r>
      <w:r w:rsidRPr="002C684B">
        <w:rPr>
          <w:rFonts w:ascii="Times New Roman" w:hAnsi="Times New Roman"/>
          <w:i/>
          <w:sz w:val="20"/>
          <w:szCs w:val="20"/>
        </w:rPr>
        <w:t>Digesta Iust.</w:t>
      </w:r>
      <w:r w:rsidRPr="002C684B">
        <w:rPr>
          <w:rFonts w:ascii="Times New Roman" w:hAnsi="Times New Roman"/>
          <w:sz w:val="20"/>
          <w:szCs w:val="20"/>
        </w:rPr>
        <w:t xml:space="preserve"> 50.2.3.3, text with translation and analysis in A. Linder, </w:t>
      </w:r>
      <w:r w:rsidRPr="002C684B">
        <w:rPr>
          <w:rFonts w:ascii="Times New Roman" w:hAnsi="Times New Roman"/>
          <w:i/>
          <w:sz w:val="20"/>
          <w:szCs w:val="20"/>
        </w:rPr>
        <w:t xml:space="preserve">The Jews in Roman Imperial  Legislation </w:t>
      </w:r>
      <w:r w:rsidRPr="002C684B">
        <w:rPr>
          <w:rFonts w:ascii="Times New Roman" w:hAnsi="Times New Roman"/>
          <w:sz w:val="20"/>
          <w:szCs w:val="20"/>
        </w:rPr>
        <w:t>(Detroit: Wayne State University Press, 1987)</w:t>
      </w:r>
      <w:r w:rsidRPr="002C684B">
        <w:rPr>
          <w:rFonts w:ascii="Times New Roman" w:hAnsi="Times New Roman"/>
          <w:i/>
          <w:sz w:val="20"/>
          <w:szCs w:val="20"/>
        </w:rPr>
        <w:t xml:space="preserve"> </w:t>
      </w:r>
      <w:r w:rsidRPr="002C684B">
        <w:rPr>
          <w:rFonts w:ascii="Times New Roman" w:hAnsi="Times New Roman"/>
          <w:sz w:val="20"/>
          <w:szCs w:val="20"/>
        </w:rPr>
        <w:t xml:space="preserve">103-07; and Jews were explicitly excused from worship of the emperor, jAZ 5.4 (44d). Inscriptional material on Jews as ephebes, town counselors, and officers in gentile armies is assembled in M. Williams, </w:t>
      </w:r>
      <w:r w:rsidRPr="002C684B">
        <w:rPr>
          <w:rFonts w:ascii="Times New Roman" w:hAnsi="Times New Roman"/>
          <w:i/>
          <w:sz w:val="20"/>
          <w:szCs w:val="20"/>
        </w:rPr>
        <w:t>The Jews among the Greeks and Romans: A Diasporan Sourcebook</w:t>
      </w:r>
      <w:r w:rsidRPr="002C684B">
        <w:rPr>
          <w:rFonts w:ascii="Times New Roman" w:hAnsi="Times New Roman"/>
          <w:sz w:val="20"/>
          <w:szCs w:val="20"/>
        </w:rPr>
        <w:t xml:space="preserve"> (Baltimore 1998) 107-31. Two recent discussions of Hellenistic Jewish acculturation may be found in J. Barclay, </w:t>
      </w:r>
      <w:r w:rsidRPr="002C684B">
        <w:rPr>
          <w:rFonts w:ascii="Times New Roman" w:hAnsi="Times New Roman"/>
          <w:i/>
          <w:sz w:val="20"/>
          <w:szCs w:val="20"/>
        </w:rPr>
        <w:t>Jews in the Western Mediterranean Diaspora</w:t>
      </w:r>
      <w:r w:rsidRPr="002C684B">
        <w:rPr>
          <w:rFonts w:ascii="Times New Roman" w:hAnsi="Times New Roman"/>
          <w:sz w:val="20"/>
          <w:szCs w:val="20"/>
        </w:rPr>
        <w:t xml:space="preserve"> (Berkeley: University of California Press, 1996) and in E. Gruen, </w:t>
      </w:r>
      <w:r w:rsidRPr="002C684B">
        <w:rPr>
          <w:rFonts w:ascii="Times New Roman" w:hAnsi="Times New Roman"/>
          <w:i/>
          <w:sz w:val="20"/>
          <w:szCs w:val="20"/>
        </w:rPr>
        <w:t>Diaspora</w:t>
      </w:r>
      <w:r w:rsidRPr="002C684B">
        <w:rPr>
          <w:rFonts w:ascii="Times New Roman" w:hAnsi="Times New Roman"/>
          <w:sz w:val="20"/>
          <w:szCs w:val="20"/>
        </w:rPr>
        <w:t xml:space="preserve"> (Cambridge, MA: Harvard University Press, 2002). </w:t>
      </w:r>
    </w:p>
    <w:p w14:paraId="5691B6B8" w14:textId="77777777" w:rsidR="0087293A" w:rsidRPr="002C684B" w:rsidRDefault="0087293A" w:rsidP="0053690C">
      <w:pPr>
        <w:pStyle w:val="Notedebasdepage"/>
        <w:spacing w:after="0"/>
        <w:ind w:firstLine="720"/>
        <w:rPr>
          <w:rFonts w:ascii="Times New Roman" w:hAnsi="Times New Roman"/>
          <w:sz w:val="20"/>
          <w:szCs w:val="20"/>
        </w:rPr>
      </w:pPr>
      <w:r w:rsidRPr="002C684B">
        <w:rPr>
          <w:rFonts w:ascii="Times New Roman" w:hAnsi="Times New Roman"/>
          <w:sz w:val="20"/>
          <w:szCs w:val="20"/>
        </w:rPr>
        <w:t xml:space="preserve">On the famous gymnasium inscription from Cyrene, E. Schürer-G. Vermes, </w:t>
      </w:r>
      <w:r w:rsidRPr="002C684B">
        <w:rPr>
          <w:rFonts w:ascii="Times New Roman" w:hAnsi="Times New Roman"/>
          <w:i/>
          <w:sz w:val="20"/>
          <w:szCs w:val="20"/>
        </w:rPr>
        <w:t>et al., History of the Jewish People in the Age of Jesus Christ</w:t>
      </w:r>
      <w:r w:rsidRPr="002C684B">
        <w:rPr>
          <w:rFonts w:ascii="Times New Roman" w:hAnsi="Times New Roman"/>
          <w:sz w:val="20"/>
          <w:szCs w:val="20"/>
        </w:rPr>
        <w:t xml:space="preserve"> (Edinburgh: T &amp; T Clark, 1987) 3: 130-31 (hereafter cited as </w:t>
      </w:r>
      <w:r w:rsidRPr="002C684B">
        <w:rPr>
          <w:rFonts w:ascii="Times New Roman" w:hAnsi="Times New Roman"/>
          <w:i/>
          <w:sz w:val="20"/>
          <w:szCs w:val="20"/>
        </w:rPr>
        <w:t>HJP</w:t>
      </w:r>
      <w:r w:rsidRPr="002C684B">
        <w:rPr>
          <w:rFonts w:ascii="Times New Roman" w:hAnsi="Times New Roman"/>
          <w:sz w:val="20"/>
          <w:szCs w:val="20"/>
        </w:rPr>
        <w:t xml:space="preserve">); Barclay, </w:t>
      </w:r>
      <w:r w:rsidRPr="002C684B">
        <w:rPr>
          <w:rFonts w:ascii="Times New Roman" w:hAnsi="Times New Roman"/>
          <w:i/>
          <w:sz w:val="20"/>
          <w:szCs w:val="20"/>
        </w:rPr>
        <w:t>Diaspora</w:t>
      </w:r>
      <w:r w:rsidRPr="002C684B">
        <w:rPr>
          <w:rFonts w:ascii="Times New Roman" w:hAnsi="Times New Roman"/>
          <w:sz w:val="20"/>
          <w:szCs w:val="20"/>
        </w:rPr>
        <w:t xml:space="preserve">, 234f. On Jews as athletes and gladiators (thus contestants in dedicated events), A. Kerkeslager, “Maintaining Jewish Identity in the Greek Gymnasium: A ‘Jewish Load’ in </w:t>
      </w:r>
      <w:r w:rsidRPr="002C684B">
        <w:rPr>
          <w:rFonts w:ascii="Times New Roman" w:hAnsi="Times New Roman"/>
          <w:i/>
          <w:sz w:val="20"/>
          <w:szCs w:val="20"/>
        </w:rPr>
        <w:t xml:space="preserve">CPJ </w:t>
      </w:r>
      <w:r w:rsidRPr="002C684B">
        <w:rPr>
          <w:rFonts w:ascii="Times New Roman" w:hAnsi="Times New Roman"/>
          <w:sz w:val="20"/>
          <w:szCs w:val="20"/>
        </w:rPr>
        <w:t xml:space="preserve"> 3.519,” </w:t>
      </w:r>
      <w:r w:rsidRPr="002C684B">
        <w:rPr>
          <w:rFonts w:ascii="Times New Roman" w:hAnsi="Times New Roman"/>
          <w:i/>
          <w:sz w:val="20"/>
          <w:szCs w:val="20"/>
        </w:rPr>
        <w:t xml:space="preserve">Journal for the Study of Judaism </w:t>
      </w:r>
      <w:r w:rsidRPr="002C684B">
        <w:rPr>
          <w:rFonts w:ascii="Times New Roman" w:hAnsi="Times New Roman"/>
          <w:sz w:val="20"/>
          <w:szCs w:val="20"/>
        </w:rPr>
        <w:t xml:space="preserve">XXVIII (1997): 12-33; more recently, Z. Weiss, </w:t>
      </w:r>
      <w:r w:rsidRPr="002C684B">
        <w:rPr>
          <w:rFonts w:ascii="Times New Roman" w:hAnsi="Times New Roman"/>
          <w:i/>
          <w:sz w:val="20"/>
          <w:szCs w:val="20"/>
        </w:rPr>
        <w:t>Public Spectacles in Roman and Late Antique Palestine</w:t>
      </w:r>
      <w:r w:rsidRPr="002C684B">
        <w:rPr>
          <w:rFonts w:ascii="Times New Roman" w:hAnsi="Times New Roman"/>
          <w:sz w:val="20"/>
          <w:szCs w:val="20"/>
        </w:rPr>
        <w:t xml:space="preserve"> (Cambridge, MA: Harvard University Press, 2014), 195-226.</w:t>
      </w:r>
    </w:p>
  </w:footnote>
  <w:footnote w:id="8">
    <w:p w14:paraId="2F1B95C6" w14:textId="77777777" w:rsidR="0087293A" w:rsidRPr="002C684B" w:rsidRDefault="0087293A" w:rsidP="0053690C">
      <w:pPr>
        <w:spacing w:after="0"/>
        <w:rPr>
          <w:sz w:val="20"/>
          <w:szCs w:val="20"/>
        </w:rPr>
      </w:pPr>
      <w:r w:rsidRPr="002C684B">
        <w:rPr>
          <w:rStyle w:val="Appelnotedebasdep"/>
          <w:rFonts w:ascii="Times New Roman" w:hAnsi="Times New Roman"/>
          <w:sz w:val="20"/>
          <w:szCs w:val="20"/>
        </w:rPr>
        <w:footnoteRef/>
      </w:r>
      <w:r w:rsidRPr="002C684B">
        <w:rPr>
          <w:rFonts w:ascii="Times New Roman" w:hAnsi="Times New Roman" w:cs="Times New Roman"/>
          <w:sz w:val="20"/>
          <w:szCs w:val="20"/>
        </w:rPr>
        <w:t xml:space="preserve"> This συγγένεια also appears in 1 Macc 12:21 and in 2 Macc 5:9 and in; for Heracles’ union with Abraham’s granddaughter, </w:t>
      </w:r>
      <w:r w:rsidRPr="002C684B">
        <w:rPr>
          <w:rFonts w:ascii="Times New Roman" w:hAnsi="Times New Roman" w:cs="Times New Roman"/>
          <w:i/>
          <w:sz w:val="20"/>
          <w:szCs w:val="20"/>
        </w:rPr>
        <w:t>A.J.</w:t>
      </w:r>
      <w:r w:rsidRPr="002C684B">
        <w:rPr>
          <w:rFonts w:ascii="Times New Roman" w:hAnsi="Times New Roman" w:cs="Times New Roman"/>
          <w:sz w:val="20"/>
          <w:szCs w:val="20"/>
        </w:rPr>
        <w:t xml:space="preserve"> 1.24–41. Further on this Spartan/Judean family link, Jones, </w:t>
      </w:r>
      <w:r w:rsidRPr="002C684B">
        <w:rPr>
          <w:rFonts w:ascii="Times New Roman" w:hAnsi="Times New Roman" w:cs="Times New Roman"/>
          <w:i/>
          <w:sz w:val="20"/>
          <w:szCs w:val="20"/>
        </w:rPr>
        <w:t xml:space="preserve">Kinship Diplomacy, </w:t>
      </w:r>
      <w:r w:rsidRPr="002C684B">
        <w:rPr>
          <w:rFonts w:ascii="Times New Roman" w:hAnsi="Times New Roman" w:cs="Times New Roman"/>
          <w:sz w:val="20"/>
          <w:szCs w:val="20"/>
        </w:rPr>
        <w:t xml:space="preserve">67-80. Paul, with a difference, will also avail himself of this idea of Abraham as “the father of many nations,” Rom 4:11–18; Gal 3:7–14; cf. Gen 17:5; see Stanley Stowers, </w:t>
      </w:r>
      <w:r w:rsidRPr="002C684B">
        <w:rPr>
          <w:rFonts w:ascii="Times New Roman" w:hAnsi="Times New Roman" w:cs="Times New Roman"/>
          <w:i/>
          <w:sz w:val="20"/>
          <w:szCs w:val="20"/>
        </w:rPr>
        <w:t>A Rereading of Romans</w:t>
      </w:r>
      <w:r w:rsidRPr="002C684B">
        <w:rPr>
          <w:rFonts w:ascii="Times New Roman" w:hAnsi="Times New Roman" w:cs="Times New Roman"/>
          <w:sz w:val="20"/>
          <w:szCs w:val="20"/>
        </w:rPr>
        <w:t xml:space="preserve"> (New Haven: Yale University Press 1994), 227–50.  </w:t>
      </w:r>
    </w:p>
  </w:footnote>
  <w:footnote w:id="9">
    <w:p w14:paraId="504D9A1B"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“It is becoming for a wife to worship and to know only those gods whom her husband esteems,” Plutarch, </w:t>
      </w:r>
      <w:r w:rsidRPr="002C684B">
        <w:rPr>
          <w:rFonts w:ascii="Times New Roman" w:hAnsi="Times New Roman"/>
          <w:i/>
          <w:sz w:val="20"/>
          <w:szCs w:val="20"/>
        </w:rPr>
        <w:t>Mor.</w:t>
      </w:r>
      <w:r w:rsidRPr="002C684B">
        <w:rPr>
          <w:rFonts w:ascii="Times New Roman" w:hAnsi="Times New Roman"/>
          <w:sz w:val="20"/>
          <w:szCs w:val="20"/>
        </w:rPr>
        <w:t xml:space="preserve"> 140D. On the protocols of Roman adoption, and the ways that the new son becomes involved with his adopted pantheon, now see M. Peppard, </w:t>
      </w:r>
      <w:r w:rsidRPr="002C684B">
        <w:rPr>
          <w:rFonts w:ascii="Times New Roman" w:hAnsi="Times New Roman"/>
          <w:i/>
          <w:sz w:val="20"/>
          <w:szCs w:val="20"/>
        </w:rPr>
        <w:t xml:space="preserve">The Son of God in the Roman World </w:t>
      </w:r>
      <w:r w:rsidRPr="002C684B">
        <w:rPr>
          <w:rFonts w:ascii="Times New Roman" w:hAnsi="Times New Roman"/>
          <w:sz w:val="20"/>
          <w:szCs w:val="20"/>
        </w:rPr>
        <w:t xml:space="preserve">(New York: Oxford University Press 2011), 50–60; on the Empire as “family” (gens) united in the worship of pater Augustus’ </w:t>
      </w:r>
      <w:r w:rsidRPr="002C684B">
        <w:rPr>
          <w:rFonts w:ascii="Times New Roman" w:hAnsi="Times New Roman"/>
          <w:i/>
          <w:sz w:val="20"/>
          <w:szCs w:val="20"/>
        </w:rPr>
        <w:t>genius</w:t>
      </w:r>
      <w:r w:rsidRPr="002C684B">
        <w:rPr>
          <w:rFonts w:ascii="Times New Roman" w:hAnsi="Times New Roman"/>
          <w:sz w:val="20"/>
          <w:szCs w:val="20"/>
        </w:rPr>
        <w:t>, 60-67.</w:t>
      </w:r>
    </w:p>
  </w:footnote>
  <w:footnote w:id="10">
    <w:p w14:paraId="4C1DDB18"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On enlisting the gods’ – or the god’s – support in defense of the empire, see esp. J.H.W.G. Liebeschuetz, </w:t>
      </w:r>
      <w:r w:rsidRPr="002C684B">
        <w:rPr>
          <w:rFonts w:ascii="Times New Roman" w:hAnsi="Times New Roman"/>
          <w:i/>
          <w:sz w:val="20"/>
          <w:szCs w:val="20"/>
        </w:rPr>
        <w:t xml:space="preserve">Continuity and Change in Roman Religion </w:t>
      </w:r>
      <w:r w:rsidRPr="002C684B">
        <w:rPr>
          <w:rFonts w:ascii="Times New Roman" w:hAnsi="Times New Roman"/>
          <w:sz w:val="20"/>
          <w:szCs w:val="20"/>
        </w:rPr>
        <w:t xml:space="preserve">(New York: Oxford University Press, 1979), esp. 292ff. The ritual creation of obligations to new gods and new ancestors through marriage and/or adoption gives us our closest contemporary correlations to the effects of “converting” to Judaism: see Fredriksen, “Mandatory Retirement,” 231-46. On </w:t>
      </w:r>
      <w:r w:rsidRPr="002C684B">
        <w:rPr>
          <w:rFonts w:ascii="Times New Roman" w:hAnsi="Times New Roman"/>
          <w:i/>
          <w:sz w:val="20"/>
          <w:szCs w:val="20"/>
        </w:rPr>
        <w:t>pistis</w:t>
      </w:r>
      <w:r w:rsidRPr="002C684B">
        <w:rPr>
          <w:rFonts w:ascii="Times New Roman" w:hAnsi="Times New Roman"/>
          <w:sz w:val="20"/>
          <w:szCs w:val="20"/>
        </w:rPr>
        <w:t xml:space="preserve"> and </w:t>
      </w:r>
      <w:r w:rsidRPr="002C684B">
        <w:rPr>
          <w:rFonts w:ascii="Times New Roman" w:hAnsi="Times New Roman"/>
          <w:i/>
          <w:sz w:val="20"/>
          <w:szCs w:val="20"/>
        </w:rPr>
        <w:t xml:space="preserve">fides, </w:t>
      </w:r>
      <w:r w:rsidRPr="002C684B">
        <w:rPr>
          <w:rFonts w:ascii="Times New Roman" w:hAnsi="Times New Roman"/>
          <w:sz w:val="20"/>
          <w:szCs w:val="20"/>
        </w:rPr>
        <w:t xml:space="preserve">explicitly comparing classical with eventual Christian usages, T. Morgan, </w:t>
      </w:r>
      <w:r w:rsidRPr="002C684B">
        <w:rPr>
          <w:rFonts w:ascii="Times New Roman" w:hAnsi="Times New Roman"/>
          <w:i/>
          <w:sz w:val="20"/>
          <w:szCs w:val="20"/>
        </w:rPr>
        <w:t>Roman Faith and Christian Faith</w:t>
      </w:r>
      <w:r w:rsidRPr="002C684B">
        <w:rPr>
          <w:rFonts w:ascii="Times New Roman" w:hAnsi="Times New Roman"/>
          <w:sz w:val="20"/>
          <w:szCs w:val="20"/>
        </w:rPr>
        <w:t xml:space="preserve"> (Oxford: Oxford University Press 2015). According to Plato, </w:t>
      </w:r>
      <w:r w:rsidRPr="002C684B">
        <w:rPr>
          <w:rFonts w:ascii="Times New Roman" w:hAnsi="Times New Roman"/>
          <w:i/>
          <w:sz w:val="20"/>
          <w:szCs w:val="20"/>
        </w:rPr>
        <w:t xml:space="preserve">eusebeia </w:t>
      </w:r>
      <w:r w:rsidRPr="002C684B">
        <w:rPr>
          <w:rFonts w:ascii="Times New Roman" w:hAnsi="Times New Roman"/>
          <w:sz w:val="20"/>
          <w:szCs w:val="20"/>
        </w:rPr>
        <w:t xml:space="preserve">involves proper deference to both gods and to parents, </w:t>
      </w:r>
      <w:r w:rsidRPr="002C684B">
        <w:rPr>
          <w:rFonts w:ascii="Times New Roman" w:hAnsi="Times New Roman"/>
          <w:i/>
          <w:sz w:val="20"/>
          <w:szCs w:val="20"/>
        </w:rPr>
        <w:t>Rep.</w:t>
      </w:r>
      <w:r w:rsidRPr="002C684B">
        <w:rPr>
          <w:rFonts w:ascii="Times New Roman" w:hAnsi="Times New Roman"/>
          <w:sz w:val="20"/>
          <w:szCs w:val="20"/>
        </w:rPr>
        <w:t xml:space="preserve"> 615c (see discussion in Nongbri, </w:t>
      </w:r>
      <w:r w:rsidRPr="002C684B">
        <w:rPr>
          <w:rFonts w:ascii="Times New Roman" w:hAnsi="Times New Roman"/>
          <w:i/>
          <w:sz w:val="20"/>
          <w:szCs w:val="20"/>
        </w:rPr>
        <w:t>Before Religion</w:t>
      </w:r>
      <w:r w:rsidRPr="002C684B">
        <w:rPr>
          <w:rFonts w:ascii="Times New Roman" w:hAnsi="Times New Roman"/>
          <w:sz w:val="20"/>
          <w:szCs w:val="20"/>
        </w:rPr>
        <w:t xml:space="preserve">, 4f.). </w:t>
      </w:r>
    </w:p>
  </w:footnote>
  <w:footnote w:id="11">
    <w:p w14:paraId="306B0707" w14:textId="77777777" w:rsidR="0087293A" w:rsidRPr="002C684B" w:rsidRDefault="0087293A" w:rsidP="0053690C">
      <w:pPr>
        <w:spacing w:after="0"/>
        <w:rPr>
          <w:rFonts w:ascii="Times New Roman" w:hAnsi="Times New Roman" w:cs="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cs="Times New Roman"/>
          <w:sz w:val="20"/>
          <w:szCs w:val="20"/>
        </w:rPr>
        <w:t xml:space="preserve"> On the pagan presence in the temple precincts, </w:t>
      </w:r>
      <w:r w:rsidRPr="002C684B">
        <w:rPr>
          <w:rFonts w:ascii="Times New Roman" w:hAnsi="Times New Roman" w:cs="Times New Roman"/>
          <w:i/>
          <w:sz w:val="20"/>
          <w:szCs w:val="20"/>
        </w:rPr>
        <w:t>HJP</w:t>
      </w:r>
      <w:r w:rsidRPr="002C684B">
        <w:rPr>
          <w:rFonts w:ascii="Times New Roman" w:hAnsi="Times New Roman" w:cs="Times New Roman"/>
          <w:sz w:val="20"/>
          <w:szCs w:val="20"/>
        </w:rPr>
        <w:t xml:space="preserve"> 3: 309-13; see too E.P. Sanders, </w:t>
      </w:r>
      <w:r w:rsidRPr="002C684B">
        <w:rPr>
          <w:rFonts w:ascii="Times New Roman" w:hAnsi="Times New Roman" w:cs="Times New Roman"/>
          <w:i/>
          <w:sz w:val="20"/>
          <w:szCs w:val="20"/>
        </w:rPr>
        <w:t>Judaism: Practice and Belief, 63 BCE – 66 CE</w:t>
      </w:r>
      <w:r w:rsidRPr="002C684B">
        <w:rPr>
          <w:rFonts w:ascii="Times New Roman" w:hAnsi="Times New Roman" w:cs="Times New Roman"/>
          <w:sz w:val="20"/>
          <w:szCs w:val="20"/>
        </w:rPr>
        <w:t xml:space="preserve"> (Philadelphia: Trinity Press International, 1992), 72-76; on the pagan presence in diaspora synagogues, P. Fredriksen, “If It </w:t>
      </w:r>
      <w:r w:rsidRPr="002C684B">
        <w:rPr>
          <w:rFonts w:ascii="Times New Roman" w:hAnsi="Times New Roman" w:cs="Times New Roman"/>
          <w:i/>
          <w:sz w:val="20"/>
          <w:szCs w:val="20"/>
        </w:rPr>
        <w:t>Looks</w:t>
      </w:r>
      <w:r w:rsidRPr="002C684B">
        <w:rPr>
          <w:rFonts w:ascii="Times New Roman" w:hAnsi="Times New Roman" w:cs="Times New Roman"/>
          <w:sz w:val="20"/>
          <w:szCs w:val="20"/>
        </w:rPr>
        <w:t xml:space="preserve"> like a Duck, and It </w:t>
      </w:r>
      <w:r w:rsidRPr="002C684B">
        <w:rPr>
          <w:rFonts w:ascii="Times New Roman" w:hAnsi="Times New Roman" w:cs="Times New Roman"/>
          <w:i/>
          <w:sz w:val="20"/>
          <w:szCs w:val="20"/>
        </w:rPr>
        <w:t>Quacks</w:t>
      </w:r>
      <w:r w:rsidRPr="002C684B">
        <w:rPr>
          <w:rFonts w:ascii="Times New Roman" w:hAnsi="Times New Roman" w:cs="Times New Roman"/>
          <w:sz w:val="20"/>
          <w:szCs w:val="20"/>
        </w:rPr>
        <w:t xml:space="preserve"> like a Duck. . . : On </w:t>
      </w:r>
      <w:r w:rsidRPr="002C684B">
        <w:rPr>
          <w:rFonts w:ascii="Times New Roman" w:hAnsi="Times New Roman" w:cs="Times New Roman"/>
          <w:i/>
          <w:sz w:val="20"/>
          <w:szCs w:val="20"/>
        </w:rPr>
        <w:t>Not</w:t>
      </w:r>
      <w:r w:rsidRPr="002C684B">
        <w:rPr>
          <w:rFonts w:ascii="Times New Roman" w:hAnsi="Times New Roman" w:cs="Times New Roman"/>
          <w:sz w:val="20"/>
          <w:szCs w:val="20"/>
        </w:rPr>
        <w:t xml:space="preserve"> Giving Up the Godfearers,” </w:t>
      </w:r>
      <w:r w:rsidRPr="002C684B">
        <w:rPr>
          <w:rFonts w:ascii="Times New Roman" w:hAnsi="Times New Roman" w:cs="Times New Roman"/>
          <w:i/>
          <w:sz w:val="20"/>
          <w:szCs w:val="20"/>
        </w:rPr>
        <w:t>A Most Reliable Witness. Essays in Honor of Ross Shepard Kraemer</w:t>
      </w:r>
      <w:r w:rsidRPr="002C684B">
        <w:rPr>
          <w:rFonts w:ascii="Times New Roman" w:hAnsi="Times New Roman" w:cs="Times New Roman"/>
          <w:sz w:val="20"/>
          <w:szCs w:val="20"/>
        </w:rPr>
        <w:t xml:space="preserve">, edd. Susan Ashbrook Harvey </w:t>
      </w:r>
      <w:r w:rsidRPr="002C684B">
        <w:rPr>
          <w:rFonts w:ascii="Times New Roman" w:hAnsi="Times New Roman" w:cs="Times New Roman"/>
          <w:i/>
          <w:sz w:val="20"/>
          <w:szCs w:val="20"/>
        </w:rPr>
        <w:t>et al.</w:t>
      </w:r>
      <w:r w:rsidRPr="002C684B">
        <w:rPr>
          <w:rFonts w:ascii="Times New Roman" w:hAnsi="Times New Roman" w:cs="Times New Roman"/>
          <w:sz w:val="20"/>
          <w:szCs w:val="20"/>
        </w:rPr>
        <w:t xml:space="preserve"> (Providence: Brown Judaic Series, 2016), 25-34. </w:t>
      </w:r>
    </w:p>
  </w:footnote>
  <w:footnote w:id="12">
    <w:p w14:paraId="14F9732F" w14:textId="77777777" w:rsidR="0087293A" w:rsidRPr="002C684B" w:rsidRDefault="0087293A" w:rsidP="0053690C">
      <w:pPr>
        <w:pStyle w:val="Notedebasdepage"/>
        <w:spacing w:after="0"/>
        <w:rPr>
          <w:rFonts w:ascii="Times New Roman" w:hAnsi="Times New Roman"/>
          <w:i/>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All of Paul’s seven uncontested letters are addressed to ex-pagan gentile assemblies: 1 Thes 1.9, “You turned to God from idols;” Philippians 3.2 and Galatians passim: only non-Jewish groups would be candidates for circumcision; the Corinthian correspondence is much concerned with Christ-followers’ relations with their pagan families and larger environment; Romans 1.6 and 11.13 explicitly address </w:t>
      </w:r>
      <w:r w:rsidRPr="002C684B">
        <w:rPr>
          <w:rFonts w:ascii="Times New Roman" w:hAnsi="Times New Roman"/>
          <w:i/>
          <w:sz w:val="20"/>
          <w:szCs w:val="20"/>
        </w:rPr>
        <w:t>ethnē.</w:t>
      </w:r>
    </w:p>
  </w:footnote>
  <w:footnote w:id="13">
    <w:p w14:paraId="40C48B2B" w14:textId="77777777" w:rsidR="0087293A" w:rsidRPr="002C684B" w:rsidRDefault="0087293A" w:rsidP="0053690C">
      <w:pPr>
        <w:spacing w:after="0"/>
        <w:rPr>
          <w:rFonts w:ascii="Times New Roman" w:hAnsi="Times New Roman" w:cs="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cs="Times New Roman"/>
          <w:sz w:val="20"/>
          <w:szCs w:val="20"/>
        </w:rPr>
        <w:t xml:space="preserve"> Thus, even in Galatians, Paul’s most intemperate letter against pagan Judaizing, he holds up “fulfilling the whole Law,” 4.14; cf. Rom 13.8-10, where he lists the commandments of the Law’s second table; see also P. Fredriksen, ““Paul’s Letter to the Romans, the Ten Commandments, and Pagan ‘Justification by Faith,’” </w:t>
      </w:r>
      <w:r w:rsidRPr="002C684B">
        <w:rPr>
          <w:rFonts w:ascii="Times New Roman" w:hAnsi="Times New Roman" w:cs="Times New Roman"/>
          <w:i/>
          <w:sz w:val="20"/>
          <w:szCs w:val="20"/>
        </w:rPr>
        <w:t>Journal of Biblical Literature</w:t>
      </w:r>
      <w:r w:rsidRPr="002C684B">
        <w:rPr>
          <w:rFonts w:ascii="Times New Roman" w:hAnsi="Times New Roman" w:cs="Times New Roman"/>
          <w:sz w:val="20"/>
          <w:szCs w:val="20"/>
        </w:rPr>
        <w:t xml:space="preserve"> 133.4 (2014): 801-08.</w:t>
      </w:r>
    </w:p>
  </w:footnote>
  <w:footnote w:id="14">
    <w:p w14:paraId="4F1BDA32"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Cf. M. Peppard,  “Brother against Brother: </w:t>
      </w:r>
      <w:r w:rsidRPr="002C684B">
        <w:rPr>
          <w:rFonts w:ascii="Times New Roman" w:hAnsi="Times New Roman"/>
          <w:i/>
          <w:sz w:val="20"/>
          <w:szCs w:val="20"/>
        </w:rPr>
        <w:t xml:space="preserve">Controversiae </w:t>
      </w:r>
      <w:r w:rsidRPr="002C684B">
        <w:rPr>
          <w:rFonts w:ascii="Times New Roman" w:hAnsi="Times New Roman"/>
          <w:sz w:val="20"/>
          <w:szCs w:val="20"/>
        </w:rPr>
        <w:t xml:space="preserve"> about Inheritance Disputes and 1 Corinthians 6.1-11,” </w:t>
      </w:r>
      <w:r w:rsidRPr="002C684B">
        <w:rPr>
          <w:rFonts w:ascii="Times New Roman" w:hAnsi="Times New Roman"/>
          <w:i/>
          <w:sz w:val="20"/>
          <w:szCs w:val="20"/>
        </w:rPr>
        <w:t xml:space="preserve">JBL </w:t>
      </w:r>
      <w:r w:rsidRPr="002C684B">
        <w:rPr>
          <w:rFonts w:ascii="Times New Roman" w:hAnsi="Times New Roman"/>
          <w:sz w:val="20"/>
          <w:szCs w:val="20"/>
        </w:rPr>
        <w:t xml:space="preserve"> 133 (2014): 179-92.</w:t>
      </w:r>
    </w:p>
  </w:footnote>
  <w:footnote w:id="15">
    <w:p w14:paraId="7A8E8761"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On which see especially C. Johnson Hodge, </w:t>
      </w:r>
      <w:r w:rsidRPr="002C684B">
        <w:rPr>
          <w:rFonts w:ascii="Times New Roman" w:hAnsi="Times New Roman"/>
          <w:i/>
          <w:sz w:val="20"/>
          <w:szCs w:val="20"/>
        </w:rPr>
        <w:t>If Sons, Then Heirs</w:t>
      </w:r>
      <w:r w:rsidRPr="002C684B">
        <w:rPr>
          <w:rFonts w:ascii="Times New Roman" w:hAnsi="Times New Roman"/>
          <w:sz w:val="20"/>
          <w:szCs w:val="20"/>
        </w:rPr>
        <w:t xml:space="preserve"> (New York: Oxford University Press 2007).</w:t>
      </w:r>
    </w:p>
  </w:footnote>
  <w:footnote w:id="16">
    <w:p w14:paraId="48EC7E90"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This theme is examined exhaustively by James M. Scott, </w:t>
      </w:r>
      <w:r w:rsidRPr="002C684B">
        <w:rPr>
          <w:rFonts w:ascii="Times New Roman" w:hAnsi="Times New Roman"/>
          <w:i/>
          <w:sz w:val="20"/>
          <w:szCs w:val="20"/>
        </w:rPr>
        <w:t xml:space="preserve">Paul and the Nations </w:t>
      </w:r>
      <w:r w:rsidRPr="002C684B">
        <w:rPr>
          <w:rFonts w:ascii="Times New Roman" w:hAnsi="Times New Roman"/>
          <w:sz w:val="20"/>
          <w:szCs w:val="20"/>
        </w:rPr>
        <w:t xml:space="preserve"> (Tübingen: Mohr Siebeck, 1995).</w:t>
      </w:r>
    </w:p>
  </w:footnote>
  <w:footnote w:id="17">
    <w:p w14:paraId="33C02A90"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So Krister Stendahl, in his lectures on Romans, </w:t>
      </w:r>
      <w:r w:rsidRPr="002C684B">
        <w:rPr>
          <w:rFonts w:ascii="Times New Roman" w:hAnsi="Times New Roman"/>
          <w:i/>
          <w:sz w:val="20"/>
          <w:szCs w:val="20"/>
        </w:rPr>
        <w:t>Final Account</w:t>
      </w:r>
      <w:r w:rsidRPr="002C684B">
        <w:rPr>
          <w:rFonts w:ascii="Times New Roman" w:hAnsi="Times New Roman"/>
          <w:sz w:val="20"/>
          <w:szCs w:val="20"/>
        </w:rPr>
        <w:t xml:space="preserve"> (Minneapolis: Fortress Press 1995) 38; see too J. Ross Wagner, </w:t>
      </w:r>
      <w:r w:rsidRPr="002C684B">
        <w:rPr>
          <w:rFonts w:ascii="Times New Roman" w:hAnsi="Times New Roman"/>
          <w:i/>
          <w:sz w:val="20"/>
          <w:szCs w:val="20"/>
        </w:rPr>
        <w:t xml:space="preserve">Heralds of the Good News </w:t>
      </w:r>
      <w:r w:rsidRPr="002C684B">
        <w:rPr>
          <w:rFonts w:ascii="Times New Roman" w:hAnsi="Times New Roman"/>
          <w:sz w:val="20"/>
          <w:szCs w:val="20"/>
        </w:rPr>
        <w:t>(Boston: Brill Academic Publishers, 2003), 280.</w:t>
      </w:r>
    </w:p>
  </w:footnote>
  <w:footnote w:id="18">
    <w:p w14:paraId="6E2D9E64"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Wagner, </w:t>
      </w:r>
      <w:r w:rsidRPr="002C684B">
        <w:rPr>
          <w:rFonts w:ascii="Times New Roman" w:hAnsi="Times New Roman"/>
          <w:i/>
          <w:sz w:val="20"/>
          <w:szCs w:val="20"/>
        </w:rPr>
        <w:t>Heralds</w:t>
      </w:r>
      <w:r w:rsidRPr="002C684B">
        <w:rPr>
          <w:rFonts w:ascii="Times New Roman" w:hAnsi="Times New Roman"/>
          <w:sz w:val="20"/>
          <w:szCs w:val="20"/>
        </w:rPr>
        <w:t>, esp. the chart on 342-43.</w:t>
      </w:r>
    </w:p>
  </w:footnote>
  <w:footnote w:id="19">
    <w:p w14:paraId="6722587D" w14:textId="77777777" w:rsidR="0087293A" w:rsidRPr="002C684B" w:rsidRDefault="0087293A" w:rsidP="0053690C">
      <w:pPr>
        <w:pStyle w:val="Notedebasdepage"/>
        <w:spacing w:after="0"/>
        <w:rPr>
          <w:rFonts w:ascii="Times New Roman" w:hAnsi="Times New Roman"/>
          <w:sz w:val="20"/>
          <w:szCs w:val="20"/>
        </w:rPr>
      </w:pPr>
      <w:r w:rsidRPr="002C684B">
        <w:rPr>
          <w:rStyle w:val="Appelnotedebasdep"/>
          <w:rFonts w:ascii="Times New Roman" w:hAnsi="Times New Roman"/>
          <w:sz w:val="20"/>
          <w:szCs w:val="20"/>
        </w:rPr>
        <w:footnoteRef/>
      </w:r>
      <w:r w:rsidRPr="002C684B">
        <w:rPr>
          <w:rFonts w:ascii="Times New Roman" w:hAnsi="Times New Roman"/>
          <w:sz w:val="20"/>
          <w:szCs w:val="20"/>
        </w:rPr>
        <w:t xml:space="preserve"> C. Johnson Hodge, “The Question of Identity: Gentiles as Gentiles – but also Not – in Pauline Communities,” </w:t>
      </w:r>
      <w:r w:rsidRPr="002C684B">
        <w:rPr>
          <w:rFonts w:ascii="Times New Roman" w:hAnsi="Times New Roman"/>
          <w:i/>
          <w:sz w:val="20"/>
          <w:szCs w:val="20"/>
        </w:rPr>
        <w:t>Paul within Judaism</w:t>
      </w:r>
      <w:r w:rsidRPr="002C684B">
        <w:rPr>
          <w:rFonts w:ascii="Times New Roman" w:hAnsi="Times New Roman"/>
          <w:sz w:val="20"/>
          <w:szCs w:val="20"/>
        </w:rPr>
        <w:t xml:space="preserve">, edd. Mark Nanos and Magnus Zetterhold (Minneapolis: Fortress Press 2015), 153-73; and P. Fredriksen, “The Question of Worship: Pagans and the Redemption of Israel,” </w:t>
      </w:r>
      <w:r w:rsidRPr="002C684B">
        <w:rPr>
          <w:rFonts w:ascii="Times New Roman" w:hAnsi="Times New Roman"/>
          <w:i/>
          <w:sz w:val="20"/>
          <w:szCs w:val="20"/>
        </w:rPr>
        <w:t>ibid.,</w:t>
      </w:r>
      <w:r w:rsidRPr="002C684B">
        <w:rPr>
          <w:rFonts w:ascii="Times New Roman" w:hAnsi="Times New Roman"/>
          <w:sz w:val="20"/>
          <w:szCs w:val="20"/>
        </w:rPr>
        <w:t xml:space="preserve"> 175-201.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C"/>
    <w:rsid w:val="00203C1B"/>
    <w:rsid w:val="002C0E69"/>
    <w:rsid w:val="002C684B"/>
    <w:rsid w:val="0053690C"/>
    <w:rsid w:val="005830DB"/>
    <w:rsid w:val="005D424D"/>
    <w:rsid w:val="00775053"/>
    <w:rsid w:val="0087293A"/>
    <w:rsid w:val="00985FAE"/>
    <w:rsid w:val="00BF0A68"/>
    <w:rsid w:val="00F11B7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13FD6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690C"/>
    <w:rPr>
      <w:rFonts w:ascii="Cambria" w:eastAsia="MS Mincho" w:hAnsi="Cambria"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53690C"/>
    <w:rPr>
      <w:rFonts w:cs="Times New Roman"/>
      <w:lang w:val="x-none" w:eastAsia="x-none" w:bidi="he-IL"/>
    </w:rPr>
  </w:style>
  <w:style w:type="character" w:customStyle="1" w:styleId="NotedebasdepageCar">
    <w:name w:val="Note de bas de page Car"/>
    <w:basedOn w:val="Policepardfaut"/>
    <w:link w:val="Notedebasdepage"/>
    <w:uiPriority w:val="99"/>
    <w:rsid w:val="0053690C"/>
    <w:rPr>
      <w:rFonts w:ascii="Cambria" w:eastAsia="MS Mincho" w:hAnsi="Cambria" w:cs="Times New Roman"/>
      <w:sz w:val="24"/>
      <w:szCs w:val="24"/>
      <w:lang w:val="x-none" w:eastAsia="x-none" w:bidi="he-IL"/>
    </w:rPr>
  </w:style>
  <w:style w:type="character" w:styleId="Appelnotedebasdep">
    <w:name w:val="footnote reference"/>
    <w:uiPriority w:val="99"/>
    <w:semiHidden/>
    <w:rsid w:val="005369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2666</Words>
  <Characters>13307</Characters>
  <Application>Microsoft Macintosh Word</Application>
  <DocSecurity>0</DocSecurity>
  <Lines>187</Lines>
  <Paragraphs>17</Paragraphs>
  <ScaleCrop>false</ScaleCrop>
  <Company>Boston University</Company>
  <LinksUpToDate>false</LinksUpToDate>
  <CharactersWithSpaces>15956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Fredriksen</dc:creator>
  <cp:keywords/>
  <dc:description/>
  <cp:lastModifiedBy>Katell Berthelot</cp:lastModifiedBy>
  <cp:revision>2</cp:revision>
  <dcterms:created xsi:type="dcterms:W3CDTF">2017-07-19T10:08:00Z</dcterms:created>
  <dcterms:modified xsi:type="dcterms:W3CDTF">2017-07-19T10:08:00Z</dcterms:modified>
</cp:coreProperties>
</file>