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98" w:rsidRPr="00784798" w:rsidRDefault="00784798" w:rsidP="00784798">
      <w:pPr>
        <w:spacing w:after="200" w:line="276" w:lineRule="auto"/>
        <w:jc w:val="center"/>
        <w:rPr>
          <w:rFonts w:ascii="Gentium" w:hAnsi="Gentium" w:cs="Times New Roman"/>
          <w:sz w:val="28"/>
          <w:szCs w:val="28"/>
        </w:rPr>
      </w:pPr>
      <w:r w:rsidRPr="00784798">
        <w:rPr>
          <w:rFonts w:ascii="Gentium" w:hAnsi="Gentium" w:cs="Times New Roman"/>
          <w:sz w:val="28"/>
          <w:szCs w:val="28"/>
        </w:rPr>
        <w:t>S̲h̲ayk̲h̲ Muḥammad Hās̲h̲im al-Bag̲h̲d</w:t>
      </w:r>
      <w:bookmarkStart w:id="0" w:name="_GoBack"/>
      <w:bookmarkEnd w:id="0"/>
      <w:r w:rsidRPr="00784798">
        <w:rPr>
          <w:rFonts w:ascii="Gentium" w:hAnsi="Gentium" w:cs="Times New Roman"/>
          <w:sz w:val="28"/>
          <w:szCs w:val="28"/>
        </w:rPr>
        <w:t>ādī (d. 1415/1995)</w:t>
      </w:r>
    </w:p>
    <w:p w:rsidR="00784798" w:rsidRDefault="00784798" w:rsidP="00784798">
      <w:pPr>
        <w:bidi/>
        <w:spacing w:before="120" w:after="120" w:line="540" w:lineRule="exact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</w:pPr>
      <w:r w:rsidRPr="00784798">
        <w:rPr>
          <w:rFonts w:ascii="Gentium" w:hAnsi="Gentium" w:cs="Times New Roman"/>
          <w:sz w:val="28"/>
          <w:szCs w:val="28"/>
          <w:lang w:bidi="ar-JO"/>
        </w:rPr>
        <w:t>His Mystical Personality and Sufi Doctrine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 xml:space="preserve"> </w:t>
      </w:r>
    </w:p>
    <w:p w:rsidR="00DE7EA0" w:rsidRPr="0017582F" w:rsidRDefault="00DE7EA0" w:rsidP="00784798">
      <w:pPr>
        <w:bidi/>
        <w:spacing w:before="120" w:after="120" w:line="540" w:lineRule="exact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שַׁיְח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' 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מֻחַמַּד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הַאשִׁם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אלבַּעְ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'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דַאדִי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 (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נפט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' 1415 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להִגְ'רַה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/ 1995 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לסה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"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נ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)</w:t>
      </w:r>
      <w:r w:rsidRPr="0017582F">
        <w:rPr>
          <w:rFonts w:ascii="Times New Roman" w:hAnsi="Times New Roman" w:cs="Times New Roman"/>
          <w:b/>
          <w:bCs/>
          <w:sz w:val="24"/>
          <w:szCs w:val="24"/>
          <w:lang w:bidi="he-IL"/>
        </w:rPr>
        <w:t>:</w:t>
      </w:r>
    </w:p>
    <w:p w:rsidR="00DE7EA0" w:rsidRPr="0017582F" w:rsidRDefault="00DE7EA0" w:rsidP="00DE7EA0">
      <w:pPr>
        <w:bidi/>
        <w:spacing w:before="120" w:after="120" w:line="5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אישיותו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המיסטית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ומשנתו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הצוּפִית</w:t>
      </w:r>
    </w:p>
    <w:p w:rsidR="00DE7EA0" w:rsidRPr="0017582F" w:rsidRDefault="00DE7EA0" w:rsidP="00DE7EA0">
      <w:pPr>
        <w:bidi/>
        <w:spacing w:before="120" w:after="120" w:line="540" w:lineRule="exact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תקציר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שַׁיְח'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מֻחַמַּד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הַאשִׁם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אלבַּעְ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'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דַאדִי נולד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בשנת 1905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בעיר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העתיקה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בירושלים, שם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קיבל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חינוכו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היסודי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והתיכוני. שם למד בעיקר שני מורים מירושלים: את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ההלכה האסלאמית </w:t>
      </w:r>
      <w:r w:rsidR="006F5FF1"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למד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אצל שַׁיְח' צַאלִח אללִ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ּ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פְתַאוִי, ואת השפה הערבית </w:t>
      </w:r>
      <w:r w:rsidR="006F5FF1"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למד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אצל שַׁיְח' מֻחַמַּד אלתּוּנֻסִי.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 התחתן בשנת 1921 עם הגברת רִפְקַה קַצַ'מַאנִי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מירושלים, ורוב ילדיו נולדו מנישואין אלו.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יחד עם שַׁיְח' עִזּ אלדִּין אלקַסַּאם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Pr="0017582F">
        <w:rPr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אלבַּעְ'דַאדִי קיבל את האִגַ'אזַה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מידיו של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המֻחַדִת' המאוריטני מֻחַמַּד חַבִּיבּ אללה אלשִׁנְקִיטִי בעת ביקורו בארץ בשנת 1928/1347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.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אותו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אלשִׁנְקִיטִי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שולח מכתב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בשנת 1935/1353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ובה הוא ממנה את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 לראש המסדר הקַאדִרִי בירושלים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.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בעקבות השתתפותו הפעילה במרד הערבי (193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7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-1936)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 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ו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צא את ירושלים בשנת 1937/1356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ל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העיר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דמשק בסוריה.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שם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הוא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ל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ו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מד את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מדעי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הקֻרְאַן מפי השׁיח'ים הבאים: אַחְמַד אלסַּטְל, מֻחַמַּד עִזּוּ אלמַיְּדַאנִי,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מֻחַמַּד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אלחַ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'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בַּאז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וְ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[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מֻחַמַּד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]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בַּשִׁיר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אלשַּׁלַאח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הבקיא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בעשר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הקריאות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של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הקֻרְאַן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.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הוא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למד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החדית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'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אצל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מֻחַמַּד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אלדִּירַאנִי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תלמידו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של המֻחַדִת' הגדול,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שַׁיְח'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בַּדְר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אלדִּין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אלחַסַנִי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בתקופה זו הוא שומר על קשריו עם המסדר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הקַאדִרִי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בירושלים, והוא מחבר את 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דִיוַאן בֻּעְ'יַת אלעַאשִׁקִין פִי מַדְח סַיִּד אלמֻרְסַלִין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בשנת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1939/1358.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בשנת 1944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חזר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אלבַּעְ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'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דַאדִי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מסוריה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והשתקע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בירושלים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בשכונת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עַקַבַּת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אלצֻוַאנַה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בעלייה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להר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הזיתים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הוא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התעסק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בסנדלרות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ואף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היה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לו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מפעל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קטן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וחנות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נעליים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בשכונת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אלטּוּר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lastRenderedPageBreak/>
        <w:t>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ובני משפחתו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לקחו חלק במלחמת 1948, והוא אף איבד את אחיינו יוּסֻף בהתקפה הגדולה על שכונת ימין משה בירושלים.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החל משלהי שנות ה-60 עד שנת 1990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,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היה מַאְד'וּן/ עורך נישואין וכיהן כאִמאם של המסגד של סַלְמַאן אלפַארִסִי בשכונת אלטּוּר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בירושלים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.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בתקופה הזו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,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בין השנים 1995-1944, התפתחה הקריירה הרוחנית של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כשַׁיְח' צוּפִי. הוא חיבר את רוב ספריו, המשקפים את מורשתו הצוּפית והמבטאים במידה ניכרת את יומנו המיסטי: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דֻסְתּוּר אלוִ'לַאיַּה וַמַרַאקִי אלעִנַאיַה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בשנת 1961/1381,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שַׁרְח צִיַע' אלצַלַוַאת עַלַא סַיִּד אלסַּאדַאת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בשנת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1968/1388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,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אלדֻּרּ אלמַכְּנוּן פִי שַׁרְח פַוַאתִח סֻוַר אלקֻרְאַן אלמַצוּן בשנת 1977/1397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,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אלתִּבְּיַאן אַוְ אלדֻּרַר פִי עִצְמַת אַבִּי אלבַּשַׁר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וספר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אלנַּפַחַאת אלקֻדְסִיַּה פִי אלצַּלַאה עַלַא חַ'יְּר אלבַּרִיַּה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.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 התחתן בשנית בשנת 1972 עם גברת זַיְּנַבּ אַבּו עַ'נַּאם מירושלים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,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וילדה לו בת בשם לַיְּלַא בשנת 1973.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עלה לרגל למֶכַּה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מספר פעמים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. הוא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נפטר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בירושלים בשנת 1995/1415.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במורשתו הצופית בולטת המגמה של חיזוק המסורת: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הולך בהתאם למערכת 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מַקַאמַאת ו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אַחְוַאל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. הוא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סדר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מערכת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מַקַאמַאת ו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אַחְוַאל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בספרו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דֻסְתּוּר אלוִ'לַאיַּה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והוסיף להם ערך באמצעות שמירה על מספר כללים.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ביומן החוויות המיסטיות, אשר ליקטתי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מספר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יו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של 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ומעריכת ראיונות עם תלמידיו, והנחשף כאן לראשונה, מבחינים בדמות מרתקת. דמות של שַׁיְח' אשר עבר חניכה בלתי קונבנציונלית או חניכה מיסטית באמצעות פגישה עם נשמות רבותיו הרוחניים: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אלחִ׳צִ׳ר, פַאטִמַה אלזַּהְרַאא', אַחְמַד אלבַּדַוִי ועַבְּד אלקַאדִר אלגִ'ילַאנִי.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הוא פוגש את נשמתו של הנביא מֻחַמַּד בהקיץ, ובאותה פגישה הוא מקבל את המינוי להיות אלקֻטְבּ אלעַ'וְת'/ הציר הגואל.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אישיות</w:t>
      </w:r>
      <w:r w:rsidRPr="0017582F">
        <w:rPr>
          <w:rFonts w:ascii="Times New Roman" w:hAnsi="Times New Roman" w:cs="Times New Roman" w:hint="eastAsia"/>
          <w:sz w:val="24"/>
          <w:szCs w:val="24"/>
          <w:rtl/>
          <w:lang w:bidi="he-IL"/>
        </w:rPr>
        <w:t>ו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המיסטית מגיעה לשלמות הרוחנית בחוויית המִעְרַאג'/ העלייה המיסטית.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אלבַּעְ'דַאדִי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הביא לנו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ב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ספרו 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שַׁרְח צִיַע' אלצַ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ּ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לַוַאת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מובאות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כי נשמתו עלתה אל אלעַרְשׁ/ כס הכבוד. שם הוא צפה במלאך הממונה על שמירת הק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ֻ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ר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ְ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ָ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ן. בסוף 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אותה חוויה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אלבַּעְ'דַאדִי הולבש כתר מאור לבן. באותו מִעְרַאג' הוא צפה </w:t>
      </w:r>
      <w:proofErr w:type="spellStart"/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ב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'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אלבַּיְּת</w:t>
      </w:r>
      <w:proofErr w:type="spellEnd"/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אלמַעְמוּר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', קרי הכַּעְבַּה השמימית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והמלאכים מקיפים אותו. 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היבט אחר המגלם מורכבות באישיותו הוא יציאתו לגִ'הָאד רוחני אחרי הגִ'הָאד המלחמתי אותו הוביל בצעירותו. 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שאלת המחקר שבהן אדון בעבודת המחקר שלי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תמקד בחקר הדוקטרינה הצו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ּ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פית של אלבַּעְ'דַאדִי מחד גיסא ובחקר החוויות המיסטיות שלו מאידך גיסא.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העבודה תכלול חמישה פרקים: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הפרק הראשון: 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דון בייחסו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של 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אל משפחת הנביא מֻחַמַּד, שהוא לסברתו אחד מצאצאיו.  הפרק יתחקה אחר חייו של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בירושלים: חינוכו היסודי והתיכוני ולימודיו אצל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שַׁיְח' אללִּפְתַאוִי ושַׁיְח' אלתּוּנֻסִי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.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פרק זה יתחקה אחר מינוי אלבַּעְ'דַאדִי לראש מסדר אלְקַאדִרִיַּה בירושלים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בשנת 1935/1353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,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אחר חניכתו הצוּפית אצל שני מורים: חַאג' צַאלִח אלסַּרְעִ'ינִי והשַׁיְח' המֻחַדִת' מֻחַמַּד חַבִּיבּ אללה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אלשִׁנְקִיטִי.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נדידתו לסוריה בשנת 1937/1356 בעקבות השתתפותו הפעילה במרד הערבי. פרק זה יתחקה אחר לימודי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בדמשק אצל המומחים ללימודי האסלאם.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יצירתו הספרותית: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פרק זה יתחקה אחר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איגרותיו המשקפות את מורשתו הצוּפית, יתחקה אחר 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 xml:space="preserve">ספר 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val="en-GB" w:bidi="he-IL"/>
        </w:rPr>
        <w:t>אלוִרְד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val="en-GB" w:bidi="he-IL"/>
        </w:rPr>
        <w:t xml:space="preserve"> 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val="en-GB" w:bidi="he-IL"/>
        </w:rPr>
        <w:t xml:space="preserve">אלְקַאדִרִי 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>ויוכיח שאינו פרי עטו של אלבַּעְ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'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>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ar-JO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אלא הוא חיבורו של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השַׁיְח' אלשִׁנְקִיטִי.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>אלבַּעְ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'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>דַאדִי הכניס אליו מספר שינויים.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הפרק יסרוק את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ההיסטוריה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ואת הרעיונות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העיקריים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של המסדר 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קַאדִרִי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. בפרק הזה אני נותן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סקירת ספרות המחקר על הצוּפִיוּת הפלסטינית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.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דפנה אפרת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בספרה החשוב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:</w:t>
      </w:r>
      <w:r w:rsidRPr="0017582F">
        <w:rPr>
          <w:rFonts w:ascii="Brill" w:hAnsi="Brill" w:cs="Times New Roman"/>
          <w:i/>
          <w:iCs/>
          <w:sz w:val="24"/>
          <w:szCs w:val="24"/>
        </w:rPr>
        <w:t>Spiritual Wayfarers, Leaders in Piety: Sufis and the Dissemination of Islam in Medieval Palestine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,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סוקרת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את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הפרקטיקה הצוּפית, היחסים החברתיים והקשר בין הצוּפים לקהילה. העניין של אפרת בספרה לא היה ההיבטים הרוחניים של הצוּפיות, או מורשתם התיאולוגית של צוּפים חשובים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בארץ ישראל של ימה"ב.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דה יונג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, (</w:t>
      </w:r>
      <w:r w:rsidRPr="0017582F">
        <w:rPr>
          <w:rFonts w:ascii="Times New Roman" w:hAnsi="Times New Roman" w:cs="Times New Roman"/>
          <w:sz w:val="24"/>
          <w:szCs w:val="24"/>
          <w:lang w:bidi="he-IL"/>
        </w:rPr>
        <w:t>De Jong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) במאמרו המקיף: </w:t>
      </w:r>
      <w:r w:rsidRPr="0017582F">
        <w:rPr>
          <w:rFonts w:ascii="Brill" w:hAnsi="Brill" w:cs="Times New Roman"/>
          <w:i/>
          <w:iCs/>
          <w:sz w:val="24"/>
          <w:szCs w:val="24"/>
          <w:lang w:bidi="he-IL"/>
        </w:rPr>
        <w:t>The Sufi Orders in Nineteenth and Twentieth-Century Palestine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,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משום מה, לא מזכיר את ה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מסדר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הקַאדִרִי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בראשותו של אלבַּעְ'דַאדִי, למרות שמאמרו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פורסם ב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שנת 198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3, קרי בשיא שנות פעילותו של</w:t>
      </w:r>
      <w:r w:rsidRPr="0017582F">
        <w:rPr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שנפטר בשנת 1995.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החוקר הירדני,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וַפַאא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'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אלסַּוַאפְטַה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, כתב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אודות המסדר השַׁאדִ'לִי היַשְׁרֻטִי ו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שַׁיְּח' המייסד שלה עַלִי אליַשְׁרֻטִי. אלסַּוַאפְטַה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לא התייחס לדמותו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של אלבַּעְ'דַאדִ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י, כדמות מפתח בצוּפִיּוּת הפלסטיני.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החוקר 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עַבְּד אלרַּחְמַאן זֻעְבִּי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כתב שתי מחקרים: הראשון אודות מסדר אלחַ'לְוַתִּיַּה אלגַ'אמִעַה אלרַּחְמַאנִיַָּה בפלסטין ובישראל.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במחקרו השני,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שהוא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עבודת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הדוקטורט שלו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אודות הפעילות הצוּפית וחיי הדת בקרב המוסלמים בירושלים במאה ה-18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, מתאר 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זֻעְבִּי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את יסודות החיים הצופיים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בירושלים במאה ה-18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, ובכך תורם רבות להבנת הזירה הצופית הירושלמית בתקופה שקדמה ל</w:t>
      </w:r>
      <w:r w:rsidRPr="0017582F">
        <w:rPr>
          <w:rFonts w:ascii="Times New Roman" w:hAnsi="Times New Roman" w:cs="Times New Roman"/>
          <w:sz w:val="24"/>
          <w:szCs w:val="24"/>
          <w:rtl/>
          <w:lang w:val="de-DE" w:bidi="he-IL"/>
        </w:rPr>
        <w:t>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de-DE" w:bidi="he-IL"/>
        </w:rPr>
        <w:t>.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דמותו של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משכה מספר חוקרים: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חֻסֵין אלדַּרַאוִישׁ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,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כתב את הביוגרפיה הקצרה על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תחת הכותרת 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אלוַגִ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'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יז פִי סִירַת שַׁיְּחִ'נַא אלעַזִיז: אלשַּׁיְּח' מֻחַמַּד הַאשִׁם אלבַּעְ'דַאדִי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,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אל לא הרחיב את הדיבור על הביוגרפיה המיסטית. מספרו עולה כי הוא לא עשה שימוש ברוב ספריו של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.  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עֻמר אלצַּאלְחִי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,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תלמידו של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אלדַּרַאוִישׁ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, כתב את תיזת ה-מ.א. אודות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המסדר הקַאדִרִי בפלסטין במאה ה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-20/15 ודמותו של</w:t>
      </w:r>
      <w:r w:rsidRPr="0017582F">
        <w:rPr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. התיזה התפרסמה כספר בשנת 2001.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אלצַּאלְחִי לא ניתח את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אישיותו המיסטית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של אלבַּעְ'דַאדִי כלל ועיקר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, ובספרו שגיאות רבות באשר למשנתו הצוּפית של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הנובעות מבדיקה לא מעמיקה של כתבי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.  </w:t>
      </w:r>
    </w:p>
    <w:p w:rsidR="00DE7EA0" w:rsidRPr="0017582F" w:rsidRDefault="00DE7EA0" w:rsidP="00DE7EA0">
      <w:pPr>
        <w:bidi/>
        <w:spacing w:before="100" w:beforeAutospacing="1" w:after="120" w:line="360" w:lineRule="auto"/>
        <w:jc w:val="both"/>
        <w:rPr>
          <w:rFonts w:ascii="Times New Roman" w:hAnsi="Times New Roman" w:cs="Times New Roman"/>
          <w:sz w:val="24"/>
          <w:szCs w:val="24"/>
          <w:rtl/>
          <w:lang w:val="de-DE" w:bidi="he-IL"/>
        </w:rPr>
      </w:pP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val="de-DE" w:bidi="he-IL"/>
        </w:rPr>
        <w:t xml:space="preserve">מֻחַמַּד 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אַבּוּ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val="de-DE" w:bidi="he-IL"/>
        </w:rPr>
        <w:t xml:space="preserve"> אלרֻּבּ</w:t>
      </w:r>
      <w:r w:rsidRPr="0017582F">
        <w:rPr>
          <w:rFonts w:ascii="Times New Roman" w:hAnsi="Times New Roman" w:cs="Times New Roman"/>
          <w:sz w:val="24"/>
          <w:szCs w:val="24"/>
          <w:rtl/>
          <w:lang w:val="de-DE" w:bidi="he-IL"/>
        </w:rPr>
        <w:t xml:space="preserve">, 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de-DE" w:bidi="he-IL"/>
        </w:rPr>
        <w:t xml:space="preserve">כתב את </w:t>
      </w:r>
      <w:r w:rsidRPr="0017582F">
        <w:rPr>
          <w:rFonts w:ascii="Times New Roman" w:hAnsi="Times New Roman" w:cs="Times New Roman"/>
          <w:sz w:val="24"/>
          <w:szCs w:val="24"/>
          <w:rtl/>
          <w:lang w:val="de-DE" w:bidi="he-IL"/>
        </w:rPr>
        <w:t xml:space="preserve">תיזת ה-מ.א. 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de-DE" w:bidi="he-IL"/>
        </w:rPr>
        <w:t xml:space="preserve">אודות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המסדר הקַאדִרִי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ו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המסדר 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חַ'לְוַתִי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באזור ג'נין בגדה המערבית. </w:t>
      </w:r>
      <w:r w:rsidRPr="0017582F">
        <w:rPr>
          <w:rFonts w:ascii="Times New Roman" w:hAnsi="Times New Roman" w:cs="Times New Roman"/>
          <w:sz w:val="24"/>
          <w:szCs w:val="24"/>
          <w:rtl/>
          <w:lang w:val="de-DE" w:bidi="he-IL"/>
        </w:rPr>
        <w:t>למרות השיטתיות והיסודיות שמאפיינת אות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de-DE" w:bidi="he-IL"/>
        </w:rPr>
        <w:t>ה</w:t>
      </w:r>
      <w:r w:rsidRPr="0017582F">
        <w:rPr>
          <w:rFonts w:ascii="Times New Roman" w:hAnsi="Times New Roman" w:cs="Times New Roman"/>
          <w:sz w:val="24"/>
          <w:szCs w:val="24"/>
          <w:rtl/>
          <w:lang w:val="de-DE" w:bidi="he-IL"/>
        </w:rPr>
        <w:t>, לא מתיימר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de-DE" w:bidi="he-IL"/>
        </w:rPr>
        <w:t>ת</w:t>
      </w:r>
      <w:r w:rsidRPr="0017582F">
        <w:rPr>
          <w:rFonts w:ascii="Times New Roman" w:hAnsi="Times New Roman" w:cs="Times New Roman"/>
          <w:sz w:val="24"/>
          <w:szCs w:val="24"/>
          <w:rtl/>
          <w:lang w:val="de-DE" w:bidi="he-IL"/>
        </w:rPr>
        <w:t xml:space="preserve"> לחקור את אישיותו המיסטית של אלבַּעְ'דַאדִי.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de-DE" w:bidi="ar-JO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אַבּוּ אלרֻּבּ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כן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הקדיש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תת-פרק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למשנתו הרוחנית של אלבַּעְ'דַאדִי, הדן רובו ככולו בחייו של אלבַּעְ'דַאדִי והגותו הצוּפית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אך מנקודת מבטה של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השריעה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, ומבלי להתייחס למחקר המודרני.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val="de-DE" w:bidi="he-IL"/>
        </w:rPr>
        <w:t xml:space="preserve"> 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מאמרו של 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מַשְהוּר אלחַבַּאזִי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מבוסס בעיקר על ספרו של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אלדַּרַאוִישׁ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ועבודתו של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אלצַּאלְחִי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מבלי להתייחס לכתבים אחרים של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למרות שהם הודפסו ופורסמו.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מלבד המחקרים שצוינו עד כה, ראוי להזכיר את מחקרו של 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עִצַאם חַ'טִיבּ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, למרות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ש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 לא עמד במרכזם.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חַ'טִיבּ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כתב על הזירה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הצוּפי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של הטַרִיקַה הקַאדִרִיַּה בגליל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אחרי פטירתו של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מפרק זה עולה מסקנה חשובה והיא שאין כיום מחקר מקיף ומעודכן על שַׁיְח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'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מֻחַמַּד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הַאשִׁם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אלבַּעְ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'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דַאדִי המיוסד על לימוד וחקירה של מכלול 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עדויות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שבכתביו.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הפרק השני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יתחקה אחר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הביוגרפיה המיסטית של אלבַּעְ׳דַאדִי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: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val="en-GB"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א. משמעות 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החניכה</w:t>
      </w:r>
      <w:r w:rsidRPr="0017582F">
        <w:rPr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וחשיבות עניין ההדרכה הרוחנית בפדגוגיה הצוּפית לפי 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בספרו 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דֻסְתוּר אלוִלַאיַה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, וסקירת 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 xml:space="preserve">סיפור החניכה 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של 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 xml:space="preserve"> אצל 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חַאג' צַאלִח אלסַּרְעִ'ינִי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>.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val="en-GB"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>ב. משמעות סִיַאחַה/ מסע רוחני וגַ'דְ'בּ/ משיכה מיסטית אצל</w:t>
      </w:r>
      <w:r w:rsidRPr="0017582F">
        <w:rPr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>, וסקירת מסעו הרוחני אל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 xml:space="preserve"> השַׁיְח'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 xml:space="preserve"> ה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מַגְ'ד'וּבּ עַלִי שְׁבֵּיר בעיר חַ'אן יוּנֻס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 xml:space="preserve"> ואל 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השַׁיְח' המַגְ'ד'וּבּ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עַלִי מַנְצוּר מכפר אַבּוּ כְּבִּיר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>.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val="en-GB"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 xml:space="preserve">ג.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פרק זה יסקור 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חניכתו המיסטית של אלבַּעְ'דַאדִי דמויות מיסטיים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 xml:space="preserve"> כגון: 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אלח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>ִ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׳צִ׳ר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 xml:space="preserve">, 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פַאטִמַה אלזַּהְרַאא', אַחְמַד אלבַּדַוִי ועַבְּד אלקַאדִר אלגִ'ילַאנִי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>.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lang w:val="en-GB"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 xml:space="preserve">ד. בפרק זה נידונה תרומתו של 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אלבַּעְ׳דַאדִי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 xml:space="preserve"> להבנת 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מ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>ע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מד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>ו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 xml:space="preserve"> הנביא מֻחַמַּד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 xml:space="preserve"> ביום הדין לפי המסורת המוסלמית, הלא הוא תיקון אש גיהנום. כן אסקור את חווית 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ראיית הנביא מֻחַמַּד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 xml:space="preserve"> עליה מצהיר 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אלבַּעְ׳דַאדִ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>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בספרו 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דֻסְתוּר אלוִלַאיַה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 xml:space="preserve"> ו</w:t>
      </w:r>
      <w:r w:rsidRPr="0017582F">
        <w:rPr>
          <w:rFonts w:ascii="Times New Roman" w:hAnsi="Times New Roman" w:cs="Times New Roman"/>
          <w:sz w:val="24"/>
          <w:szCs w:val="24"/>
          <w:rtl/>
          <w:lang w:val="en-GB" w:bidi="he-IL"/>
        </w:rPr>
        <w:t>ב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val="en-GB" w:bidi="he-IL"/>
        </w:rPr>
        <w:t>דִיוַאן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val="en-GB" w:bidi="he-IL"/>
        </w:rPr>
        <w:t xml:space="preserve"> 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val="en-GB" w:bidi="he-IL"/>
        </w:rPr>
        <w:t>בֻּעְ'יַת אלעַאשִׁקִין</w:t>
      </w:r>
      <w:r w:rsidRPr="0017582F">
        <w:rPr>
          <w:rFonts w:ascii="Times New Roman" w:hAnsi="Times New Roman" w:cs="Times New Roman" w:hint="cs"/>
          <w:sz w:val="24"/>
          <w:szCs w:val="24"/>
          <w:rtl/>
          <w:lang w:val="en-GB" w:bidi="he-IL"/>
        </w:rPr>
        <w:t>.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בפרק זה עולה כי אלבַּעְ׳דַאדִי הפך לשַׁיְח' צוּפי מיוחד לא בזכות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אורח מייגע רצוף מאמצים.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השתלמות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ו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רוחנית ש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ל</w:t>
      </w:r>
      <w:r w:rsidRPr="0017582F">
        <w:rPr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אלבַּעְ׳דַאדִי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הינה פרי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חניכה אשר עבר באופן בלתי קונבנציונלי עליה דיווח בכתביו. אלבַּעְ׳דַאדִי, ובאמצעות פגישה עם נשמות רבותיו הרוחניים הועלה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בהיררכיה של הוַלַאיַה.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 xml:space="preserve">הפרק השלישי: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נותן סקירה על השדה </w:t>
      </w:r>
      <w:r w:rsidRPr="0017582F">
        <w:rPr>
          <w:rFonts w:cs="Times New Roman" w:hint="cs"/>
          <w:sz w:val="24"/>
          <w:szCs w:val="24"/>
          <w:rtl/>
          <w:lang w:bidi="he-IL"/>
        </w:rPr>
        <w:t>הסמנטי של המונח</w:t>
      </w:r>
      <w:r w:rsidRPr="0017582F">
        <w:rPr>
          <w:rFonts w:cs="Times New Roman" w:hint="cs"/>
          <w:b/>
          <w:bCs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גִ'הָאד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, אדון בפולמוס שהתנהל בין חכמי החַדִית' סביב חדית' החזרה מגִ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'הָאד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הקטן אל 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גִ'הָאד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הגדול. ידובר בו גם בדיון מודרני-מערבי סביב סוגיית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הנטייה לראות בצו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ּ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פ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ִ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ּ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ו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ּ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ת תנועת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פציפיסטית, וגם בניסיון המוסלמי בן זמננו לדחות נטייה זו ולהדגיש את ההיבט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מלחמתי-קרבי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של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גִ'הָאד בצו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ּ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פ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ִ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יו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ּ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ת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. כן אציג את עמדתו של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אלבַּעְ'דַאדַי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בעניין הגִ'הָאד הגדול כפי שהיא משתקפת בספרו 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דֻסְתוּר אלוִלַאיַה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. הפרק יתחקה אחר מעשי גִ'הָאד שביצע אותם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אלבַּעְ'דַאדַי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מתוך הבנת המונח המורכב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גִ'הָאד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קטן.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בפרק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הזה עולה כי, למרות שפורסמו מחקרים רבים על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ג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ִ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'ה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ָ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אד נפשי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,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לא נתפרסם מחקר מקיף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 בתחום</w:t>
      </w:r>
      <w:r w:rsidRPr="0017582F">
        <w:rPr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ג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ִ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'ה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ָ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אד מלחמתי-קרבי בצו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ּ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פ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ִ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ּ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ו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ּ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ת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.</w:t>
      </w:r>
      <w:r w:rsidRPr="0017582F">
        <w:rPr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ייעודו של פרק זה בניסיון לתרום תרומה למילויו של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החֶסֶר הקיים במחקר 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גִ'הָאד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מלחמתי-קרבי בצוּפִיּוּת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המודרנית, דרך הדוגמה של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אלבַּעְ'דַאדַי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. 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 xml:space="preserve">הפרק הרביעי: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מנתח את יחסו של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אלבַּעְ'דַאדִי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ל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שריעה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בכלל ולקֻרְאָן וסֻנַּה בפרט. הדיון בפרק זה יתמקד עוד בניסיונו של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להדגיש את הפן האורתודוכסי של הצוּפִיוּת, ואת יחסו הסובלני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כלפי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שַׁ</w:t>
      </w:r>
      <w:r w:rsidRPr="0017582F">
        <w:rPr>
          <w:rFonts w:ascii="Times New Roman" w:hAnsi="Times New Roman" w:cs="Times New Roman" w:hint="eastAsia"/>
          <w:sz w:val="24"/>
          <w:szCs w:val="24"/>
          <w:rtl/>
          <w:lang w:bidi="he-IL"/>
        </w:rPr>
        <w:t>טַחַאת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/ קריאות אקסטטיות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ו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יחסו לא סובלני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כלפי האנשים שמותחים ביקורת על אנשי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שַׁ</w:t>
      </w:r>
      <w:r w:rsidRPr="0017582F">
        <w:rPr>
          <w:rFonts w:ascii="Times New Roman" w:hAnsi="Times New Roman" w:cs="Times New Roman" w:hint="eastAsia"/>
          <w:sz w:val="24"/>
          <w:szCs w:val="24"/>
          <w:rtl/>
          <w:lang w:bidi="he-IL"/>
        </w:rPr>
        <w:t>טַחַאת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.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דוחה את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סיפור העָ'רָאנִיק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כי אין מקום לבסיס היסטורי שלה משום שהיא פוגעת בעִצְמַה/חסינותו של הנביא מֻחַמַּד.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בפרק זה מצטייר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כמומחה בספרות התַפְסִיר. את מומחיותו זו ניצל לחקירת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סיפור העָ'רָאנִיק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ולקביעה משמעות חדשה למונח נַסְח', היינו הפיכת הכופרים העוינים לנביא מֻחַמַּד למאמינים ותומכים בו.         </w:t>
      </w:r>
    </w:p>
    <w:p w:rsidR="00DE7EA0" w:rsidRPr="0017582F" w:rsidRDefault="00DE7EA0" w:rsidP="00DE7EA0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ה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 xml:space="preserve">פרק 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ה</w:t>
      </w:r>
      <w:r w:rsidRPr="0017582F"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  <w:t>חמישי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והאחרון יתחקה אחר חווית</w:t>
      </w:r>
      <w:r w:rsidRPr="0017582F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מִעְרַאג' של שַׁיְח' אלבַּעְ'דַאדִי ב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אמצעות ניתוח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פילולוגי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,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היסטורי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והשוואתי. חקר חווית אלמִעְרַאג' של שַׁיְח' אלבַּעְ'דַאדִי ידון תוך כדי השוואה היסטורית וגם פנומנולוגית לרעיון זה ב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אסלאם בכלל ובצוּפִיוּת בפרט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. </w:t>
      </w:r>
    </w:p>
    <w:p w:rsidR="007A4B5C" w:rsidRPr="0017582F" w:rsidRDefault="00DE7EA0" w:rsidP="00FA7E62">
      <w:pPr>
        <w:bidi/>
        <w:spacing w:before="120" w:after="120" w:line="540" w:lineRule="exact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אפשר ללמוד מחוויית 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המִעְרַאג' של אלבַּעְ'דַאדִי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כי הוא רואה בעצמו אחד מיורשי הנביא מֻחַמַּד, הוא קיבל מענק אלוהי בכך שנשמתו עלתה השמימה, צפה במלאכי עליון, הגיע אל כס הכבוד והוענק לו שם את מספר סגולות: הכתרתו לקֻטְבּ עַ'וְת, היינו ראש האַוְלִיַאא'/ ידידי אללה, ה</w:t>
      </w:r>
      <w:r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אִסְתִנְבַּאט/ תובנה פרשנית.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באותה </w:t>
      </w:r>
      <w:r w:rsidR="00FA7E62">
        <w:rPr>
          <w:rFonts w:ascii="Times New Roman" w:hAnsi="Times New Roman" w:cs="Times New Roman" w:hint="cs"/>
          <w:sz w:val="24"/>
          <w:szCs w:val="24"/>
          <w:rtl/>
          <w:lang w:bidi="he-IL"/>
        </w:rPr>
        <w:t>התנסות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הוא עבר את הצעד האחרון בהשתלמויות הרוחניות: אִצְלַאח/ תיקון ו' אִכְּמַאל אלעַקְל/ השלמת השכל</w:t>
      </w:r>
      <w:r w:rsidR="00FA7E62">
        <w:rPr>
          <w:rFonts w:ascii="Times New Roman" w:hAnsi="Times New Roman" w:cs="Times New Roman" w:hint="cs"/>
          <w:sz w:val="24"/>
          <w:szCs w:val="24"/>
          <w:rtl/>
          <w:lang w:bidi="he-IL"/>
        </w:rPr>
        <w:t>,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FA7E62">
        <w:rPr>
          <w:rFonts w:ascii="Times New Roman" w:hAnsi="Times New Roman" w:cs="Times New Roman" w:hint="cs"/>
          <w:sz w:val="24"/>
          <w:szCs w:val="24"/>
          <w:rtl/>
          <w:lang w:bidi="he-IL"/>
        </w:rPr>
        <w:t>ו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הוא הפך ל</w:t>
      </w:r>
      <w:r w:rsidR="00FA7E62">
        <w:rPr>
          <w:rFonts w:ascii="Times New Roman" w:hAnsi="Times New Roman" w:cs="Times New Roman" w:hint="cs"/>
          <w:sz w:val="24"/>
          <w:szCs w:val="24"/>
          <w:rtl/>
          <w:lang w:bidi="he-IL"/>
        </w:rPr>
        <w:t>מה שנקרא בצוּפִיּוּת אלאִנְסַאן אלכַּאמִל/ ה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אדם השלם. </w:t>
      </w:r>
    </w:p>
    <w:p w:rsidR="00DE7EA0" w:rsidRDefault="007A4B5C" w:rsidP="00FD18AC">
      <w:pPr>
        <w:bidi/>
        <w:spacing w:before="120" w:after="120" w:line="540" w:lineRule="exact"/>
        <w:jc w:val="both"/>
        <w:rPr>
          <w:rtl/>
          <w:lang w:bidi="he-IL"/>
        </w:rPr>
      </w:pP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מחק</w:t>
      </w:r>
      <w:r w:rsidR="004D2540">
        <w:rPr>
          <w:rFonts w:ascii="Times New Roman" w:hAnsi="Times New Roman" w:cs="Times New Roman" w:hint="cs"/>
          <w:sz w:val="24"/>
          <w:szCs w:val="24"/>
          <w:rtl/>
          <w:lang w:bidi="he-IL"/>
        </w:rPr>
        <w:t>ר</w:t>
      </w:r>
      <w:r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>י זה הוא פרק חשוב</w:t>
      </w:r>
      <w:r w:rsidR="00760B7A" w:rsidRPr="0017582F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בהבנת חקר הצוּפִיּוּ</w:t>
      </w:r>
      <w:r w:rsidR="00744529">
        <w:rPr>
          <w:rFonts w:ascii="Times New Roman" w:hAnsi="Times New Roman" w:cs="Times New Roman" w:hint="cs"/>
          <w:sz w:val="24"/>
          <w:szCs w:val="24"/>
          <w:rtl/>
          <w:lang w:bidi="he-IL"/>
        </w:rPr>
        <w:t>ת הפלסטינית במאה ה-20, והוא ממחיש היטב את החֶסֶר הקיים בתחום זה.</w:t>
      </w:r>
      <w:r w:rsidR="00FA7E62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FD18AC">
        <w:rPr>
          <w:rFonts w:ascii="Times New Roman" w:hAnsi="Times New Roman" w:cs="Times New Roman" w:hint="cs"/>
          <w:sz w:val="24"/>
          <w:szCs w:val="24"/>
          <w:rtl/>
          <w:lang w:bidi="he-IL"/>
        </w:rPr>
        <w:t>מתוך שורה ארוכה של מחקרים בענפיה השונים של הצופיות, מוקדשות עבודות לא מקיפות לתיאור היבול הדל שהניב תחום הצופיות הפלסטינית. ה</w:t>
      </w:r>
      <w:r w:rsidR="0017582F" w:rsidRPr="0017582F">
        <w:rPr>
          <w:rFonts w:ascii="Times New Roman" w:hAnsi="Times New Roman" w:cs="Times New Roman"/>
          <w:sz w:val="24"/>
          <w:szCs w:val="24"/>
          <w:rtl/>
          <w:lang w:bidi="he-IL"/>
        </w:rPr>
        <w:t>שַׁיְח' מֻחַמַּד הַאשִׁם אלבַּעְ'דַאדִי</w:t>
      </w:r>
      <w:r w:rsidR="00800424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, ראש מסדר אלקַאדִרִיַּה בארץ, </w:t>
      </w:r>
      <w:r w:rsidR="00FA7E62">
        <w:rPr>
          <w:rFonts w:ascii="Times New Roman" w:hAnsi="Times New Roman" w:cs="Times New Roman" w:hint="cs"/>
          <w:sz w:val="24"/>
          <w:szCs w:val="24"/>
          <w:rtl/>
          <w:lang w:bidi="he-IL"/>
        </w:rPr>
        <w:t>שרטט באמצעות התנסויות ה</w:t>
      </w:r>
      <w:r w:rsidR="000C25C8">
        <w:rPr>
          <w:rFonts w:ascii="Times New Roman" w:hAnsi="Times New Roman" w:cs="Times New Roman" w:hint="cs"/>
          <w:sz w:val="24"/>
          <w:szCs w:val="24"/>
          <w:rtl/>
          <w:lang w:bidi="he-IL"/>
        </w:rPr>
        <w:t>מיסטיות</w:t>
      </w:r>
      <w:r w:rsidR="00FA7E62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את דמותו של גדול </w:t>
      </w:r>
      <w:r w:rsidR="00FA7E62" w:rsidRPr="00FA7E62">
        <w:rPr>
          <w:rFonts w:ascii="Times New Roman" w:hAnsi="Times New Roman" w:cs="Times New Roman"/>
          <w:sz w:val="24"/>
          <w:szCs w:val="24"/>
          <w:rtl/>
          <w:lang w:bidi="he-IL"/>
        </w:rPr>
        <w:t>ידידי אללה</w:t>
      </w:r>
      <w:r w:rsidR="00FA7E62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בזמננו, כפי שעולה מכתביו. יתר על כן, מחקרי גם עמד על השקפותיו </w:t>
      </w:r>
      <w:r w:rsidR="00800424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הצופיות הייחודיות של </w:t>
      </w:r>
      <w:r w:rsidR="00800424" w:rsidRPr="00800424">
        <w:rPr>
          <w:rFonts w:ascii="Times New Roman" w:hAnsi="Times New Roman" w:cs="Times New Roman"/>
          <w:sz w:val="24"/>
          <w:szCs w:val="24"/>
          <w:rtl/>
          <w:lang w:bidi="he-IL"/>
        </w:rPr>
        <w:t>אלבַּעְ'דַאדִי</w:t>
      </w:r>
      <w:r w:rsidR="00800424">
        <w:rPr>
          <w:rFonts w:ascii="Times New Roman" w:hAnsi="Times New Roman" w:cs="Times New Roman" w:hint="cs"/>
          <w:sz w:val="24"/>
          <w:szCs w:val="24"/>
          <w:rtl/>
          <w:lang w:bidi="he-IL"/>
        </w:rPr>
        <w:t>, אשר</w:t>
      </w:r>
      <w:r w:rsidR="000C25C8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הושפעו מהתנסויותיו המיסטיות</w:t>
      </w:r>
      <w:r w:rsidR="00800424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.</w:t>
      </w:r>
      <w:r w:rsidR="00800424" w:rsidRPr="00800424">
        <w:rPr>
          <w:rtl/>
          <w:lang w:bidi="he-IL"/>
        </w:rPr>
        <w:t xml:space="preserve"> </w:t>
      </w:r>
    </w:p>
    <w:sectPr w:rsidR="00DE7E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altName w:val="Gentium Plus"/>
    <w:charset w:val="00"/>
    <w:family w:val="auto"/>
    <w:pitch w:val="variable"/>
    <w:sig w:usb0="00000001" w:usb1="00000003" w:usb2="00000000" w:usb3="00000000" w:csb0="0000001B" w:csb1="00000000"/>
  </w:font>
  <w:font w:name="Brill">
    <w:panose1 w:val="020F0602050406030203"/>
    <w:charset w:val="00"/>
    <w:family w:val="swiss"/>
    <w:pitch w:val="variable"/>
    <w:sig w:usb0="E00002FF" w:usb1="4200E4FB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BE"/>
    <w:rsid w:val="00003A39"/>
    <w:rsid w:val="00004AB2"/>
    <w:rsid w:val="00021757"/>
    <w:rsid w:val="000246DE"/>
    <w:rsid w:val="0002707D"/>
    <w:rsid w:val="000309EA"/>
    <w:rsid w:val="00032727"/>
    <w:rsid w:val="000371DA"/>
    <w:rsid w:val="00041EDD"/>
    <w:rsid w:val="0004327B"/>
    <w:rsid w:val="00047C5D"/>
    <w:rsid w:val="00054788"/>
    <w:rsid w:val="00056EBC"/>
    <w:rsid w:val="00061CA2"/>
    <w:rsid w:val="000633CD"/>
    <w:rsid w:val="00063430"/>
    <w:rsid w:val="0006671A"/>
    <w:rsid w:val="00066B73"/>
    <w:rsid w:val="00070E0E"/>
    <w:rsid w:val="00075372"/>
    <w:rsid w:val="000805F2"/>
    <w:rsid w:val="000816DC"/>
    <w:rsid w:val="00083E42"/>
    <w:rsid w:val="000846FB"/>
    <w:rsid w:val="00092C53"/>
    <w:rsid w:val="0009572B"/>
    <w:rsid w:val="000958BB"/>
    <w:rsid w:val="000A5A35"/>
    <w:rsid w:val="000B0C3A"/>
    <w:rsid w:val="000B0DF0"/>
    <w:rsid w:val="000B350F"/>
    <w:rsid w:val="000B4F05"/>
    <w:rsid w:val="000B76A5"/>
    <w:rsid w:val="000C25C8"/>
    <w:rsid w:val="000C2F12"/>
    <w:rsid w:val="000C3618"/>
    <w:rsid w:val="000C3FA9"/>
    <w:rsid w:val="000C6908"/>
    <w:rsid w:val="000D1EE3"/>
    <w:rsid w:val="000D27A8"/>
    <w:rsid w:val="000E47B1"/>
    <w:rsid w:val="000F4F73"/>
    <w:rsid w:val="000F6778"/>
    <w:rsid w:val="0010316D"/>
    <w:rsid w:val="001079A5"/>
    <w:rsid w:val="00110C17"/>
    <w:rsid w:val="00111665"/>
    <w:rsid w:val="0011449B"/>
    <w:rsid w:val="001174B3"/>
    <w:rsid w:val="00117E0A"/>
    <w:rsid w:val="00121E9D"/>
    <w:rsid w:val="00124451"/>
    <w:rsid w:val="00126419"/>
    <w:rsid w:val="00127824"/>
    <w:rsid w:val="00131EEB"/>
    <w:rsid w:val="00135AE9"/>
    <w:rsid w:val="001451C9"/>
    <w:rsid w:val="00147239"/>
    <w:rsid w:val="001472EB"/>
    <w:rsid w:val="00156454"/>
    <w:rsid w:val="0015782F"/>
    <w:rsid w:val="001656BE"/>
    <w:rsid w:val="00165B87"/>
    <w:rsid w:val="001662F4"/>
    <w:rsid w:val="00171092"/>
    <w:rsid w:val="0017582F"/>
    <w:rsid w:val="001763B1"/>
    <w:rsid w:val="00182C86"/>
    <w:rsid w:val="00183F4A"/>
    <w:rsid w:val="00186D3D"/>
    <w:rsid w:val="00196D6C"/>
    <w:rsid w:val="001A40EE"/>
    <w:rsid w:val="001A589D"/>
    <w:rsid w:val="001A5EBE"/>
    <w:rsid w:val="001B07D0"/>
    <w:rsid w:val="001C0F12"/>
    <w:rsid w:val="001C5E05"/>
    <w:rsid w:val="001D019A"/>
    <w:rsid w:val="001D6407"/>
    <w:rsid w:val="001E311C"/>
    <w:rsid w:val="001F06E4"/>
    <w:rsid w:val="001F0C9B"/>
    <w:rsid w:val="00206F79"/>
    <w:rsid w:val="002076F5"/>
    <w:rsid w:val="00207B19"/>
    <w:rsid w:val="00210ECE"/>
    <w:rsid w:val="002208F4"/>
    <w:rsid w:val="00224AE4"/>
    <w:rsid w:val="00237839"/>
    <w:rsid w:val="00242441"/>
    <w:rsid w:val="00243C4F"/>
    <w:rsid w:val="00244B05"/>
    <w:rsid w:val="00246B59"/>
    <w:rsid w:val="0025047D"/>
    <w:rsid w:val="002510AA"/>
    <w:rsid w:val="002516DD"/>
    <w:rsid w:val="00252E90"/>
    <w:rsid w:val="00254FF6"/>
    <w:rsid w:val="00261218"/>
    <w:rsid w:val="002644A7"/>
    <w:rsid w:val="002710F7"/>
    <w:rsid w:val="00273A73"/>
    <w:rsid w:val="00277CFB"/>
    <w:rsid w:val="002802B8"/>
    <w:rsid w:val="00283CE0"/>
    <w:rsid w:val="00285427"/>
    <w:rsid w:val="002860AA"/>
    <w:rsid w:val="00293CE8"/>
    <w:rsid w:val="00293E07"/>
    <w:rsid w:val="00293FA8"/>
    <w:rsid w:val="0029606A"/>
    <w:rsid w:val="00297018"/>
    <w:rsid w:val="002A17AA"/>
    <w:rsid w:val="002A3810"/>
    <w:rsid w:val="002A45B6"/>
    <w:rsid w:val="002A7C1C"/>
    <w:rsid w:val="002B1771"/>
    <w:rsid w:val="002B1A97"/>
    <w:rsid w:val="002C39E6"/>
    <w:rsid w:val="002C46E6"/>
    <w:rsid w:val="002D02E1"/>
    <w:rsid w:val="002D3E28"/>
    <w:rsid w:val="002E1E91"/>
    <w:rsid w:val="002E6C93"/>
    <w:rsid w:val="002E702D"/>
    <w:rsid w:val="002F3EBA"/>
    <w:rsid w:val="002F59A1"/>
    <w:rsid w:val="00303C64"/>
    <w:rsid w:val="00304C7F"/>
    <w:rsid w:val="00312BAF"/>
    <w:rsid w:val="00313AB6"/>
    <w:rsid w:val="00314264"/>
    <w:rsid w:val="00316CCB"/>
    <w:rsid w:val="003208C3"/>
    <w:rsid w:val="003215A6"/>
    <w:rsid w:val="00325B04"/>
    <w:rsid w:val="00325E36"/>
    <w:rsid w:val="00327F3E"/>
    <w:rsid w:val="0033256E"/>
    <w:rsid w:val="00333140"/>
    <w:rsid w:val="00344825"/>
    <w:rsid w:val="0035035A"/>
    <w:rsid w:val="003524B1"/>
    <w:rsid w:val="00352632"/>
    <w:rsid w:val="00352B70"/>
    <w:rsid w:val="00353EAC"/>
    <w:rsid w:val="003541CA"/>
    <w:rsid w:val="00357719"/>
    <w:rsid w:val="00367111"/>
    <w:rsid w:val="00373D6F"/>
    <w:rsid w:val="00376651"/>
    <w:rsid w:val="003811D5"/>
    <w:rsid w:val="003841B9"/>
    <w:rsid w:val="00393027"/>
    <w:rsid w:val="0039316D"/>
    <w:rsid w:val="00395EE1"/>
    <w:rsid w:val="003A1C6E"/>
    <w:rsid w:val="003A43D2"/>
    <w:rsid w:val="003A5FCA"/>
    <w:rsid w:val="003B19E7"/>
    <w:rsid w:val="003B6897"/>
    <w:rsid w:val="003C0F8B"/>
    <w:rsid w:val="003D3B37"/>
    <w:rsid w:val="003D5283"/>
    <w:rsid w:val="003D55D7"/>
    <w:rsid w:val="003D6534"/>
    <w:rsid w:val="003D77FF"/>
    <w:rsid w:val="003D7E5C"/>
    <w:rsid w:val="003E2C7E"/>
    <w:rsid w:val="003F06A7"/>
    <w:rsid w:val="003F0D9B"/>
    <w:rsid w:val="003F19FD"/>
    <w:rsid w:val="00402B62"/>
    <w:rsid w:val="004032AA"/>
    <w:rsid w:val="00403FFD"/>
    <w:rsid w:val="00405399"/>
    <w:rsid w:val="00405712"/>
    <w:rsid w:val="00414238"/>
    <w:rsid w:val="00414D7D"/>
    <w:rsid w:val="00414F5F"/>
    <w:rsid w:val="00421062"/>
    <w:rsid w:val="004228FE"/>
    <w:rsid w:val="00423B36"/>
    <w:rsid w:val="00430283"/>
    <w:rsid w:val="00440B3B"/>
    <w:rsid w:val="004410E7"/>
    <w:rsid w:val="0044110B"/>
    <w:rsid w:val="00441892"/>
    <w:rsid w:val="00442626"/>
    <w:rsid w:val="00451458"/>
    <w:rsid w:val="00454D02"/>
    <w:rsid w:val="00454EFA"/>
    <w:rsid w:val="00463CBE"/>
    <w:rsid w:val="00465CE8"/>
    <w:rsid w:val="00467466"/>
    <w:rsid w:val="00470E31"/>
    <w:rsid w:val="00472028"/>
    <w:rsid w:val="004757A5"/>
    <w:rsid w:val="00477148"/>
    <w:rsid w:val="0048554C"/>
    <w:rsid w:val="00491FC5"/>
    <w:rsid w:val="00494CA8"/>
    <w:rsid w:val="00497969"/>
    <w:rsid w:val="004A29A4"/>
    <w:rsid w:val="004A29F0"/>
    <w:rsid w:val="004A39C6"/>
    <w:rsid w:val="004B1EFE"/>
    <w:rsid w:val="004B6BC5"/>
    <w:rsid w:val="004C4E01"/>
    <w:rsid w:val="004D2540"/>
    <w:rsid w:val="004D793E"/>
    <w:rsid w:val="004D7C8F"/>
    <w:rsid w:val="004E2E4C"/>
    <w:rsid w:val="004E7C76"/>
    <w:rsid w:val="00501357"/>
    <w:rsid w:val="00503B63"/>
    <w:rsid w:val="005106AE"/>
    <w:rsid w:val="005121B0"/>
    <w:rsid w:val="00513A22"/>
    <w:rsid w:val="005144B7"/>
    <w:rsid w:val="00514689"/>
    <w:rsid w:val="00522CF2"/>
    <w:rsid w:val="00527715"/>
    <w:rsid w:val="00550A2C"/>
    <w:rsid w:val="00555ACB"/>
    <w:rsid w:val="00560632"/>
    <w:rsid w:val="005611F2"/>
    <w:rsid w:val="0056724F"/>
    <w:rsid w:val="005739DA"/>
    <w:rsid w:val="00574915"/>
    <w:rsid w:val="005754C0"/>
    <w:rsid w:val="00582D90"/>
    <w:rsid w:val="00583B6B"/>
    <w:rsid w:val="005860F7"/>
    <w:rsid w:val="00595025"/>
    <w:rsid w:val="005A4161"/>
    <w:rsid w:val="005A5342"/>
    <w:rsid w:val="005A5F72"/>
    <w:rsid w:val="005A5FDE"/>
    <w:rsid w:val="005B6A58"/>
    <w:rsid w:val="005B6C70"/>
    <w:rsid w:val="005C1AF0"/>
    <w:rsid w:val="005C3E43"/>
    <w:rsid w:val="005C43EC"/>
    <w:rsid w:val="005C6788"/>
    <w:rsid w:val="005C6979"/>
    <w:rsid w:val="005D7AC4"/>
    <w:rsid w:val="005E0A59"/>
    <w:rsid w:val="005E1C48"/>
    <w:rsid w:val="005E2BF9"/>
    <w:rsid w:val="005E467C"/>
    <w:rsid w:val="005F4264"/>
    <w:rsid w:val="005F5097"/>
    <w:rsid w:val="00605821"/>
    <w:rsid w:val="006061DE"/>
    <w:rsid w:val="00621585"/>
    <w:rsid w:val="00621CE3"/>
    <w:rsid w:val="006263E1"/>
    <w:rsid w:val="00634961"/>
    <w:rsid w:val="00635565"/>
    <w:rsid w:val="006373B7"/>
    <w:rsid w:val="00640201"/>
    <w:rsid w:val="0064033B"/>
    <w:rsid w:val="006404F0"/>
    <w:rsid w:val="006416D2"/>
    <w:rsid w:val="00641DA9"/>
    <w:rsid w:val="00641FF0"/>
    <w:rsid w:val="00650CB7"/>
    <w:rsid w:val="0065280F"/>
    <w:rsid w:val="00657F5A"/>
    <w:rsid w:val="00661844"/>
    <w:rsid w:val="006700E7"/>
    <w:rsid w:val="00677D83"/>
    <w:rsid w:val="006811C2"/>
    <w:rsid w:val="0068464C"/>
    <w:rsid w:val="006879BA"/>
    <w:rsid w:val="0069187D"/>
    <w:rsid w:val="00694466"/>
    <w:rsid w:val="006B0F2D"/>
    <w:rsid w:val="006B0F4B"/>
    <w:rsid w:val="006B13F0"/>
    <w:rsid w:val="006B7AAD"/>
    <w:rsid w:val="006C06D5"/>
    <w:rsid w:val="006C3A6C"/>
    <w:rsid w:val="006C79E1"/>
    <w:rsid w:val="006C7BEA"/>
    <w:rsid w:val="006D3F8C"/>
    <w:rsid w:val="006D4843"/>
    <w:rsid w:val="006D6606"/>
    <w:rsid w:val="006D767D"/>
    <w:rsid w:val="006E373D"/>
    <w:rsid w:val="006E5E16"/>
    <w:rsid w:val="006F10A8"/>
    <w:rsid w:val="006F21EE"/>
    <w:rsid w:val="006F5FF1"/>
    <w:rsid w:val="00702A71"/>
    <w:rsid w:val="00704D6F"/>
    <w:rsid w:val="00716C09"/>
    <w:rsid w:val="00717870"/>
    <w:rsid w:val="00720485"/>
    <w:rsid w:val="00720999"/>
    <w:rsid w:val="00721FC7"/>
    <w:rsid w:val="00724F2C"/>
    <w:rsid w:val="007257E3"/>
    <w:rsid w:val="00725F16"/>
    <w:rsid w:val="007337A1"/>
    <w:rsid w:val="00736798"/>
    <w:rsid w:val="007377D3"/>
    <w:rsid w:val="007419DE"/>
    <w:rsid w:val="00743205"/>
    <w:rsid w:val="00744529"/>
    <w:rsid w:val="00745C61"/>
    <w:rsid w:val="00760B7A"/>
    <w:rsid w:val="00773EAF"/>
    <w:rsid w:val="0077456F"/>
    <w:rsid w:val="00775282"/>
    <w:rsid w:val="007772D4"/>
    <w:rsid w:val="00777A56"/>
    <w:rsid w:val="00784798"/>
    <w:rsid w:val="007850D3"/>
    <w:rsid w:val="00787BC1"/>
    <w:rsid w:val="00792042"/>
    <w:rsid w:val="00794F8F"/>
    <w:rsid w:val="007A4B5C"/>
    <w:rsid w:val="007A6904"/>
    <w:rsid w:val="007B155D"/>
    <w:rsid w:val="007B4A68"/>
    <w:rsid w:val="007B6051"/>
    <w:rsid w:val="007B632F"/>
    <w:rsid w:val="007C48EC"/>
    <w:rsid w:val="007C66A3"/>
    <w:rsid w:val="007C66B1"/>
    <w:rsid w:val="007D2013"/>
    <w:rsid w:val="007D2447"/>
    <w:rsid w:val="007D3644"/>
    <w:rsid w:val="007D5213"/>
    <w:rsid w:val="007E0284"/>
    <w:rsid w:val="007E2373"/>
    <w:rsid w:val="00800424"/>
    <w:rsid w:val="008017D7"/>
    <w:rsid w:val="00803FD2"/>
    <w:rsid w:val="00806C50"/>
    <w:rsid w:val="00807CC5"/>
    <w:rsid w:val="00811E9B"/>
    <w:rsid w:val="00814526"/>
    <w:rsid w:val="00822962"/>
    <w:rsid w:val="00822B47"/>
    <w:rsid w:val="00823D11"/>
    <w:rsid w:val="00833C68"/>
    <w:rsid w:val="00835D6A"/>
    <w:rsid w:val="00840DB8"/>
    <w:rsid w:val="00843154"/>
    <w:rsid w:val="008449BA"/>
    <w:rsid w:val="00845352"/>
    <w:rsid w:val="008533AF"/>
    <w:rsid w:val="00865933"/>
    <w:rsid w:val="00871A8E"/>
    <w:rsid w:val="00872E8E"/>
    <w:rsid w:val="00874284"/>
    <w:rsid w:val="00891B79"/>
    <w:rsid w:val="00894531"/>
    <w:rsid w:val="008A32B6"/>
    <w:rsid w:val="008A38C6"/>
    <w:rsid w:val="008B1705"/>
    <w:rsid w:val="008B2482"/>
    <w:rsid w:val="008B289A"/>
    <w:rsid w:val="008B6A94"/>
    <w:rsid w:val="008C32FF"/>
    <w:rsid w:val="008D0908"/>
    <w:rsid w:val="008D1EC9"/>
    <w:rsid w:val="008D3A46"/>
    <w:rsid w:val="008D4723"/>
    <w:rsid w:val="008D6666"/>
    <w:rsid w:val="008D6D8F"/>
    <w:rsid w:val="008E2263"/>
    <w:rsid w:val="008E589F"/>
    <w:rsid w:val="008F1DF4"/>
    <w:rsid w:val="008F4B73"/>
    <w:rsid w:val="0091590A"/>
    <w:rsid w:val="00922744"/>
    <w:rsid w:val="00922D6C"/>
    <w:rsid w:val="00925EBB"/>
    <w:rsid w:val="009301C6"/>
    <w:rsid w:val="00936D22"/>
    <w:rsid w:val="00943D93"/>
    <w:rsid w:val="00956E85"/>
    <w:rsid w:val="0095763F"/>
    <w:rsid w:val="00970E18"/>
    <w:rsid w:val="00973987"/>
    <w:rsid w:val="0097597E"/>
    <w:rsid w:val="0098353C"/>
    <w:rsid w:val="00987D05"/>
    <w:rsid w:val="0099062C"/>
    <w:rsid w:val="00991D20"/>
    <w:rsid w:val="00993DE9"/>
    <w:rsid w:val="009A407B"/>
    <w:rsid w:val="009A509A"/>
    <w:rsid w:val="009A6F47"/>
    <w:rsid w:val="009B29AD"/>
    <w:rsid w:val="009B452D"/>
    <w:rsid w:val="009C004E"/>
    <w:rsid w:val="009C1641"/>
    <w:rsid w:val="009C20FF"/>
    <w:rsid w:val="009C7E26"/>
    <w:rsid w:val="009D0A5F"/>
    <w:rsid w:val="009D448E"/>
    <w:rsid w:val="009D60FC"/>
    <w:rsid w:val="009D723A"/>
    <w:rsid w:val="009F1A14"/>
    <w:rsid w:val="00A02D49"/>
    <w:rsid w:val="00A07AF4"/>
    <w:rsid w:val="00A14558"/>
    <w:rsid w:val="00A21F47"/>
    <w:rsid w:val="00A23939"/>
    <w:rsid w:val="00A24111"/>
    <w:rsid w:val="00A24157"/>
    <w:rsid w:val="00A26CEA"/>
    <w:rsid w:val="00A31DCB"/>
    <w:rsid w:val="00A34E1E"/>
    <w:rsid w:val="00A40016"/>
    <w:rsid w:val="00A40210"/>
    <w:rsid w:val="00A47826"/>
    <w:rsid w:val="00A5416D"/>
    <w:rsid w:val="00A60F8D"/>
    <w:rsid w:val="00A61DB7"/>
    <w:rsid w:val="00A6768F"/>
    <w:rsid w:val="00A705BF"/>
    <w:rsid w:val="00A72B94"/>
    <w:rsid w:val="00A732B8"/>
    <w:rsid w:val="00A77907"/>
    <w:rsid w:val="00A84ECD"/>
    <w:rsid w:val="00A85DC4"/>
    <w:rsid w:val="00A8755C"/>
    <w:rsid w:val="00A9178F"/>
    <w:rsid w:val="00A93CB8"/>
    <w:rsid w:val="00A95E5E"/>
    <w:rsid w:val="00A962EC"/>
    <w:rsid w:val="00A966B2"/>
    <w:rsid w:val="00A96C4D"/>
    <w:rsid w:val="00AA2170"/>
    <w:rsid w:val="00AA3AE3"/>
    <w:rsid w:val="00AA6D5F"/>
    <w:rsid w:val="00AA7537"/>
    <w:rsid w:val="00AA7A28"/>
    <w:rsid w:val="00AB3F12"/>
    <w:rsid w:val="00AB4F65"/>
    <w:rsid w:val="00AC4514"/>
    <w:rsid w:val="00AC537C"/>
    <w:rsid w:val="00AD0D12"/>
    <w:rsid w:val="00AD33B9"/>
    <w:rsid w:val="00AD3E59"/>
    <w:rsid w:val="00AD5851"/>
    <w:rsid w:val="00AE02E3"/>
    <w:rsid w:val="00AE059F"/>
    <w:rsid w:val="00AE1390"/>
    <w:rsid w:val="00AE15DE"/>
    <w:rsid w:val="00AE2649"/>
    <w:rsid w:val="00B007A6"/>
    <w:rsid w:val="00B00C08"/>
    <w:rsid w:val="00B03590"/>
    <w:rsid w:val="00B16186"/>
    <w:rsid w:val="00B16A39"/>
    <w:rsid w:val="00B20B73"/>
    <w:rsid w:val="00B30C12"/>
    <w:rsid w:val="00B31A44"/>
    <w:rsid w:val="00B33CC4"/>
    <w:rsid w:val="00B40FF1"/>
    <w:rsid w:val="00B420B9"/>
    <w:rsid w:val="00B50D1D"/>
    <w:rsid w:val="00B55B90"/>
    <w:rsid w:val="00B57AE8"/>
    <w:rsid w:val="00B67550"/>
    <w:rsid w:val="00B67BAB"/>
    <w:rsid w:val="00B67F6C"/>
    <w:rsid w:val="00B92F9F"/>
    <w:rsid w:val="00BA3E5A"/>
    <w:rsid w:val="00BB0BE3"/>
    <w:rsid w:val="00BB182A"/>
    <w:rsid w:val="00BB1B34"/>
    <w:rsid w:val="00BB59B7"/>
    <w:rsid w:val="00BB62D0"/>
    <w:rsid w:val="00BB6926"/>
    <w:rsid w:val="00BD2A8D"/>
    <w:rsid w:val="00BD5C7A"/>
    <w:rsid w:val="00BE4E46"/>
    <w:rsid w:val="00BE6A25"/>
    <w:rsid w:val="00BF169A"/>
    <w:rsid w:val="00BF26E8"/>
    <w:rsid w:val="00C020D8"/>
    <w:rsid w:val="00C03B79"/>
    <w:rsid w:val="00C06252"/>
    <w:rsid w:val="00C216FA"/>
    <w:rsid w:val="00C244BE"/>
    <w:rsid w:val="00C24DC3"/>
    <w:rsid w:val="00C26059"/>
    <w:rsid w:val="00C261E6"/>
    <w:rsid w:val="00C32DEC"/>
    <w:rsid w:val="00C335FC"/>
    <w:rsid w:val="00C37958"/>
    <w:rsid w:val="00C4121F"/>
    <w:rsid w:val="00C42F2E"/>
    <w:rsid w:val="00C43162"/>
    <w:rsid w:val="00C450CD"/>
    <w:rsid w:val="00C45C35"/>
    <w:rsid w:val="00C47D16"/>
    <w:rsid w:val="00C519F5"/>
    <w:rsid w:val="00C5254E"/>
    <w:rsid w:val="00C54201"/>
    <w:rsid w:val="00C542AA"/>
    <w:rsid w:val="00C57E3B"/>
    <w:rsid w:val="00C622D0"/>
    <w:rsid w:val="00C675A1"/>
    <w:rsid w:val="00C67B1C"/>
    <w:rsid w:val="00C85124"/>
    <w:rsid w:val="00C937C0"/>
    <w:rsid w:val="00C94934"/>
    <w:rsid w:val="00C97AAE"/>
    <w:rsid w:val="00C97C78"/>
    <w:rsid w:val="00CB3347"/>
    <w:rsid w:val="00CB7973"/>
    <w:rsid w:val="00CD1231"/>
    <w:rsid w:val="00CE03CA"/>
    <w:rsid w:val="00CE115A"/>
    <w:rsid w:val="00CF066A"/>
    <w:rsid w:val="00CF27C6"/>
    <w:rsid w:val="00CF6A4A"/>
    <w:rsid w:val="00D00956"/>
    <w:rsid w:val="00D03FCA"/>
    <w:rsid w:val="00D063FD"/>
    <w:rsid w:val="00D11645"/>
    <w:rsid w:val="00D13900"/>
    <w:rsid w:val="00D15FC0"/>
    <w:rsid w:val="00D1627F"/>
    <w:rsid w:val="00D3147C"/>
    <w:rsid w:val="00D32037"/>
    <w:rsid w:val="00D330D5"/>
    <w:rsid w:val="00D33C77"/>
    <w:rsid w:val="00D34FDE"/>
    <w:rsid w:val="00D3557A"/>
    <w:rsid w:val="00D410B6"/>
    <w:rsid w:val="00D4394D"/>
    <w:rsid w:val="00D43B81"/>
    <w:rsid w:val="00D45036"/>
    <w:rsid w:val="00D56893"/>
    <w:rsid w:val="00D57559"/>
    <w:rsid w:val="00D5774E"/>
    <w:rsid w:val="00D62363"/>
    <w:rsid w:val="00D72146"/>
    <w:rsid w:val="00D730E0"/>
    <w:rsid w:val="00D76A3E"/>
    <w:rsid w:val="00D82A90"/>
    <w:rsid w:val="00D83701"/>
    <w:rsid w:val="00D86163"/>
    <w:rsid w:val="00D949EA"/>
    <w:rsid w:val="00D95160"/>
    <w:rsid w:val="00D962EC"/>
    <w:rsid w:val="00D965AD"/>
    <w:rsid w:val="00D96CD1"/>
    <w:rsid w:val="00D97EEE"/>
    <w:rsid w:val="00DA1504"/>
    <w:rsid w:val="00DA3782"/>
    <w:rsid w:val="00DB253B"/>
    <w:rsid w:val="00DB35AA"/>
    <w:rsid w:val="00DB6C31"/>
    <w:rsid w:val="00DB6C55"/>
    <w:rsid w:val="00DC3007"/>
    <w:rsid w:val="00DC3209"/>
    <w:rsid w:val="00DC614F"/>
    <w:rsid w:val="00DD0B5E"/>
    <w:rsid w:val="00DD28D1"/>
    <w:rsid w:val="00DD4A30"/>
    <w:rsid w:val="00DD4BA8"/>
    <w:rsid w:val="00DD576A"/>
    <w:rsid w:val="00DD7E6B"/>
    <w:rsid w:val="00DE1D40"/>
    <w:rsid w:val="00DE36A4"/>
    <w:rsid w:val="00DE7BCD"/>
    <w:rsid w:val="00DE7EA0"/>
    <w:rsid w:val="00DE7F55"/>
    <w:rsid w:val="00DF3670"/>
    <w:rsid w:val="00DF67F6"/>
    <w:rsid w:val="00E02850"/>
    <w:rsid w:val="00E04848"/>
    <w:rsid w:val="00E11F3E"/>
    <w:rsid w:val="00E12FD9"/>
    <w:rsid w:val="00E14187"/>
    <w:rsid w:val="00E449B8"/>
    <w:rsid w:val="00E465E9"/>
    <w:rsid w:val="00E507A1"/>
    <w:rsid w:val="00E519E6"/>
    <w:rsid w:val="00E527A3"/>
    <w:rsid w:val="00E55971"/>
    <w:rsid w:val="00E65D79"/>
    <w:rsid w:val="00E675E4"/>
    <w:rsid w:val="00E706F0"/>
    <w:rsid w:val="00E75CAC"/>
    <w:rsid w:val="00E767C3"/>
    <w:rsid w:val="00E7710C"/>
    <w:rsid w:val="00E82C10"/>
    <w:rsid w:val="00E83CB3"/>
    <w:rsid w:val="00E84CC5"/>
    <w:rsid w:val="00E8737C"/>
    <w:rsid w:val="00E87F86"/>
    <w:rsid w:val="00E96EA1"/>
    <w:rsid w:val="00EB55E9"/>
    <w:rsid w:val="00EC3006"/>
    <w:rsid w:val="00EC38F1"/>
    <w:rsid w:val="00EC3EEE"/>
    <w:rsid w:val="00EC747C"/>
    <w:rsid w:val="00ED4893"/>
    <w:rsid w:val="00EE30D1"/>
    <w:rsid w:val="00EE7804"/>
    <w:rsid w:val="00EF2D94"/>
    <w:rsid w:val="00EF54B9"/>
    <w:rsid w:val="00F1330D"/>
    <w:rsid w:val="00F16A4A"/>
    <w:rsid w:val="00F17EE6"/>
    <w:rsid w:val="00F20239"/>
    <w:rsid w:val="00F20331"/>
    <w:rsid w:val="00F23113"/>
    <w:rsid w:val="00F245FC"/>
    <w:rsid w:val="00F27EB2"/>
    <w:rsid w:val="00F31B03"/>
    <w:rsid w:val="00F375EB"/>
    <w:rsid w:val="00F40744"/>
    <w:rsid w:val="00F40EF2"/>
    <w:rsid w:val="00F435A6"/>
    <w:rsid w:val="00F46C2E"/>
    <w:rsid w:val="00F470C9"/>
    <w:rsid w:val="00F503BA"/>
    <w:rsid w:val="00F52250"/>
    <w:rsid w:val="00F52CB8"/>
    <w:rsid w:val="00F55D8E"/>
    <w:rsid w:val="00F55EFC"/>
    <w:rsid w:val="00F57710"/>
    <w:rsid w:val="00F7254F"/>
    <w:rsid w:val="00F84606"/>
    <w:rsid w:val="00F848C6"/>
    <w:rsid w:val="00F86F0F"/>
    <w:rsid w:val="00F91EC1"/>
    <w:rsid w:val="00F95448"/>
    <w:rsid w:val="00F974B5"/>
    <w:rsid w:val="00F97DD7"/>
    <w:rsid w:val="00FA1C2C"/>
    <w:rsid w:val="00FA3847"/>
    <w:rsid w:val="00FA7E62"/>
    <w:rsid w:val="00FB21CD"/>
    <w:rsid w:val="00FB7B68"/>
    <w:rsid w:val="00FC2494"/>
    <w:rsid w:val="00FD18AC"/>
    <w:rsid w:val="00FE3520"/>
    <w:rsid w:val="00FE39B1"/>
    <w:rsid w:val="00FE7B49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780C"/>
  <w15:chartTrackingRefBased/>
  <w15:docId w15:val="{DEAB03CC-E199-42C0-B148-87DE65A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244BE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74452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Abu Ras</dc:creator>
  <cp:keywords/>
  <dc:description/>
  <cp:lastModifiedBy>Khalid Abu Ras</cp:lastModifiedBy>
  <cp:revision>2</cp:revision>
  <dcterms:created xsi:type="dcterms:W3CDTF">2016-11-25T12:13:00Z</dcterms:created>
  <dcterms:modified xsi:type="dcterms:W3CDTF">2016-11-25T12:13:00Z</dcterms:modified>
</cp:coreProperties>
</file>