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CF" w:rsidRPr="008D1A1B" w:rsidRDefault="008929CF" w:rsidP="008929C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Alla base dei miei interessi di ricerca c’è la passione per la lingua greca, nella sua evoluzione diacronica dall’Antichità ad oggi e nella sua ricchezza espressiva. La lessicografia rappresenta uno dei miei ambiti più studiati in virtù della mia formazione linguistica e della mia propensione per la semantica storica. Per esempio, in un mio recente contributo, </w:t>
      </w:r>
      <w:r w:rsidRPr="003B0823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 xml:space="preserve">Prose and Poetry of Pain: </w:t>
      </w:r>
      <w:r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>A</w:t>
      </w:r>
      <w:r w:rsidRPr="003B0823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 xml:space="preserve"> History of</w:t>
      </w:r>
      <w:r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 xml:space="preserve"> the Term</w:t>
      </w:r>
      <w:r w:rsidRPr="003B0823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 xml:space="preserve"> </w:t>
      </w:r>
      <w:r w:rsidRPr="003B0823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val="el-GR" w:eastAsia="zh-CN"/>
        </w:rPr>
        <w:t>ἄλγος</w:t>
      </w:r>
      <w:r w:rsidRPr="003B0823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apparso nel volume </w:t>
      </w:r>
      <w:r w:rsidRPr="003F2C36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>The Paths of Greek: Literature, Linguistics and Epigraphy</w:t>
      </w:r>
      <w:r w:rsidRPr="003F2C36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, a cura di Enzo Passa e Olga Tribulato, ricostruisco la vicenda del termine </w:t>
      </w:r>
      <w:r w:rsidRPr="003F2C36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val="el-GR" w:eastAsia="zh-CN"/>
        </w:rPr>
        <w:t>ἄλγος</w:t>
      </w:r>
      <w:r w:rsidRPr="003F2C36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come poetismo già nel V sec. a.C.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attingendo a indicazioni tratta del codice delle </w:t>
      </w:r>
      <w:r w:rsidRPr="003F2C36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>Glossai kata poleis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>. Lo studio di alcuni slittamenti semantici nel greco ellenistico e imperiale (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val="el-GR" w:eastAsia="zh-CN"/>
        </w:rPr>
        <w:t>ἀνάτασις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e</w:t>
      </w:r>
      <w:r w:rsidRPr="003B0823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val="el-GR" w:eastAsia="zh-CN"/>
        </w:rPr>
        <w:t>παράστασις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>)</w:t>
      </w:r>
      <w:r w:rsidRPr="003B0823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mi ha portato a indagare lessici bizantini. </w:t>
      </w:r>
      <w:r w:rsidRPr="008D1A1B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Al momento, sto per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>pubblicare</w:t>
      </w:r>
      <w:r w:rsidRPr="008D1A1B"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una monografia dedicata alla fortuna del fr. 10 W. di Tirteo in Italia e sto preparando una relazione di semantica storica che terrò al prossimo convegno di greco postclassico che si terrà all’Università di Colonia nel mese di marzo. 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Altri due articoli sulla fortuna di una </w:t>
      </w:r>
      <w:r w:rsidRPr="002823C8"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  <w:u w:color="000000"/>
          <w:bdr w:val="nil"/>
          <w:lang w:eastAsia="zh-CN"/>
        </w:rPr>
        <w:t>iunctura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color="000000"/>
          <w:bdr w:val="nil"/>
          <w:lang w:eastAsia="zh-CN"/>
        </w:rPr>
        <w:t xml:space="preserve"> tucididea in Dexippo ed Eliodoro sono in attesa di rifiniture per prossima pubblicazione. Un soggiorno di tre settimane alla fondation Hardt a Ginevra (27/01-15/02/2020) sarà utile a portare a termine questi studi.</w:t>
      </w:r>
    </w:p>
    <w:p w:rsidR="008929CF" w:rsidRDefault="008929CF" w:rsidP="008929CF">
      <w:pPr>
        <w:spacing w:line="240" w:lineRule="auto"/>
        <w:contextualSpacing/>
        <w:rPr>
          <w:rFonts w:ascii="Palatino Linotype" w:hAnsi="Palatino Linotype"/>
          <w:sz w:val="20"/>
          <w:szCs w:val="20"/>
          <w:lang w:val="en-GB"/>
        </w:rPr>
      </w:pPr>
      <w:r w:rsidRPr="008D1A1B">
        <w:rPr>
          <w:rFonts w:ascii="Palatino Linotype" w:hAnsi="Palatino Linotype"/>
          <w:sz w:val="20"/>
          <w:szCs w:val="20"/>
          <w:lang w:val="en-GB"/>
        </w:rPr>
        <w:t xml:space="preserve">                La monografia su Tirteo unisce un’indagine esauriente delle traduzioni dela poesia tirtaica, tesa a sondare le possibilità espressive dell’italiano rispetto ai lessemi greci nel corso di due secoli, a una laboriosa ricognizione delle scelte filologiche in vista di una storia del testo e delle sue edizioni fino alla più recente (2017). </w:t>
      </w:r>
      <w:r>
        <w:rPr>
          <w:rFonts w:ascii="Palatino Linotype" w:hAnsi="Palatino Linotype"/>
          <w:sz w:val="20"/>
          <w:szCs w:val="20"/>
          <w:lang w:val="en-GB"/>
        </w:rPr>
        <w:t>Anche in questo caso, filologia intesa come critica del testo, semantica e stilistica vanno di pari passo.</w:t>
      </w:r>
    </w:p>
    <w:p w:rsidR="008929CF" w:rsidRDefault="008929CF" w:rsidP="008929CF">
      <w:pPr>
        <w:spacing w:line="240" w:lineRule="auto"/>
        <w:contextualSpacing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     Il lavoro sul </w:t>
      </w:r>
      <w:r w:rsidRPr="00B768E6">
        <w:rPr>
          <w:rFonts w:ascii="Palatino Linotype" w:hAnsi="Palatino Linotype"/>
          <w:i/>
          <w:iCs/>
          <w:sz w:val="20"/>
          <w:szCs w:val="20"/>
          <w:lang w:val="en-GB"/>
        </w:rPr>
        <w:t>lexicon Gudianum</w:t>
      </w:r>
      <w:r>
        <w:rPr>
          <w:rFonts w:ascii="Palatino Linotype" w:hAnsi="Palatino Linotype"/>
          <w:sz w:val="20"/>
          <w:szCs w:val="20"/>
          <w:lang w:val="en-GB"/>
        </w:rPr>
        <w:t xml:space="preserve"> sarebbe per me una bella occasione per vari motivi:</w:t>
      </w:r>
    </w:p>
    <w:p w:rsidR="008929CF" w:rsidRDefault="008929CF" w:rsidP="008929C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la mia passione, antica e mai abbandonata, per la bizantinistica (ho seguito corsi e dato esami a Roma e Berlino, con i proff. Luzzi, Niehoff-Panagiotidis, e ho seguito il prof. Agosti durante il mio dottorato per alcuni corsi e seminari). Ne è una prova l’articolo </w:t>
      </w:r>
      <w:r w:rsidRPr="00A94B0A">
        <w:rPr>
          <w:rFonts w:ascii="Palatino Linotype" w:hAnsi="Palatino Linotype"/>
          <w:i/>
          <w:iCs/>
          <w:sz w:val="20"/>
          <w:szCs w:val="20"/>
          <w:lang w:val="en-GB"/>
        </w:rPr>
        <w:t xml:space="preserve">Bisanzio e l’Europa: la complessità dell’irrisolto </w:t>
      </w:r>
      <w:r>
        <w:rPr>
          <w:rFonts w:ascii="Palatino Linotype" w:hAnsi="Palatino Linotype"/>
          <w:sz w:val="20"/>
          <w:szCs w:val="20"/>
          <w:lang w:val="en-GB"/>
        </w:rPr>
        <w:t>(Atene &amp; Roma 2018);</w:t>
      </w:r>
    </w:p>
    <w:p w:rsidR="008929CF" w:rsidRDefault="008929CF" w:rsidP="008929C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il mio tirocinio paleografico (ho dato due esami di paleografia greca con il professore Gugliemo Cavallo);</w:t>
      </w:r>
    </w:p>
    <w:p w:rsidR="008929CF" w:rsidRDefault="008929CF" w:rsidP="008929C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la formazione filologica acquisita a Roma, di cui ho dato prova in una serie di lavori (Quinto di Smirne, Ditti di Creta, a breve la monografia su Tirteo e, spero presto, anche la monografia sul lessico di 2 Maccabei);</w:t>
      </w:r>
    </w:p>
    <w:p w:rsidR="008929CF" w:rsidRDefault="008929CF" w:rsidP="008929C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l’interesse per la semantica storica e la lessicografia;</w:t>
      </w:r>
    </w:p>
    <w:p w:rsidR="008929CF" w:rsidRDefault="008929CF" w:rsidP="008929C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la buona esperienza maturata in Germania durante il Master e il dottorato.</w:t>
      </w:r>
    </w:p>
    <w:p w:rsidR="00AC424A" w:rsidRPr="008929CF" w:rsidRDefault="008929CF">
      <w:pPr>
        <w:rPr>
          <w:lang w:val="en-GB"/>
        </w:rPr>
      </w:pPr>
      <w:bookmarkStart w:id="0" w:name="_GoBack"/>
      <w:bookmarkEnd w:id="0"/>
    </w:p>
    <w:sectPr w:rsidR="00AC424A" w:rsidRPr="008929CF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2039D"/>
    <w:multiLevelType w:val="hybridMultilevel"/>
    <w:tmpl w:val="BF0CD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F"/>
    <w:rsid w:val="008929CF"/>
    <w:rsid w:val="008F28CC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BCEF7E-65B6-0742-8C1C-829787D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929C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2296</Characters>
  <Application>Microsoft Office Word</Application>
  <DocSecurity>0</DocSecurity>
  <Lines>31</Lines>
  <Paragraphs>11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1</cp:revision>
  <dcterms:created xsi:type="dcterms:W3CDTF">2020-01-07T20:50:00Z</dcterms:created>
  <dcterms:modified xsi:type="dcterms:W3CDTF">2020-01-07T20:51:00Z</dcterms:modified>
</cp:coreProperties>
</file>