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A2A2E" w14:textId="22ECF42E" w:rsidR="00944F5C" w:rsidRPr="00C14D70" w:rsidRDefault="00581044" w:rsidP="00581044">
      <w:pPr>
        <w:spacing w:line="480" w:lineRule="auto"/>
        <w:rPr>
          <w:rFonts w:asciiTheme="majorBidi" w:hAnsiTheme="majorBidi" w:cstheme="majorBidi"/>
          <w:b/>
          <w:bCs/>
        </w:rPr>
      </w:pPr>
      <w:r>
        <w:rPr>
          <w:rFonts w:asciiTheme="majorBidi" w:hAnsiTheme="majorBidi" w:cstheme="majorBidi"/>
          <w:b/>
          <w:bCs/>
        </w:rPr>
        <w:t xml:space="preserve">Transitioning from hospital to home: </w:t>
      </w:r>
      <w:r w:rsidR="00920F61" w:rsidRPr="00C14D70">
        <w:rPr>
          <w:rFonts w:asciiTheme="majorBidi" w:hAnsiTheme="majorBidi" w:cstheme="majorBidi"/>
          <w:b/>
          <w:bCs/>
        </w:rPr>
        <w:t xml:space="preserve">Validation and application </w:t>
      </w:r>
      <w:r>
        <w:rPr>
          <w:rFonts w:asciiTheme="majorBidi" w:hAnsiTheme="majorBidi" w:cstheme="majorBidi"/>
          <w:b/>
          <w:bCs/>
        </w:rPr>
        <w:t xml:space="preserve">of </w:t>
      </w:r>
      <w:r w:rsidR="00227C13">
        <w:rPr>
          <w:rFonts w:asciiTheme="majorBidi" w:hAnsiTheme="majorBidi" w:cstheme="majorBidi"/>
          <w:b/>
          <w:bCs/>
        </w:rPr>
        <w:t>a</w:t>
      </w:r>
      <w:r>
        <w:rPr>
          <w:rFonts w:asciiTheme="majorBidi" w:hAnsiTheme="majorBidi" w:cstheme="majorBidi"/>
          <w:b/>
          <w:bCs/>
        </w:rPr>
        <w:t xml:space="preserve"> unique C</w:t>
      </w:r>
      <w:r w:rsidR="00920F61" w:rsidRPr="00C14D70">
        <w:rPr>
          <w:rFonts w:asciiTheme="majorBidi" w:hAnsiTheme="majorBidi" w:cstheme="majorBidi"/>
          <w:b/>
          <w:bCs/>
        </w:rPr>
        <w:t>ognitive</w:t>
      </w:r>
      <w:r>
        <w:rPr>
          <w:rFonts w:asciiTheme="majorBidi" w:hAnsiTheme="majorBidi" w:cstheme="majorBidi"/>
          <w:b/>
          <w:bCs/>
        </w:rPr>
        <w:t>-F</w:t>
      </w:r>
      <w:r w:rsidR="00920F61" w:rsidRPr="00C14D70">
        <w:rPr>
          <w:rFonts w:asciiTheme="majorBidi" w:hAnsiTheme="majorBidi" w:cstheme="majorBidi"/>
          <w:b/>
          <w:bCs/>
        </w:rPr>
        <w:t xml:space="preserve">unctional </w:t>
      </w:r>
      <w:r>
        <w:rPr>
          <w:rFonts w:asciiTheme="majorBidi" w:hAnsiTheme="majorBidi" w:cstheme="majorBidi"/>
          <w:b/>
          <w:bCs/>
        </w:rPr>
        <w:t>E</w:t>
      </w:r>
      <w:r w:rsidR="00920F61" w:rsidRPr="00C14D70">
        <w:rPr>
          <w:rFonts w:asciiTheme="majorBidi" w:hAnsiTheme="majorBidi" w:cstheme="majorBidi"/>
          <w:b/>
          <w:bCs/>
        </w:rPr>
        <w:t xml:space="preserve">valuation of </w:t>
      </w:r>
      <w:r>
        <w:rPr>
          <w:rFonts w:asciiTheme="majorBidi" w:hAnsiTheme="majorBidi" w:cstheme="majorBidi"/>
          <w:b/>
          <w:bCs/>
        </w:rPr>
        <w:t xml:space="preserve">older people </w:t>
      </w:r>
      <w:r w:rsidR="00920F61" w:rsidRPr="00C14D70">
        <w:rPr>
          <w:rFonts w:asciiTheme="majorBidi" w:hAnsiTheme="majorBidi" w:cstheme="majorBidi"/>
          <w:b/>
          <w:bCs/>
        </w:rPr>
        <w:t>(COFEE – H</w:t>
      </w:r>
      <w:r w:rsidR="004B1488" w:rsidRPr="00C14D70">
        <w:rPr>
          <w:rFonts w:asciiTheme="majorBidi" w:hAnsiTheme="majorBidi" w:cstheme="majorBidi"/>
          <w:b/>
          <w:bCs/>
        </w:rPr>
        <w:t>D</w:t>
      </w:r>
      <w:r w:rsidR="00920F61" w:rsidRPr="00C14D70">
        <w:rPr>
          <w:rFonts w:asciiTheme="majorBidi" w:hAnsiTheme="majorBidi" w:cstheme="majorBidi"/>
          <w:b/>
          <w:bCs/>
        </w:rPr>
        <w:t xml:space="preserve">) </w:t>
      </w:r>
    </w:p>
    <w:p w14:paraId="10CD0EC0" w14:textId="1F314F47" w:rsidR="00944F5C" w:rsidRPr="00C14D70" w:rsidRDefault="00944F5C" w:rsidP="00D61F07">
      <w:pPr>
        <w:spacing w:after="0" w:line="480" w:lineRule="auto"/>
        <w:rPr>
          <w:rFonts w:asciiTheme="majorBidi" w:hAnsiTheme="majorBidi" w:cstheme="majorBidi"/>
          <w:b/>
          <w:bCs/>
        </w:rPr>
      </w:pPr>
    </w:p>
    <w:p w14:paraId="53A99260" w14:textId="05F927EF" w:rsidR="00093A65" w:rsidRPr="00C14D70" w:rsidRDefault="00944F5C" w:rsidP="00A81D4D">
      <w:pPr>
        <w:spacing w:after="0" w:line="480" w:lineRule="auto"/>
        <w:rPr>
          <w:rFonts w:asciiTheme="majorBidi" w:hAnsiTheme="majorBidi" w:cstheme="majorBidi"/>
          <w:b/>
          <w:bCs/>
        </w:rPr>
      </w:pPr>
      <w:r w:rsidRPr="00C14D70">
        <w:rPr>
          <w:rFonts w:asciiTheme="majorBidi" w:hAnsiTheme="majorBidi" w:cstheme="majorBidi"/>
          <w:b/>
          <w:bCs/>
        </w:rPr>
        <w:t>Key words</w:t>
      </w:r>
      <w:r w:rsidR="00A81D4D">
        <w:rPr>
          <w:rFonts w:asciiTheme="majorBidi" w:hAnsiTheme="majorBidi" w:cstheme="majorBidi"/>
          <w:b/>
          <w:bCs/>
        </w:rPr>
        <w:t xml:space="preserve">:  need 5 key words </w:t>
      </w:r>
    </w:p>
    <w:p w14:paraId="4F5B54DF" w14:textId="77777777" w:rsidR="001F4741" w:rsidRDefault="001F4741" w:rsidP="003F3C83">
      <w:pPr>
        <w:spacing w:after="0" w:line="480" w:lineRule="auto"/>
        <w:rPr>
          <w:rFonts w:asciiTheme="majorBidi" w:hAnsiTheme="majorBidi" w:cstheme="majorBidi"/>
          <w:b/>
          <w:bCs/>
        </w:rPr>
      </w:pPr>
    </w:p>
    <w:p w14:paraId="3B27724E" w14:textId="40535C7F" w:rsidR="003F3C83" w:rsidRPr="00C14D70" w:rsidRDefault="00944F5C" w:rsidP="003F3C83">
      <w:pPr>
        <w:spacing w:after="0" w:line="480" w:lineRule="auto"/>
        <w:rPr>
          <w:rFonts w:asciiTheme="majorBidi" w:hAnsiTheme="majorBidi" w:cstheme="majorBidi"/>
          <w:b/>
          <w:bCs/>
        </w:rPr>
      </w:pPr>
      <w:r w:rsidRPr="00C14D70">
        <w:rPr>
          <w:rFonts w:asciiTheme="majorBidi" w:hAnsiTheme="majorBidi" w:cstheme="majorBidi"/>
          <w:b/>
          <w:bCs/>
        </w:rPr>
        <w:t xml:space="preserve">Abstract </w:t>
      </w:r>
      <w:r w:rsidR="00A81D4D">
        <w:rPr>
          <w:rFonts w:asciiTheme="majorBidi" w:hAnsiTheme="majorBidi" w:cstheme="majorBidi"/>
          <w:b/>
          <w:bCs/>
        </w:rPr>
        <w:t xml:space="preserve">if Australian Journal of Occupational Therapy – </w:t>
      </w:r>
      <w:proofErr w:type="gramStart"/>
      <w:r w:rsidR="00FF086E">
        <w:rPr>
          <w:rFonts w:asciiTheme="majorBidi" w:hAnsiTheme="majorBidi" w:cstheme="majorBidi"/>
          <w:b/>
          <w:bCs/>
        </w:rPr>
        <w:t>3</w:t>
      </w:r>
      <w:r w:rsidR="00A81D4D">
        <w:rPr>
          <w:rFonts w:asciiTheme="majorBidi" w:hAnsiTheme="majorBidi" w:cstheme="majorBidi"/>
          <w:b/>
          <w:bCs/>
        </w:rPr>
        <w:t>00 word</w:t>
      </w:r>
      <w:proofErr w:type="gramEnd"/>
      <w:r w:rsidR="00A81D4D">
        <w:rPr>
          <w:rFonts w:asciiTheme="majorBidi" w:hAnsiTheme="majorBidi" w:cstheme="majorBidi"/>
          <w:b/>
          <w:bCs/>
        </w:rPr>
        <w:t xml:space="preserve"> abstract</w:t>
      </w:r>
    </w:p>
    <w:p w14:paraId="233BA7CD" w14:textId="028F8389" w:rsidR="00944F5C" w:rsidRDefault="00D0706B" w:rsidP="00D61F07">
      <w:pPr>
        <w:spacing w:after="0" w:line="480" w:lineRule="auto"/>
        <w:rPr>
          <w:rFonts w:asciiTheme="majorBidi" w:hAnsiTheme="majorBidi" w:cstheme="majorBidi"/>
          <w:b/>
          <w:bCs/>
        </w:rPr>
      </w:pPr>
      <w:r>
        <w:rPr>
          <w:rFonts w:asciiTheme="majorBidi" w:hAnsiTheme="majorBidi" w:cstheme="majorBidi"/>
          <w:b/>
          <w:bCs/>
        </w:rPr>
        <w:t>Background</w:t>
      </w:r>
    </w:p>
    <w:p w14:paraId="56B5C43C" w14:textId="0EAB64C4" w:rsidR="003F3C83" w:rsidRPr="003F3C83" w:rsidRDefault="003F3C83" w:rsidP="00D35954">
      <w:pPr>
        <w:spacing w:after="0" w:line="480" w:lineRule="auto"/>
        <w:rPr>
          <w:rFonts w:asciiTheme="majorBidi" w:hAnsiTheme="majorBidi" w:cstheme="majorBidi"/>
        </w:rPr>
      </w:pPr>
      <w:r w:rsidRPr="00C14D70">
        <w:rPr>
          <w:rFonts w:asciiTheme="majorBidi" w:hAnsiTheme="majorBidi" w:cstheme="majorBidi"/>
        </w:rPr>
        <w:t xml:space="preserve">With the continued presence of the </w:t>
      </w:r>
      <w:r>
        <w:rPr>
          <w:rFonts w:asciiTheme="majorBidi" w:hAnsiTheme="majorBidi" w:cstheme="majorBidi"/>
        </w:rPr>
        <w:t>COVID</w:t>
      </w:r>
      <w:r w:rsidRPr="00C14D70">
        <w:rPr>
          <w:rFonts w:asciiTheme="majorBidi" w:hAnsiTheme="majorBidi" w:cstheme="majorBidi"/>
        </w:rPr>
        <w:t xml:space="preserve">-19 pandemic placing </w:t>
      </w:r>
      <w:r>
        <w:rPr>
          <w:rFonts w:asciiTheme="majorBidi" w:hAnsiTheme="majorBidi" w:cstheme="majorBidi"/>
        </w:rPr>
        <w:t>the older</w:t>
      </w:r>
      <w:r w:rsidRPr="00C14D70">
        <w:rPr>
          <w:rFonts w:asciiTheme="majorBidi" w:hAnsiTheme="majorBidi" w:cstheme="majorBidi"/>
        </w:rPr>
        <w:t xml:space="preserve"> population at higher physical and social risk</w:t>
      </w:r>
      <w:r>
        <w:rPr>
          <w:rFonts w:asciiTheme="majorBidi" w:hAnsiTheme="majorBidi" w:cstheme="majorBidi"/>
        </w:rPr>
        <w:t xml:space="preserve">, ‘aging in place’ has become even more crucial to implement. </w:t>
      </w:r>
      <w:r w:rsidRPr="00C14D70">
        <w:rPr>
          <w:rFonts w:asciiTheme="majorBidi" w:hAnsiTheme="majorBidi" w:cstheme="majorBidi"/>
        </w:rPr>
        <w:t xml:space="preserve">Effective discharge planning </w:t>
      </w:r>
      <w:r w:rsidR="00D35954">
        <w:rPr>
          <w:rFonts w:asciiTheme="majorBidi" w:hAnsiTheme="majorBidi" w:cstheme="majorBidi"/>
        </w:rPr>
        <w:t>may</w:t>
      </w:r>
      <w:r w:rsidRPr="00C14D70">
        <w:rPr>
          <w:rFonts w:asciiTheme="majorBidi" w:hAnsiTheme="majorBidi" w:cstheme="majorBidi"/>
        </w:rPr>
        <w:t xml:space="preserve"> increase the patient’s independence upon return home and reduce risk </w:t>
      </w:r>
      <w:r>
        <w:rPr>
          <w:rFonts w:asciiTheme="majorBidi" w:hAnsiTheme="majorBidi" w:cstheme="majorBidi"/>
        </w:rPr>
        <w:t xml:space="preserve">of rehospitalization. </w:t>
      </w:r>
      <w:r w:rsidRPr="00C14D70">
        <w:rPr>
          <w:rFonts w:asciiTheme="majorBidi" w:hAnsiTheme="majorBidi" w:cstheme="majorBidi"/>
        </w:rPr>
        <w:t>Despite the documented importance of hospital discharge planning for older adults</w:t>
      </w:r>
      <w:r w:rsidR="00093A65">
        <w:rPr>
          <w:rFonts w:asciiTheme="majorBidi" w:hAnsiTheme="majorBidi" w:cstheme="majorBidi"/>
        </w:rPr>
        <w:t>,</w:t>
      </w:r>
      <w:r w:rsidRPr="00C14D70">
        <w:rPr>
          <w:rFonts w:asciiTheme="majorBidi" w:hAnsiTheme="majorBidi" w:cstheme="majorBidi"/>
        </w:rPr>
        <w:t xml:space="preserve"> there are no standardized guidelines for discharge protocol for occupational therapists (OTs).</w:t>
      </w:r>
    </w:p>
    <w:p w14:paraId="489D86D4" w14:textId="4A90FC21" w:rsidR="00D0706B" w:rsidRDefault="00D0706B" w:rsidP="00D61F07">
      <w:pPr>
        <w:spacing w:after="0" w:line="480" w:lineRule="auto"/>
        <w:rPr>
          <w:rFonts w:asciiTheme="majorBidi" w:hAnsiTheme="majorBidi" w:cstheme="majorBidi"/>
          <w:b/>
          <w:bCs/>
        </w:rPr>
      </w:pPr>
      <w:r>
        <w:rPr>
          <w:rFonts w:asciiTheme="majorBidi" w:hAnsiTheme="majorBidi" w:cstheme="majorBidi"/>
          <w:b/>
          <w:bCs/>
        </w:rPr>
        <w:t>Methods</w:t>
      </w:r>
    </w:p>
    <w:p w14:paraId="372561A5" w14:textId="773C2C4F" w:rsidR="003F3C83" w:rsidRPr="00682C5B" w:rsidRDefault="00D35954" w:rsidP="003A6DDB">
      <w:pPr>
        <w:spacing w:after="0" w:line="480" w:lineRule="auto"/>
        <w:rPr>
          <w:rFonts w:asciiTheme="majorBidi" w:hAnsiTheme="majorBidi" w:cstheme="majorBidi"/>
        </w:rPr>
      </w:pPr>
      <w:r>
        <w:rPr>
          <w:rFonts w:asciiTheme="majorBidi" w:hAnsiTheme="majorBidi" w:cstheme="majorBidi"/>
        </w:rPr>
        <w:t>W</w:t>
      </w:r>
      <w:r w:rsidR="003F3C83" w:rsidRPr="00682C5B">
        <w:rPr>
          <w:rFonts w:asciiTheme="majorBidi" w:hAnsiTheme="majorBidi" w:cstheme="majorBidi"/>
        </w:rPr>
        <w:t xml:space="preserve">e </w:t>
      </w:r>
      <w:r w:rsidR="003A6DDB" w:rsidRPr="00682C5B">
        <w:rPr>
          <w:rFonts w:asciiTheme="majorBidi" w:hAnsiTheme="majorBidi" w:cstheme="majorBidi"/>
        </w:rPr>
        <w:t>compared a modified evaluation</w:t>
      </w:r>
      <w:r w:rsidR="00093A65">
        <w:rPr>
          <w:rFonts w:asciiTheme="majorBidi" w:hAnsiTheme="majorBidi" w:cstheme="majorBidi"/>
        </w:rPr>
        <w:t>,</w:t>
      </w:r>
      <w:r w:rsidR="00093A65" w:rsidRPr="00682C5B">
        <w:rPr>
          <w:rFonts w:asciiTheme="majorBidi" w:hAnsiTheme="majorBidi" w:cstheme="majorBidi"/>
        </w:rPr>
        <w:t xml:space="preserve"> </w:t>
      </w:r>
      <w:r w:rsidR="003F3C83" w:rsidRPr="00682C5B">
        <w:rPr>
          <w:rFonts w:asciiTheme="majorBidi" w:hAnsiTheme="majorBidi" w:cstheme="majorBidi"/>
        </w:rPr>
        <w:t>COFEE</w:t>
      </w:r>
      <w:r w:rsidR="003A6DDB" w:rsidRPr="00682C5B">
        <w:rPr>
          <w:rFonts w:asciiTheme="majorBidi" w:hAnsiTheme="majorBidi" w:cstheme="majorBidi"/>
        </w:rPr>
        <w:t>-HD</w:t>
      </w:r>
      <w:r w:rsidR="00791CF4">
        <w:rPr>
          <w:rFonts w:asciiTheme="majorBidi" w:hAnsiTheme="majorBidi" w:cstheme="majorBidi"/>
        </w:rPr>
        <w:t>,</w:t>
      </w:r>
      <w:r w:rsidR="003A6DDB" w:rsidRPr="00682C5B">
        <w:rPr>
          <w:rFonts w:asciiTheme="majorBidi" w:hAnsiTheme="majorBidi" w:cstheme="majorBidi"/>
        </w:rPr>
        <w:t xml:space="preserve"> to standard hospital assessments</w:t>
      </w:r>
      <w:r w:rsidR="003F3C83" w:rsidRPr="00682C5B">
        <w:rPr>
          <w:rFonts w:asciiTheme="majorBidi" w:hAnsiTheme="majorBidi" w:cstheme="majorBidi"/>
        </w:rPr>
        <w:t xml:space="preserve">, </w:t>
      </w:r>
      <w:r w:rsidR="003A6DDB" w:rsidRPr="00682C5B">
        <w:rPr>
          <w:rFonts w:asciiTheme="majorBidi" w:hAnsiTheme="majorBidi" w:cstheme="majorBidi"/>
        </w:rPr>
        <w:t xml:space="preserve">in a rehabilitation ward.  Patients were evaluated </w:t>
      </w:r>
      <w:r w:rsidR="00791CF4" w:rsidRPr="00D35954">
        <w:rPr>
          <w:rFonts w:asciiTheme="majorBidi" w:hAnsiTheme="majorBidi" w:cstheme="majorBidi"/>
        </w:rPr>
        <w:t xml:space="preserve">upon discharge and </w:t>
      </w:r>
      <w:r w:rsidR="00D208DE" w:rsidRPr="00D35954">
        <w:rPr>
          <w:rFonts w:asciiTheme="majorBidi" w:hAnsiTheme="majorBidi" w:cstheme="majorBidi"/>
        </w:rPr>
        <w:t xml:space="preserve">four </w:t>
      </w:r>
      <w:r w:rsidR="003A6DDB" w:rsidRPr="00D35954">
        <w:rPr>
          <w:rFonts w:asciiTheme="majorBidi" w:hAnsiTheme="majorBidi" w:cstheme="majorBidi"/>
        </w:rPr>
        <w:t>months</w:t>
      </w:r>
      <w:r w:rsidR="00093A65" w:rsidRPr="00D35954">
        <w:rPr>
          <w:rFonts w:asciiTheme="majorBidi" w:hAnsiTheme="majorBidi" w:cstheme="majorBidi"/>
        </w:rPr>
        <w:t xml:space="preserve"> </w:t>
      </w:r>
      <w:r w:rsidRPr="00D35954">
        <w:rPr>
          <w:rFonts w:asciiTheme="majorBidi" w:hAnsiTheme="majorBidi" w:cstheme="majorBidi"/>
        </w:rPr>
        <w:t>later</w:t>
      </w:r>
      <w:r w:rsidR="00093A65" w:rsidRPr="00D35954">
        <w:rPr>
          <w:rFonts w:asciiTheme="majorBidi" w:hAnsiTheme="majorBidi" w:cstheme="majorBidi"/>
        </w:rPr>
        <w:t>,</w:t>
      </w:r>
      <w:r w:rsidR="003A6DDB" w:rsidRPr="00D35954">
        <w:rPr>
          <w:rFonts w:asciiTheme="majorBidi" w:hAnsiTheme="majorBidi" w:cstheme="majorBidi"/>
        </w:rPr>
        <w:t xml:space="preserve"> </w:t>
      </w:r>
      <w:r w:rsidR="003A6DDB" w:rsidRPr="00682C5B">
        <w:rPr>
          <w:rFonts w:asciiTheme="majorBidi" w:hAnsiTheme="majorBidi" w:cstheme="majorBidi"/>
        </w:rPr>
        <w:t xml:space="preserve">to assess the effectiveness of the tool to predict future functioning at home.   </w:t>
      </w:r>
    </w:p>
    <w:p w14:paraId="49627316" w14:textId="605DF018" w:rsidR="00D0706B" w:rsidRPr="00FF086E" w:rsidRDefault="00D0706B" w:rsidP="00D61F07">
      <w:pPr>
        <w:spacing w:after="0" w:line="480" w:lineRule="auto"/>
        <w:rPr>
          <w:rFonts w:asciiTheme="majorBidi" w:hAnsiTheme="majorBidi" w:cstheme="majorBidi"/>
          <w:b/>
          <w:bCs/>
        </w:rPr>
      </w:pPr>
      <w:r w:rsidRPr="00FF086E">
        <w:rPr>
          <w:rFonts w:asciiTheme="majorBidi" w:hAnsiTheme="majorBidi" w:cstheme="majorBidi"/>
          <w:b/>
          <w:bCs/>
        </w:rPr>
        <w:t>Results</w:t>
      </w:r>
    </w:p>
    <w:p w14:paraId="0ED0A09D" w14:textId="06CA2D6D" w:rsidR="003A6DDB" w:rsidRPr="00FF086E" w:rsidRDefault="003A6DDB" w:rsidP="00D61F07">
      <w:pPr>
        <w:spacing w:after="0" w:line="480" w:lineRule="auto"/>
        <w:rPr>
          <w:rFonts w:asciiTheme="majorBidi" w:hAnsiTheme="majorBidi" w:cstheme="majorBidi"/>
        </w:rPr>
      </w:pPr>
      <w:r w:rsidRPr="00FF086E">
        <w:rPr>
          <w:rFonts w:asciiTheme="majorBidi" w:hAnsiTheme="majorBidi" w:cstheme="majorBidi"/>
        </w:rPr>
        <w:t>A total of 77 patients were recruited in the hospital</w:t>
      </w:r>
      <w:r w:rsidR="00093A65" w:rsidRPr="00FF086E">
        <w:rPr>
          <w:rFonts w:asciiTheme="majorBidi" w:hAnsiTheme="majorBidi" w:cstheme="majorBidi"/>
        </w:rPr>
        <w:t>,</w:t>
      </w:r>
      <w:r w:rsidRPr="00FF086E">
        <w:rPr>
          <w:rFonts w:asciiTheme="majorBidi" w:hAnsiTheme="majorBidi" w:cstheme="majorBidi"/>
        </w:rPr>
        <w:t xml:space="preserve"> and </w:t>
      </w:r>
      <w:r w:rsidRPr="00FF086E">
        <w:rPr>
          <w:rFonts w:asciiTheme="majorBidi" w:eastAsia="Times New Roman" w:hAnsiTheme="majorBidi" w:cstheme="majorBidi"/>
        </w:rPr>
        <w:t xml:space="preserve">home assessments were conducted </w:t>
      </w:r>
      <w:r w:rsidR="00093A65" w:rsidRPr="00FF086E">
        <w:rPr>
          <w:rFonts w:asciiTheme="majorBidi" w:eastAsia="Times New Roman" w:hAnsiTheme="majorBidi" w:cstheme="majorBidi"/>
        </w:rPr>
        <w:t xml:space="preserve">on </w:t>
      </w:r>
      <w:r w:rsidRPr="00FF086E">
        <w:rPr>
          <w:rFonts w:asciiTheme="majorBidi" w:eastAsia="Times New Roman" w:hAnsiTheme="majorBidi" w:cstheme="majorBidi"/>
        </w:rPr>
        <w:t>64 participants.</w:t>
      </w:r>
      <w:r w:rsidR="00791CF4" w:rsidRPr="00FF086E">
        <w:rPr>
          <w:rFonts w:asciiTheme="majorBidi" w:hAnsiTheme="majorBidi" w:cstheme="majorBidi"/>
          <w:b/>
          <w:bCs/>
        </w:rPr>
        <w:t xml:space="preserve"> </w:t>
      </w:r>
      <w:r w:rsidR="00791CF4" w:rsidRPr="00FF086E">
        <w:rPr>
          <w:rFonts w:asciiTheme="majorBidi" w:hAnsiTheme="majorBidi" w:cstheme="majorBidi"/>
        </w:rPr>
        <w:t>The</w:t>
      </w:r>
      <w:r w:rsidR="00791CF4" w:rsidRPr="00FF086E">
        <w:rPr>
          <w:rFonts w:asciiTheme="majorBidi" w:hAnsiTheme="majorBidi" w:cstheme="majorBidi"/>
          <w:b/>
          <w:bCs/>
        </w:rPr>
        <w:t xml:space="preserve"> </w:t>
      </w:r>
      <w:r w:rsidR="00E81ED5" w:rsidRPr="00FF086E">
        <w:rPr>
          <w:rFonts w:asciiTheme="majorBidi" w:hAnsiTheme="majorBidi" w:cstheme="majorBidi"/>
        </w:rPr>
        <w:t xml:space="preserve">COFEE-HD evaluation was </w:t>
      </w:r>
      <w:r w:rsidR="00093A65" w:rsidRPr="00FF086E">
        <w:rPr>
          <w:rFonts w:asciiTheme="majorBidi" w:hAnsiTheme="majorBidi" w:cstheme="majorBidi"/>
        </w:rPr>
        <w:t>significantly</w:t>
      </w:r>
      <w:r w:rsidR="00E81ED5" w:rsidRPr="00FF086E">
        <w:rPr>
          <w:rFonts w:asciiTheme="majorBidi" w:hAnsiTheme="majorBidi" w:cstheme="majorBidi"/>
        </w:rPr>
        <w:t xml:space="preserve"> related with the standard measures used in the hospital: COFEE-HD physical functioning and personal and environmental safety with hospital FIM (p = </w:t>
      </w:r>
      <w:r w:rsidR="001F11C5" w:rsidRPr="00FF086E">
        <w:rPr>
          <w:rFonts w:asciiTheme="majorBidi" w:hAnsiTheme="majorBidi" w:cstheme="majorBidi"/>
        </w:rPr>
        <w:t>0</w:t>
      </w:r>
      <w:r w:rsidR="00E81ED5" w:rsidRPr="00FF086E">
        <w:rPr>
          <w:rFonts w:asciiTheme="majorBidi" w:hAnsiTheme="majorBidi" w:cstheme="majorBidi"/>
        </w:rPr>
        <w:t xml:space="preserve">.049 </w:t>
      </w:r>
      <w:r w:rsidR="00A81D4D" w:rsidRPr="00FF086E">
        <w:rPr>
          <w:rFonts w:asciiTheme="majorBidi" w:hAnsiTheme="majorBidi" w:cstheme="majorBidi"/>
        </w:rPr>
        <w:t xml:space="preserve">- </w:t>
      </w:r>
      <w:r w:rsidR="00E81ED5" w:rsidRPr="00FF086E">
        <w:rPr>
          <w:rFonts w:asciiTheme="majorBidi" w:hAnsiTheme="majorBidi" w:cstheme="majorBidi"/>
        </w:rPr>
        <w:t xml:space="preserve">p &lt; </w:t>
      </w:r>
      <w:r w:rsidR="001F11C5" w:rsidRPr="00FF086E">
        <w:rPr>
          <w:rFonts w:asciiTheme="majorBidi" w:hAnsiTheme="majorBidi" w:cstheme="majorBidi"/>
        </w:rPr>
        <w:t>0</w:t>
      </w:r>
      <w:r w:rsidR="00E81ED5" w:rsidRPr="00FF086E">
        <w:rPr>
          <w:rFonts w:asciiTheme="majorBidi" w:hAnsiTheme="majorBidi" w:cstheme="majorBidi"/>
        </w:rPr>
        <w:t xml:space="preserve">.001), and COFEE-HD cognitive functioning with hospital MMSE and KPT (p = </w:t>
      </w:r>
      <w:r w:rsidR="001F11C5" w:rsidRPr="00FF086E">
        <w:rPr>
          <w:rFonts w:asciiTheme="majorBidi" w:hAnsiTheme="majorBidi" w:cstheme="majorBidi"/>
        </w:rPr>
        <w:t>0</w:t>
      </w:r>
      <w:r w:rsidR="00E81ED5" w:rsidRPr="00FF086E">
        <w:rPr>
          <w:rFonts w:asciiTheme="majorBidi" w:hAnsiTheme="majorBidi" w:cstheme="majorBidi"/>
        </w:rPr>
        <w:t xml:space="preserve">.048 </w:t>
      </w:r>
      <w:r w:rsidR="0005146D">
        <w:rPr>
          <w:rFonts w:asciiTheme="majorBidi" w:hAnsiTheme="majorBidi" w:cstheme="majorBidi"/>
        </w:rPr>
        <w:t>-</w:t>
      </w:r>
      <w:r w:rsidR="00E81ED5" w:rsidRPr="00FF086E">
        <w:rPr>
          <w:rFonts w:asciiTheme="majorBidi" w:hAnsiTheme="majorBidi" w:cstheme="majorBidi"/>
        </w:rPr>
        <w:t xml:space="preserve"> p = </w:t>
      </w:r>
      <w:r w:rsidR="001F11C5" w:rsidRPr="00FF086E">
        <w:rPr>
          <w:rFonts w:asciiTheme="majorBidi" w:hAnsiTheme="majorBidi" w:cstheme="majorBidi"/>
        </w:rPr>
        <w:t>0</w:t>
      </w:r>
      <w:r w:rsidR="00E81ED5" w:rsidRPr="00FF086E">
        <w:rPr>
          <w:rFonts w:asciiTheme="majorBidi" w:hAnsiTheme="majorBidi" w:cstheme="majorBidi"/>
        </w:rPr>
        <w:t xml:space="preserve">.031). </w:t>
      </w:r>
    </w:p>
    <w:p w14:paraId="09D7227C" w14:textId="153D52CA" w:rsidR="00E81ED5" w:rsidRPr="00FF086E" w:rsidRDefault="00E81ED5" w:rsidP="00D61F07">
      <w:pPr>
        <w:spacing w:after="0" w:line="480" w:lineRule="auto"/>
        <w:rPr>
          <w:rFonts w:asciiTheme="majorBidi" w:hAnsiTheme="majorBidi" w:cstheme="majorBidi"/>
        </w:rPr>
      </w:pPr>
      <w:r w:rsidRPr="00FF086E">
        <w:rPr>
          <w:rFonts w:asciiTheme="majorBidi" w:hAnsiTheme="majorBidi" w:cstheme="majorBidi"/>
        </w:rPr>
        <w:lastRenderedPageBreak/>
        <w:t>The</w:t>
      </w:r>
      <w:r w:rsidRPr="00FF086E">
        <w:rPr>
          <w:rFonts w:asciiTheme="majorBidi" w:hAnsiTheme="majorBidi" w:cstheme="majorBidi"/>
          <w:b/>
          <w:bCs/>
        </w:rPr>
        <w:t xml:space="preserve"> </w:t>
      </w:r>
      <w:r w:rsidRPr="00FF086E">
        <w:rPr>
          <w:rFonts w:asciiTheme="majorBidi" w:hAnsiTheme="majorBidi" w:cstheme="majorBidi"/>
        </w:rPr>
        <w:t xml:space="preserve">COFEE-HD was </w:t>
      </w:r>
      <w:r w:rsidR="00A81D4D" w:rsidRPr="00FF086E">
        <w:rPr>
          <w:rFonts w:asciiTheme="majorBidi" w:hAnsiTheme="majorBidi" w:cstheme="majorBidi"/>
        </w:rPr>
        <w:t>significantly</w:t>
      </w:r>
      <w:r w:rsidRPr="00FF086E">
        <w:rPr>
          <w:rFonts w:asciiTheme="majorBidi" w:hAnsiTheme="majorBidi" w:cstheme="majorBidi"/>
        </w:rPr>
        <w:t xml:space="preserve"> related with functioning at home four months later: COFEE-HD physical functioning and personal and environmental safety with home mobility, BADL, IADL, and home safety (p = </w:t>
      </w:r>
      <w:r w:rsidR="001F11C5" w:rsidRPr="00FF086E">
        <w:rPr>
          <w:rFonts w:asciiTheme="majorBidi" w:hAnsiTheme="majorBidi" w:cstheme="majorBidi"/>
        </w:rPr>
        <w:t>0</w:t>
      </w:r>
      <w:r w:rsidRPr="00FF086E">
        <w:rPr>
          <w:rFonts w:asciiTheme="majorBidi" w:hAnsiTheme="majorBidi" w:cstheme="majorBidi"/>
        </w:rPr>
        <w:t xml:space="preserve">.031 to p &lt; </w:t>
      </w:r>
      <w:r w:rsidR="001F11C5" w:rsidRPr="00FF086E">
        <w:rPr>
          <w:rFonts w:asciiTheme="majorBidi" w:hAnsiTheme="majorBidi" w:cstheme="majorBidi"/>
        </w:rPr>
        <w:t>0</w:t>
      </w:r>
      <w:r w:rsidRPr="00FF086E">
        <w:rPr>
          <w:rFonts w:asciiTheme="majorBidi" w:hAnsiTheme="majorBidi" w:cstheme="majorBidi"/>
        </w:rPr>
        <w:t>.001), and COFEE-HD cognitive functioning with ho</w:t>
      </w:r>
      <w:r w:rsidR="001F11C5" w:rsidRPr="00FF086E">
        <w:rPr>
          <w:rFonts w:asciiTheme="majorBidi" w:hAnsiTheme="majorBidi" w:cstheme="majorBidi"/>
        </w:rPr>
        <w:t>me</w:t>
      </w:r>
      <w:r w:rsidRPr="00FF086E">
        <w:rPr>
          <w:rFonts w:asciiTheme="majorBidi" w:hAnsiTheme="majorBidi" w:cstheme="majorBidi"/>
        </w:rPr>
        <w:t xml:space="preserve"> </w:t>
      </w:r>
      <w:r w:rsidR="001F11C5" w:rsidRPr="00FF086E">
        <w:rPr>
          <w:rFonts w:asciiTheme="majorBidi" w:hAnsiTheme="majorBidi" w:cstheme="majorBidi"/>
        </w:rPr>
        <w:t xml:space="preserve">BADL and IADL </w:t>
      </w:r>
      <w:r w:rsidRPr="00FF086E">
        <w:rPr>
          <w:rFonts w:asciiTheme="majorBidi" w:hAnsiTheme="majorBidi" w:cstheme="majorBidi"/>
        </w:rPr>
        <w:t xml:space="preserve">(p = </w:t>
      </w:r>
      <w:r w:rsidR="001F11C5" w:rsidRPr="00FF086E">
        <w:rPr>
          <w:rFonts w:asciiTheme="majorBidi" w:hAnsiTheme="majorBidi" w:cstheme="majorBidi"/>
        </w:rPr>
        <w:t>0</w:t>
      </w:r>
      <w:r w:rsidRPr="00FF086E">
        <w:rPr>
          <w:rFonts w:asciiTheme="majorBidi" w:hAnsiTheme="majorBidi" w:cstheme="majorBidi"/>
        </w:rPr>
        <w:t>.04</w:t>
      </w:r>
      <w:r w:rsidR="001F11C5" w:rsidRPr="00FF086E">
        <w:rPr>
          <w:rFonts w:asciiTheme="majorBidi" w:hAnsiTheme="majorBidi" w:cstheme="majorBidi"/>
        </w:rPr>
        <w:t>5</w:t>
      </w:r>
      <w:r w:rsidRPr="00FF086E">
        <w:rPr>
          <w:rFonts w:asciiTheme="majorBidi" w:hAnsiTheme="majorBidi" w:cstheme="majorBidi"/>
        </w:rPr>
        <w:t xml:space="preserve"> </w:t>
      </w:r>
      <w:r w:rsidR="0005146D">
        <w:rPr>
          <w:rFonts w:asciiTheme="majorBidi" w:hAnsiTheme="majorBidi" w:cstheme="majorBidi"/>
        </w:rPr>
        <w:t>-</w:t>
      </w:r>
      <w:r w:rsidRPr="00FF086E">
        <w:rPr>
          <w:rFonts w:asciiTheme="majorBidi" w:hAnsiTheme="majorBidi" w:cstheme="majorBidi"/>
        </w:rPr>
        <w:t xml:space="preserve"> p = </w:t>
      </w:r>
      <w:r w:rsidR="001F11C5" w:rsidRPr="00FF086E">
        <w:rPr>
          <w:rFonts w:asciiTheme="majorBidi" w:hAnsiTheme="majorBidi" w:cstheme="majorBidi"/>
        </w:rPr>
        <w:t>0</w:t>
      </w:r>
      <w:r w:rsidRPr="00FF086E">
        <w:rPr>
          <w:rFonts w:asciiTheme="majorBidi" w:hAnsiTheme="majorBidi" w:cstheme="majorBidi"/>
        </w:rPr>
        <w:t>.0</w:t>
      </w:r>
      <w:r w:rsidR="001F11C5" w:rsidRPr="00FF086E">
        <w:rPr>
          <w:rFonts w:asciiTheme="majorBidi" w:hAnsiTheme="majorBidi" w:cstheme="majorBidi"/>
        </w:rPr>
        <w:t>16</w:t>
      </w:r>
      <w:r w:rsidRPr="00FF086E">
        <w:rPr>
          <w:rFonts w:asciiTheme="majorBidi" w:hAnsiTheme="majorBidi" w:cstheme="majorBidi"/>
        </w:rPr>
        <w:t>).</w:t>
      </w:r>
      <w:r w:rsidR="00DF1C1B" w:rsidRPr="00FF086E">
        <w:rPr>
          <w:rFonts w:asciiTheme="majorBidi" w:hAnsiTheme="majorBidi" w:cstheme="majorBidi"/>
        </w:rPr>
        <w:t xml:space="preserve"> Home BADL and IADL were significantly predicted with COFEE-HD BADLs and IADLs, home safety, and the participant’s mobility score (p = 0.043 </w:t>
      </w:r>
      <w:r w:rsidR="00A81D4D" w:rsidRPr="00FF086E">
        <w:rPr>
          <w:rFonts w:asciiTheme="majorBidi" w:hAnsiTheme="majorBidi" w:cstheme="majorBidi"/>
        </w:rPr>
        <w:t xml:space="preserve">- </w:t>
      </w:r>
      <w:r w:rsidR="00DF1C1B" w:rsidRPr="00FF086E">
        <w:rPr>
          <w:rFonts w:asciiTheme="majorBidi" w:hAnsiTheme="majorBidi" w:cstheme="majorBidi"/>
        </w:rPr>
        <w:t>p &lt; 0.001).</w:t>
      </w:r>
    </w:p>
    <w:p w14:paraId="62AC9BA4" w14:textId="75CDD2D6" w:rsidR="00D0706B" w:rsidRPr="00C14D70" w:rsidRDefault="00D0706B" w:rsidP="00FF086E">
      <w:pPr>
        <w:spacing w:after="0" w:line="480" w:lineRule="auto"/>
        <w:rPr>
          <w:rFonts w:asciiTheme="majorBidi" w:hAnsiTheme="majorBidi" w:cstheme="majorBidi"/>
          <w:b/>
          <w:bCs/>
        </w:rPr>
      </w:pPr>
      <w:r>
        <w:rPr>
          <w:rFonts w:asciiTheme="majorBidi" w:hAnsiTheme="majorBidi" w:cstheme="majorBidi"/>
          <w:b/>
          <w:bCs/>
        </w:rPr>
        <w:t>Conclusion</w:t>
      </w:r>
    </w:p>
    <w:p w14:paraId="29D99A11" w14:textId="26A220B4" w:rsidR="00D61F07" w:rsidRPr="0005146D" w:rsidRDefault="00A70197" w:rsidP="00FF086E">
      <w:pPr>
        <w:spacing w:line="480" w:lineRule="auto"/>
        <w:rPr>
          <w:rFonts w:asciiTheme="majorBidi" w:hAnsiTheme="majorBidi" w:cstheme="majorBidi"/>
        </w:rPr>
      </w:pPr>
      <w:r w:rsidRPr="0005146D">
        <w:rPr>
          <w:rFonts w:asciiTheme="majorBidi" w:hAnsiTheme="majorBidi" w:cstheme="majorBidi"/>
        </w:rPr>
        <w:t>A comprehensive functional-cognitive assessment prior to discharge enables occupational therapists to provide</w:t>
      </w:r>
      <w:r w:rsidR="00941CCD" w:rsidRPr="0005146D">
        <w:rPr>
          <w:rFonts w:asciiTheme="majorBidi" w:hAnsiTheme="majorBidi" w:cstheme="majorBidi"/>
        </w:rPr>
        <w:t xml:space="preserve"> accurate r</w:t>
      </w:r>
      <w:r w:rsidRPr="0005146D">
        <w:rPr>
          <w:rFonts w:asciiTheme="majorBidi" w:hAnsiTheme="majorBidi" w:cstheme="majorBidi"/>
        </w:rPr>
        <w:t>ecommendations</w:t>
      </w:r>
      <w:r w:rsidR="00D35954">
        <w:rPr>
          <w:rFonts w:asciiTheme="majorBidi" w:hAnsiTheme="majorBidi" w:cstheme="majorBidi"/>
        </w:rPr>
        <w:t xml:space="preserve"> and can </w:t>
      </w:r>
      <w:r w:rsidR="003A6DDB" w:rsidRPr="0005146D">
        <w:rPr>
          <w:rFonts w:asciiTheme="majorBidi" w:hAnsiTheme="majorBidi" w:cstheme="majorBidi"/>
        </w:rPr>
        <w:t>include function, safety, and meta-cognitive function</w:t>
      </w:r>
      <w:r w:rsidR="00D35954">
        <w:rPr>
          <w:rFonts w:asciiTheme="majorBidi" w:hAnsiTheme="majorBidi" w:cstheme="majorBidi"/>
        </w:rPr>
        <w:t xml:space="preserve"> information to promote</w:t>
      </w:r>
      <w:r w:rsidR="003A6DDB" w:rsidRPr="0005146D">
        <w:rPr>
          <w:rFonts w:asciiTheme="majorBidi" w:hAnsiTheme="majorBidi" w:cstheme="majorBidi"/>
        </w:rPr>
        <w:t xml:space="preserve"> continued independence at home</w:t>
      </w:r>
      <w:r w:rsidR="00D35954">
        <w:rPr>
          <w:rFonts w:asciiTheme="majorBidi" w:hAnsiTheme="majorBidi" w:cstheme="majorBidi"/>
        </w:rPr>
        <w:t xml:space="preserve">. These </w:t>
      </w:r>
      <w:r w:rsidR="00D35954" w:rsidRPr="0005146D">
        <w:rPr>
          <w:rFonts w:asciiTheme="majorBidi" w:hAnsiTheme="majorBidi" w:cstheme="majorBidi"/>
        </w:rPr>
        <w:t xml:space="preserve">unique </w:t>
      </w:r>
      <w:r w:rsidR="00D35954">
        <w:rPr>
          <w:rFonts w:asciiTheme="majorBidi" w:hAnsiTheme="majorBidi" w:cstheme="majorBidi"/>
        </w:rPr>
        <w:t>elements</w:t>
      </w:r>
      <w:r w:rsidR="003A6DDB" w:rsidRPr="0005146D">
        <w:rPr>
          <w:rFonts w:asciiTheme="majorBidi" w:hAnsiTheme="majorBidi" w:cstheme="majorBidi"/>
        </w:rPr>
        <w:t xml:space="preserve"> </w:t>
      </w:r>
      <w:r w:rsidR="0062433A" w:rsidRPr="0005146D">
        <w:rPr>
          <w:rFonts w:asciiTheme="majorBidi" w:hAnsiTheme="majorBidi" w:cstheme="majorBidi"/>
        </w:rPr>
        <w:t>are</w:t>
      </w:r>
      <w:r w:rsidR="003A6DDB" w:rsidRPr="0005146D">
        <w:rPr>
          <w:rFonts w:asciiTheme="majorBidi" w:hAnsiTheme="majorBidi" w:cstheme="majorBidi"/>
        </w:rPr>
        <w:t xml:space="preserve"> </w:t>
      </w:r>
      <w:r w:rsidR="00D35954">
        <w:rPr>
          <w:rFonts w:asciiTheme="majorBidi" w:hAnsiTheme="majorBidi" w:cstheme="majorBidi"/>
        </w:rPr>
        <w:t>essential to</w:t>
      </w:r>
      <w:r w:rsidR="003A6DDB" w:rsidRPr="0005146D">
        <w:rPr>
          <w:rFonts w:asciiTheme="majorBidi" w:hAnsiTheme="majorBidi" w:cstheme="majorBidi"/>
        </w:rPr>
        <w:t xml:space="preserve"> incorporate within the discharge protocol.  </w:t>
      </w:r>
    </w:p>
    <w:p w14:paraId="796954A8" w14:textId="77777777" w:rsidR="00FF086E" w:rsidRDefault="00FF086E" w:rsidP="00581044">
      <w:pPr>
        <w:spacing w:line="480" w:lineRule="auto"/>
        <w:rPr>
          <w:rFonts w:asciiTheme="majorBidi" w:hAnsiTheme="majorBidi" w:cstheme="majorBidi"/>
          <w:b/>
          <w:bCs/>
        </w:rPr>
      </w:pPr>
    </w:p>
    <w:p w14:paraId="64CF22C0" w14:textId="77777777" w:rsidR="00FF086E" w:rsidRDefault="00FF086E" w:rsidP="00581044">
      <w:pPr>
        <w:spacing w:line="480" w:lineRule="auto"/>
        <w:rPr>
          <w:rFonts w:asciiTheme="majorBidi" w:hAnsiTheme="majorBidi" w:cstheme="majorBidi"/>
          <w:b/>
          <w:bCs/>
        </w:rPr>
      </w:pPr>
    </w:p>
    <w:p w14:paraId="1977F1EF" w14:textId="33CA6F2C" w:rsidR="00FF086E" w:rsidRDefault="00FF086E" w:rsidP="00581044">
      <w:pPr>
        <w:spacing w:line="480" w:lineRule="auto"/>
        <w:rPr>
          <w:rFonts w:asciiTheme="majorBidi" w:hAnsiTheme="majorBidi" w:cstheme="majorBidi"/>
          <w:b/>
          <w:bCs/>
        </w:rPr>
      </w:pPr>
    </w:p>
    <w:p w14:paraId="7817C9EA" w14:textId="43AA1B88" w:rsidR="0005146D" w:rsidRDefault="0005146D" w:rsidP="00581044">
      <w:pPr>
        <w:spacing w:line="480" w:lineRule="auto"/>
        <w:rPr>
          <w:rFonts w:asciiTheme="majorBidi" w:hAnsiTheme="majorBidi" w:cstheme="majorBidi"/>
          <w:b/>
          <w:bCs/>
        </w:rPr>
      </w:pPr>
    </w:p>
    <w:p w14:paraId="6FEEFE41" w14:textId="3E9CF940" w:rsidR="0005146D" w:rsidRDefault="0005146D" w:rsidP="00581044">
      <w:pPr>
        <w:spacing w:line="480" w:lineRule="auto"/>
        <w:rPr>
          <w:rFonts w:asciiTheme="majorBidi" w:hAnsiTheme="majorBidi" w:cstheme="majorBidi"/>
          <w:b/>
          <w:bCs/>
        </w:rPr>
      </w:pPr>
    </w:p>
    <w:p w14:paraId="2712ECFC" w14:textId="77777777" w:rsidR="0005146D" w:rsidRDefault="0005146D" w:rsidP="00581044">
      <w:pPr>
        <w:spacing w:line="480" w:lineRule="auto"/>
        <w:rPr>
          <w:rFonts w:asciiTheme="majorBidi" w:hAnsiTheme="majorBidi" w:cstheme="majorBidi"/>
          <w:b/>
          <w:bCs/>
        </w:rPr>
      </w:pPr>
    </w:p>
    <w:p w14:paraId="19AAFD67" w14:textId="79750619" w:rsidR="00581044" w:rsidRPr="00C14D70" w:rsidRDefault="00581044" w:rsidP="00581044">
      <w:pPr>
        <w:spacing w:line="480" w:lineRule="auto"/>
        <w:rPr>
          <w:rFonts w:asciiTheme="majorBidi" w:hAnsiTheme="majorBidi" w:cstheme="majorBidi"/>
          <w:b/>
          <w:bCs/>
        </w:rPr>
      </w:pPr>
      <w:r w:rsidRPr="00C14D70">
        <w:rPr>
          <w:rFonts w:asciiTheme="majorBidi" w:hAnsiTheme="majorBidi" w:cstheme="majorBidi"/>
          <w:b/>
          <w:bCs/>
        </w:rPr>
        <w:t xml:space="preserve">Title: </w:t>
      </w:r>
      <w:r>
        <w:rPr>
          <w:rFonts w:asciiTheme="majorBidi" w:hAnsiTheme="majorBidi" w:cstheme="majorBidi"/>
          <w:b/>
          <w:bCs/>
        </w:rPr>
        <w:t xml:space="preserve">Transitioning from hospital to home: </w:t>
      </w:r>
      <w:r w:rsidRPr="00C14D70">
        <w:rPr>
          <w:rFonts w:asciiTheme="majorBidi" w:hAnsiTheme="majorBidi" w:cstheme="majorBidi"/>
          <w:b/>
          <w:bCs/>
        </w:rPr>
        <w:t xml:space="preserve">Validation and application </w:t>
      </w:r>
      <w:r>
        <w:rPr>
          <w:rFonts w:asciiTheme="majorBidi" w:hAnsiTheme="majorBidi" w:cstheme="majorBidi"/>
          <w:b/>
          <w:bCs/>
        </w:rPr>
        <w:t>of a unique C</w:t>
      </w:r>
      <w:r w:rsidRPr="00C14D70">
        <w:rPr>
          <w:rFonts w:asciiTheme="majorBidi" w:hAnsiTheme="majorBidi" w:cstheme="majorBidi"/>
          <w:b/>
          <w:bCs/>
        </w:rPr>
        <w:t>ognitive</w:t>
      </w:r>
      <w:r>
        <w:rPr>
          <w:rFonts w:asciiTheme="majorBidi" w:hAnsiTheme="majorBidi" w:cstheme="majorBidi"/>
          <w:b/>
          <w:bCs/>
        </w:rPr>
        <w:t>-F</w:t>
      </w:r>
      <w:r w:rsidRPr="00C14D70">
        <w:rPr>
          <w:rFonts w:asciiTheme="majorBidi" w:hAnsiTheme="majorBidi" w:cstheme="majorBidi"/>
          <w:b/>
          <w:bCs/>
        </w:rPr>
        <w:t xml:space="preserve">unctional </w:t>
      </w:r>
      <w:r>
        <w:rPr>
          <w:rFonts w:asciiTheme="majorBidi" w:hAnsiTheme="majorBidi" w:cstheme="majorBidi"/>
          <w:b/>
          <w:bCs/>
        </w:rPr>
        <w:t>E</w:t>
      </w:r>
      <w:r w:rsidRPr="00C14D70">
        <w:rPr>
          <w:rFonts w:asciiTheme="majorBidi" w:hAnsiTheme="majorBidi" w:cstheme="majorBidi"/>
          <w:b/>
          <w:bCs/>
        </w:rPr>
        <w:t xml:space="preserve">valuation of </w:t>
      </w:r>
      <w:r>
        <w:rPr>
          <w:rFonts w:asciiTheme="majorBidi" w:hAnsiTheme="majorBidi" w:cstheme="majorBidi"/>
          <w:b/>
          <w:bCs/>
        </w:rPr>
        <w:t xml:space="preserve">older people </w:t>
      </w:r>
      <w:r w:rsidRPr="00C14D70">
        <w:rPr>
          <w:rFonts w:asciiTheme="majorBidi" w:hAnsiTheme="majorBidi" w:cstheme="majorBidi"/>
          <w:b/>
          <w:bCs/>
        </w:rPr>
        <w:t xml:space="preserve">(COFEE – HD) </w:t>
      </w:r>
    </w:p>
    <w:p w14:paraId="4581A530" w14:textId="77777777" w:rsidR="00581044" w:rsidRDefault="00581044" w:rsidP="00D61F07">
      <w:pPr>
        <w:spacing w:after="0" w:line="480" w:lineRule="auto"/>
        <w:rPr>
          <w:rFonts w:asciiTheme="majorBidi" w:hAnsiTheme="majorBidi" w:cstheme="majorBidi"/>
          <w:b/>
          <w:bCs/>
        </w:rPr>
      </w:pPr>
    </w:p>
    <w:p w14:paraId="388E3F49" w14:textId="11DC24EF" w:rsidR="000E0774" w:rsidRPr="00C14D70" w:rsidRDefault="007B2342" w:rsidP="00D61F07">
      <w:pPr>
        <w:spacing w:after="0" w:line="480" w:lineRule="auto"/>
        <w:rPr>
          <w:rFonts w:asciiTheme="majorBidi" w:hAnsiTheme="majorBidi" w:cstheme="majorBidi"/>
          <w:b/>
          <w:bCs/>
          <w:rtl/>
        </w:rPr>
      </w:pPr>
      <w:r w:rsidRPr="00C14D70">
        <w:rPr>
          <w:rFonts w:asciiTheme="majorBidi" w:hAnsiTheme="majorBidi" w:cstheme="majorBidi"/>
          <w:b/>
          <w:bCs/>
        </w:rPr>
        <w:t xml:space="preserve">Introduction </w:t>
      </w:r>
    </w:p>
    <w:p w14:paraId="6A8C7E5D" w14:textId="17E3559E" w:rsidR="00814A96" w:rsidRPr="00C14D70" w:rsidRDefault="00D61F07" w:rsidP="00D61F07">
      <w:pPr>
        <w:spacing w:after="0" w:line="480" w:lineRule="auto"/>
        <w:ind w:firstLine="720"/>
        <w:rPr>
          <w:rFonts w:asciiTheme="majorBidi" w:hAnsiTheme="majorBidi" w:cstheme="majorBidi"/>
        </w:rPr>
      </w:pPr>
      <w:r w:rsidRPr="00C14D70">
        <w:rPr>
          <w:rFonts w:asciiTheme="majorBidi" w:hAnsiTheme="majorBidi" w:cstheme="majorBidi"/>
        </w:rPr>
        <w:lastRenderedPageBreak/>
        <w:t>Due to a</w:t>
      </w:r>
      <w:r w:rsidR="006075C2" w:rsidRPr="00C14D70">
        <w:rPr>
          <w:rFonts w:asciiTheme="majorBidi" w:hAnsiTheme="majorBidi" w:cstheme="majorBidi"/>
        </w:rPr>
        <w:t xml:space="preserve"> global</w:t>
      </w:r>
      <w:r w:rsidRPr="00C14D70">
        <w:rPr>
          <w:rFonts w:asciiTheme="majorBidi" w:hAnsiTheme="majorBidi" w:cstheme="majorBidi"/>
        </w:rPr>
        <w:t xml:space="preserve"> increas</w:t>
      </w:r>
      <w:r w:rsidR="00871A79">
        <w:rPr>
          <w:rFonts w:asciiTheme="majorBidi" w:hAnsiTheme="majorBidi" w:cstheme="majorBidi"/>
        </w:rPr>
        <w:t>e</w:t>
      </w:r>
      <w:r w:rsidRPr="00C14D70">
        <w:rPr>
          <w:rFonts w:asciiTheme="majorBidi" w:hAnsiTheme="majorBidi" w:cstheme="majorBidi"/>
        </w:rPr>
        <w:t xml:space="preserve"> </w:t>
      </w:r>
      <w:r w:rsidR="00871A79">
        <w:rPr>
          <w:rFonts w:asciiTheme="majorBidi" w:hAnsiTheme="majorBidi" w:cstheme="majorBidi"/>
        </w:rPr>
        <w:t xml:space="preserve">in the population of </w:t>
      </w:r>
      <w:r w:rsidRPr="00C14D70">
        <w:rPr>
          <w:rFonts w:asciiTheme="majorBidi" w:hAnsiTheme="majorBidi" w:cstheme="majorBidi"/>
        </w:rPr>
        <w:t>older adults</w:t>
      </w:r>
      <w:r w:rsidR="006075C2" w:rsidRPr="00C14D70">
        <w:rPr>
          <w:rFonts w:asciiTheme="majorBidi" w:hAnsiTheme="majorBidi" w:cstheme="majorBidi"/>
        </w:rPr>
        <w:t>,</w:t>
      </w:r>
      <w:r w:rsidRPr="00C14D70">
        <w:rPr>
          <w:rFonts w:asciiTheme="majorBidi" w:hAnsiTheme="majorBidi" w:cstheme="majorBidi"/>
        </w:rPr>
        <w:t xml:space="preserve"> </w:t>
      </w:r>
      <w:r w:rsidR="004B1488" w:rsidRPr="00C14D70">
        <w:rPr>
          <w:rFonts w:asciiTheme="majorBidi" w:hAnsiTheme="majorBidi" w:cstheme="majorBidi"/>
        </w:rPr>
        <w:t>the</w:t>
      </w:r>
      <w:r w:rsidR="00DC56E7" w:rsidRPr="00C14D70">
        <w:rPr>
          <w:rFonts w:asciiTheme="majorBidi" w:hAnsiTheme="majorBidi" w:cstheme="majorBidi"/>
        </w:rPr>
        <w:t xml:space="preserve"> importance of being</w:t>
      </w:r>
      <w:r w:rsidR="00A36EFC" w:rsidRPr="00C14D70">
        <w:rPr>
          <w:rFonts w:asciiTheme="majorBidi" w:hAnsiTheme="majorBidi" w:cstheme="majorBidi"/>
        </w:rPr>
        <w:t xml:space="preserve"> able to ‘age in place’</w:t>
      </w:r>
      <w:r w:rsidR="00BD0CEC" w:rsidRPr="00C14D70">
        <w:rPr>
          <w:rFonts w:asciiTheme="majorBidi" w:hAnsiTheme="majorBidi" w:cstheme="majorBidi"/>
        </w:rPr>
        <w:t xml:space="preserve"> </w:t>
      </w:r>
      <w:r w:rsidR="00A36EFC" w:rsidRPr="00C14D70">
        <w:rPr>
          <w:rFonts w:asciiTheme="majorBidi" w:hAnsiTheme="majorBidi" w:cstheme="majorBidi"/>
        </w:rPr>
        <w:t xml:space="preserve">safely and independently </w:t>
      </w:r>
      <w:r w:rsidR="00DC56E7" w:rsidRPr="00C14D70">
        <w:rPr>
          <w:rFonts w:asciiTheme="majorBidi" w:hAnsiTheme="majorBidi" w:cstheme="majorBidi"/>
        </w:rPr>
        <w:t>has been emphasized by current social and health policies (</w:t>
      </w:r>
      <w:proofErr w:type="spellStart"/>
      <w:r w:rsidR="00DC56E7" w:rsidRPr="00C14D70">
        <w:rPr>
          <w:rFonts w:asciiTheme="majorBidi" w:hAnsiTheme="majorBidi" w:cstheme="majorBidi"/>
        </w:rPr>
        <w:t>Zur</w:t>
      </w:r>
      <w:proofErr w:type="spellEnd"/>
      <w:r w:rsidR="00DC56E7" w:rsidRPr="00C14D70">
        <w:rPr>
          <w:rFonts w:asciiTheme="majorBidi" w:hAnsiTheme="majorBidi" w:cstheme="majorBidi"/>
        </w:rPr>
        <w:t xml:space="preserve"> </w:t>
      </w:r>
      <w:r w:rsidR="003A75A1">
        <w:rPr>
          <w:rFonts w:asciiTheme="majorBidi" w:hAnsiTheme="majorBidi" w:cstheme="majorBidi"/>
        </w:rPr>
        <w:t>et al.</w:t>
      </w:r>
      <w:r w:rsidR="00DC56E7" w:rsidRPr="00C14D70">
        <w:rPr>
          <w:rFonts w:asciiTheme="majorBidi" w:hAnsiTheme="majorBidi" w:cstheme="majorBidi"/>
        </w:rPr>
        <w:t>, 2013)</w:t>
      </w:r>
      <w:r w:rsidRPr="00C14D70">
        <w:rPr>
          <w:rFonts w:asciiTheme="majorBidi" w:hAnsiTheme="majorBidi" w:cstheme="majorBidi"/>
        </w:rPr>
        <w:t>.  W</w:t>
      </w:r>
      <w:r w:rsidR="00A36EFC" w:rsidRPr="00C14D70">
        <w:rPr>
          <w:rFonts w:asciiTheme="majorBidi" w:hAnsiTheme="majorBidi" w:cstheme="majorBidi"/>
        </w:rPr>
        <w:t xml:space="preserve">ith the continued presence of the </w:t>
      </w:r>
      <w:r w:rsidR="00871A79">
        <w:rPr>
          <w:rFonts w:asciiTheme="majorBidi" w:hAnsiTheme="majorBidi" w:cstheme="majorBidi"/>
        </w:rPr>
        <w:t>COVID</w:t>
      </w:r>
      <w:r w:rsidR="00A36EFC" w:rsidRPr="00C14D70">
        <w:rPr>
          <w:rFonts w:asciiTheme="majorBidi" w:hAnsiTheme="majorBidi" w:cstheme="majorBidi"/>
        </w:rPr>
        <w:t>-19 pandemic</w:t>
      </w:r>
      <w:r w:rsidR="00BD0CEC" w:rsidRPr="00C14D70">
        <w:rPr>
          <w:rFonts w:asciiTheme="majorBidi" w:hAnsiTheme="majorBidi" w:cstheme="majorBidi"/>
        </w:rPr>
        <w:t xml:space="preserve"> </w:t>
      </w:r>
      <w:r w:rsidR="00A36EFC" w:rsidRPr="00C14D70">
        <w:rPr>
          <w:rFonts w:asciiTheme="majorBidi" w:hAnsiTheme="majorBidi" w:cstheme="majorBidi"/>
        </w:rPr>
        <w:t>placing this population at high</w:t>
      </w:r>
      <w:r w:rsidR="001A7EF7" w:rsidRPr="00C14D70">
        <w:rPr>
          <w:rFonts w:asciiTheme="majorBidi" w:hAnsiTheme="majorBidi" w:cstheme="majorBidi"/>
        </w:rPr>
        <w:t>er</w:t>
      </w:r>
      <w:r w:rsidR="004B1488" w:rsidRPr="00C14D70">
        <w:rPr>
          <w:rFonts w:asciiTheme="majorBidi" w:hAnsiTheme="majorBidi" w:cstheme="majorBidi"/>
        </w:rPr>
        <w:t xml:space="preserve"> physical and social</w:t>
      </w:r>
      <w:r w:rsidR="00A36EFC" w:rsidRPr="00C14D70">
        <w:rPr>
          <w:rFonts w:asciiTheme="majorBidi" w:hAnsiTheme="majorBidi" w:cstheme="majorBidi"/>
        </w:rPr>
        <w:t xml:space="preserve"> risk</w:t>
      </w:r>
      <w:r w:rsidR="00BD0CEC" w:rsidRPr="00C14D70">
        <w:rPr>
          <w:rFonts w:asciiTheme="majorBidi" w:hAnsiTheme="majorBidi" w:cstheme="majorBidi"/>
        </w:rPr>
        <w:t xml:space="preserve"> (</w:t>
      </w:r>
      <w:r w:rsidR="004B1488" w:rsidRPr="00C14D70">
        <w:rPr>
          <w:rFonts w:asciiTheme="majorBidi" w:hAnsiTheme="majorBidi" w:cstheme="majorBidi"/>
        </w:rPr>
        <w:t xml:space="preserve">Yanez </w:t>
      </w:r>
      <w:r w:rsidR="003A75A1">
        <w:rPr>
          <w:rFonts w:asciiTheme="majorBidi" w:hAnsiTheme="majorBidi" w:cstheme="majorBidi"/>
        </w:rPr>
        <w:t xml:space="preserve">et al., </w:t>
      </w:r>
      <w:r w:rsidR="004B1488" w:rsidRPr="00C14D70">
        <w:rPr>
          <w:rFonts w:asciiTheme="majorBidi" w:hAnsiTheme="majorBidi" w:cstheme="majorBidi"/>
        </w:rPr>
        <w:t>202</w:t>
      </w:r>
      <w:r w:rsidR="003A75A1">
        <w:rPr>
          <w:rFonts w:asciiTheme="majorBidi" w:hAnsiTheme="majorBidi" w:cstheme="majorBidi"/>
        </w:rPr>
        <w:t>0</w:t>
      </w:r>
      <w:r w:rsidR="004B1488" w:rsidRPr="00C14D70">
        <w:rPr>
          <w:rFonts w:asciiTheme="majorBidi" w:hAnsiTheme="majorBidi" w:cstheme="majorBidi"/>
        </w:rPr>
        <w:t xml:space="preserve">; </w:t>
      </w:r>
      <w:r w:rsidR="003A75A1" w:rsidRPr="003A75A1">
        <w:rPr>
          <w:rFonts w:asciiTheme="majorBidi" w:hAnsiTheme="majorBidi" w:cstheme="majorBidi"/>
        </w:rPr>
        <w:t>Hargrove</w:t>
      </w:r>
      <w:r w:rsidR="00A81D4D">
        <w:rPr>
          <w:rFonts w:asciiTheme="majorBidi" w:hAnsiTheme="majorBidi" w:cstheme="majorBidi"/>
        </w:rPr>
        <w:t xml:space="preserve"> et al.,</w:t>
      </w:r>
      <w:r w:rsidR="003A75A1" w:rsidRPr="003A75A1">
        <w:rPr>
          <w:rFonts w:asciiTheme="majorBidi" w:hAnsiTheme="majorBidi" w:cstheme="majorBidi"/>
        </w:rPr>
        <w:t xml:space="preserve"> 2021</w:t>
      </w:r>
      <w:r w:rsidR="00BD0CEC" w:rsidRPr="00C14D70">
        <w:rPr>
          <w:rFonts w:asciiTheme="majorBidi" w:hAnsiTheme="majorBidi" w:cstheme="majorBidi"/>
        </w:rPr>
        <w:t>)</w:t>
      </w:r>
      <w:r w:rsidR="00A36EFC" w:rsidRPr="00C14D70">
        <w:rPr>
          <w:rFonts w:asciiTheme="majorBidi" w:hAnsiTheme="majorBidi" w:cstheme="majorBidi"/>
        </w:rPr>
        <w:t>, it is even more important to ensure th</w:t>
      </w:r>
      <w:r w:rsidR="004B1488" w:rsidRPr="00C14D70">
        <w:rPr>
          <w:rFonts w:asciiTheme="majorBidi" w:hAnsiTheme="majorBidi" w:cstheme="majorBidi"/>
        </w:rPr>
        <w:t>e</w:t>
      </w:r>
      <w:r w:rsidR="006075C2" w:rsidRPr="00C14D70">
        <w:rPr>
          <w:rFonts w:asciiTheme="majorBidi" w:hAnsiTheme="majorBidi" w:cstheme="majorBidi"/>
        </w:rPr>
        <w:t xml:space="preserve"> </w:t>
      </w:r>
      <w:r w:rsidR="00A36EFC" w:rsidRPr="00C14D70">
        <w:rPr>
          <w:rFonts w:asciiTheme="majorBidi" w:hAnsiTheme="majorBidi" w:cstheme="majorBidi"/>
        </w:rPr>
        <w:t>possibility</w:t>
      </w:r>
      <w:r w:rsidR="004B1488" w:rsidRPr="00C14D70">
        <w:rPr>
          <w:rFonts w:asciiTheme="majorBidi" w:hAnsiTheme="majorBidi" w:cstheme="majorBidi"/>
        </w:rPr>
        <w:t xml:space="preserve"> of living safely at home</w:t>
      </w:r>
      <w:r w:rsidR="00A36EFC" w:rsidRPr="00C14D70">
        <w:rPr>
          <w:rFonts w:asciiTheme="majorBidi" w:hAnsiTheme="majorBidi" w:cstheme="majorBidi"/>
        </w:rPr>
        <w:t xml:space="preserve">. </w:t>
      </w:r>
    </w:p>
    <w:p w14:paraId="3E90BE92" w14:textId="03E33161" w:rsidR="00871A79" w:rsidRDefault="004B1488" w:rsidP="00D61F07">
      <w:pPr>
        <w:spacing w:after="0" w:line="480" w:lineRule="auto"/>
        <w:ind w:firstLine="720"/>
        <w:rPr>
          <w:rFonts w:asciiTheme="majorBidi" w:hAnsiTheme="majorBidi" w:cstheme="majorBidi"/>
        </w:rPr>
      </w:pPr>
      <w:r w:rsidRPr="00C14D70">
        <w:rPr>
          <w:rFonts w:asciiTheme="majorBidi" w:hAnsiTheme="majorBidi" w:cstheme="majorBidi"/>
        </w:rPr>
        <w:t>In general,</w:t>
      </w:r>
      <w:r w:rsidR="00A36EFC" w:rsidRPr="00C14D70">
        <w:rPr>
          <w:rFonts w:asciiTheme="majorBidi" w:hAnsiTheme="majorBidi" w:cstheme="majorBidi"/>
        </w:rPr>
        <w:t xml:space="preserve"> </w:t>
      </w:r>
      <w:r w:rsidR="00172A19" w:rsidRPr="00C14D70">
        <w:rPr>
          <w:rFonts w:asciiTheme="majorBidi" w:hAnsiTheme="majorBidi" w:cstheme="majorBidi"/>
        </w:rPr>
        <w:t>a</w:t>
      </w:r>
      <w:r w:rsidR="00814A96" w:rsidRPr="00C14D70">
        <w:rPr>
          <w:rFonts w:asciiTheme="majorBidi" w:hAnsiTheme="majorBidi" w:cstheme="majorBidi"/>
        </w:rPr>
        <w:t>ging increases</w:t>
      </w:r>
      <w:r w:rsidR="0088230F" w:rsidRPr="00C14D70">
        <w:rPr>
          <w:rFonts w:asciiTheme="majorBidi" w:hAnsiTheme="majorBidi" w:cstheme="majorBidi"/>
        </w:rPr>
        <w:t xml:space="preserve"> risk of hospitalization (</w:t>
      </w:r>
      <w:r w:rsidR="00AA0305" w:rsidRPr="00C14D70">
        <w:rPr>
          <w:rFonts w:asciiTheme="majorBidi" w:hAnsiTheme="majorBidi" w:cstheme="majorBidi"/>
        </w:rPr>
        <w:t>H</w:t>
      </w:r>
      <w:r w:rsidR="0088230F" w:rsidRPr="00C14D70">
        <w:rPr>
          <w:rFonts w:asciiTheme="majorBidi" w:hAnsiTheme="majorBidi" w:cstheme="majorBidi"/>
        </w:rPr>
        <w:t>su</w:t>
      </w:r>
      <w:r w:rsidR="00AA0305" w:rsidRPr="00C14D70">
        <w:rPr>
          <w:rFonts w:asciiTheme="majorBidi" w:hAnsiTheme="majorBidi" w:cstheme="majorBidi"/>
        </w:rPr>
        <w:t xml:space="preserve"> et al.</w:t>
      </w:r>
      <w:r w:rsidR="0088230F" w:rsidRPr="00C14D70">
        <w:rPr>
          <w:rFonts w:asciiTheme="majorBidi" w:hAnsiTheme="majorBidi" w:cstheme="majorBidi"/>
        </w:rPr>
        <w:t>, 2020)</w:t>
      </w:r>
      <w:r w:rsidR="006075C2" w:rsidRPr="00C14D70">
        <w:rPr>
          <w:rFonts w:asciiTheme="majorBidi" w:hAnsiTheme="majorBidi" w:cstheme="majorBidi"/>
        </w:rPr>
        <w:t xml:space="preserve"> </w:t>
      </w:r>
      <w:r w:rsidR="001A7EF7" w:rsidRPr="00C14D70">
        <w:rPr>
          <w:rFonts w:asciiTheme="majorBidi" w:hAnsiTheme="majorBidi" w:cstheme="majorBidi"/>
        </w:rPr>
        <w:t>and subsequent</w:t>
      </w:r>
      <w:r w:rsidR="0088230F" w:rsidRPr="00C14D70">
        <w:rPr>
          <w:rFonts w:asciiTheme="majorBidi" w:hAnsiTheme="majorBidi" w:cstheme="majorBidi"/>
        </w:rPr>
        <w:t xml:space="preserve"> risk of </w:t>
      </w:r>
      <w:r w:rsidR="00512C6D" w:rsidRPr="00C14D70">
        <w:rPr>
          <w:rFonts w:asciiTheme="majorBidi" w:hAnsiTheme="majorBidi" w:cstheme="majorBidi"/>
        </w:rPr>
        <w:t>cognitive impairment</w:t>
      </w:r>
      <w:r w:rsidR="0088230F" w:rsidRPr="00C14D70">
        <w:rPr>
          <w:rFonts w:asciiTheme="majorBidi" w:hAnsiTheme="majorBidi" w:cstheme="majorBidi"/>
        </w:rPr>
        <w:t xml:space="preserve"> </w:t>
      </w:r>
      <w:r w:rsidR="00814A96" w:rsidRPr="00C14D70">
        <w:rPr>
          <w:rFonts w:asciiTheme="majorBidi" w:hAnsiTheme="majorBidi" w:cstheme="majorBidi"/>
        </w:rPr>
        <w:t>(James et al., 2019)</w:t>
      </w:r>
      <w:r w:rsidRPr="00C14D70">
        <w:rPr>
          <w:rFonts w:asciiTheme="majorBidi" w:hAnsiTheme="majorBidi" w:cstheme="majorBidi"/>
        </w:rPr>
        <w:t>,</w:t>
      </w:r>
      <w:r w:rsidR="00814A96" w:rsidRPr="00C14D70">
        <w:rPr>
          <w:rFonts w:asciiTheme="majorBidi" w:hAnsiTheme="majorBidi" w:cstheme="majorBidi"/>
        </w:rPr>
        <w:t xml:space="preserve"> future </w:t>
      </w:r>
      <w:r w:rsidR="0088230F" w:rsidRPr="00C14D70">
        <w:rPr>
          <w:rFonts w:asciiTheme="majorBidi" w:hAnsiTheme="majorBidi" w:cstheme="majorBidi"/>
        </w:rPr>
        <w:t>disability (</w:t>
      </w:r>
      <w:proofErr w:type="spellStart"/>
      <w:r w:rsidR="00AA0305" w:rsidRPr="00C14D70">
        <w:rPr>
          <w:rFonts w:asciiTheme="majorBidi" w:hAnsiTheme="majorBidi" w:cstheme="majorBidi"/>
        </w:rPr>
        <w:t>Davydow</w:t>
      </w:r>
      <w:proofErr w:type="spellEnd"/>
      <w:r w:rsidR="00AA0305" w:rsidRPr="00C14D70">
        <w:rPr>
          <w:rFonts w:asciiTheme="majorBidi" w:hAnsiTheme="majorBidi" w:cstheme="majorBidi"/>
        </w:rPr>
        <w:t xml:space="preserve"> </w:t>
      </w:r>
      <w:r w:rsidR="00A81D4D">
        <w:rPr>
          <w:rFonts w:asciiTheme="majorBidi" w:hAnsiTheme="majorBidi" w:cstheme="majorBidi"/>
        </w:rPr>
        <w:t xml:space="preserve">et al., </w:t>
      </w:r>
      <w:r w:rsidR="0088230F" w:rsidRPr="00C14D70">
        <w:rPr>
          <w:rFonts w:asciiTheme="majorBidi" w:hAnsiTheme="majorBidi" w:cstheme="majorBidi"/>
        </w:rPr>
        <w:t>2014</w:t>
      </w:r>
      <w:r w:rsidR="006075C2" w:rsidRPr="00C14D70">
        <w:rPr>
          <w:rFonts w:asciiTheme="majorBidi" w:hAnsiTheme="majorBidi" w:cstheme="majorBidi"/>
        </w:rPr>
        <w:t>)</w:t>
      </w:r>
      <w:r w:rsidR="00871A79">
        <w:rPr>
          <w:rFonts w:asciiTheme="majorBidi" w:hAnsiTheme="majorBidi" w:cstheme="majorBidi"/>
        </w:rPr>
        <w:t>,</w:t>
      </w:r>
      <w:r w:rsidR="006075C2" w:rsidRPr="00C14D70">
        <w:rPr>
          <w:rFonts w:asciiTheme="majorBidi" w:hAnsiTheme="majorBidi" w:cstheme="majorBidi"/>
        </w:rPr>
        <w:t xml:space="preserve"> </w:t>
      </w:r>
      <w:r w:rsidR="00093A65">
        <w:rPr>
          <w:rFonts w:asciiTheme="majorBidi" w:hAnsiTheme="majorBidi" w:cstheme="majorBidi"/>
        </w:rPr>
        <w:t xml:space="preserve">and may be </w:t>
      </w:r>
      <w:r w:rsidR="006075C2" w:rsidRPr="00C14D70">
        <w:rPr>
          <w:rFonts w:asciiTheme="majorBidi" w:hAnsiTheme="majorBidi" w:cstheme="majorBidi"/>
        </w:rPr>
        <w:t xml:space="preserve">compounded by an </w:t>
      </w:r>
      <w:r w:rsidR="00814A96" w:rsidRPr="00C14D70">
        <w:rPr>
          <w:rFonts w:asciiTheme="majorBidi" w:hAnsiTheme="majorBidi" w:cstheme="majorBidi"/>
        </w:rPr>
        <w:t xml:space="preserve">increased </w:t>
      </w:r>
      <w:r w:rsidR="00911961" w:rsidRPr="00C14D70">
        <w:rPr>
          <w:rFonts w:asciiTheme="majorBidi" w:hAnsiTheme="majorBidi" w:cstheme="majorBidi"/>
        </w:rPr>
        <w:t xml:space="preserve">risk for </w:t>
      </w:r>
      <w:r w:rsidR="00DC2B8C" w:rsidRPr="00C14D70">
        <w:rPr>
          <w:rFonts w:asciiTheme="majorBidi" w:hAnsiTheme="majorBidi" w:cstheme="majorBidi"/>
        </w:rPr>
        <w:t>injuries caused by falls</w:t>
      </w:r>
      <w:r w:rsidR="00454ADA">
        <w:rPr>
          <w:rFonts w:asciiTheme="majorBidi" w:hAnsiTheme="majorBidi" w:cstheme="majorBidi"/>
        </w:rPr>
        <w:t>, stroke or functional deterioration</w:t>
      </w:r>
      <w:r w:rsidR="00871A79">
        <w:rPr>
          <w:rFonts w:asciiTheme="majorBidi" w:hAnsiTheme="majorBidi" w:cstheme="majorBidi"/>
        </w:rPr>
        <w:t xml:space="preserve"> </w:t>
      </w:r>
      <w:r w:rsidR="00911961" w:rsidRPr="00C14D70">
        <w:rPr>
          <w:rFonts w:asciiTheme="majorBidi" w:hAnsiTheme="majorBidi" w:cstheme="majorBidi"/>
        </w:rPr>
        <w:t>(</w:t>
      </w:r>
      <w:proofErr w:type="spellStart"/>
      <w:r w:rsidR="00FD4A0A" w:rsidRPr="00C14D70">
        <w:rPr>
          <w:rFonts w:asciiTheme="majorBidi" w:hAnsiTheme="majorBidi" w:cstheme="majorBidi"/>
        </w:rPr>
        <w:t>N</w:t>
      </w:r>
      <w:r w:rsidR="00911961" w:rsidRPr="00C14D70">
        <w:rPr>
          <w:rFonts w:asciiTheme="majorBidi" w:hAnsiTheme="majorBidi" w:cstheme="majorBidi"/>
        </w:rPr>
        <w:t>aseri</w:t>
      </w:r>
      <w:proofErr w:type="spellEnd"/>
      <w:r w:rsidR="00FD4A0A" w:rsidRPr="00C14D70">
        <w:rPr>
          <w:rFonts w:asciiTheme="majorBidi" w:hAnsiTheme="majorBidi" w:cstheme="majorBidi"/>
        </w:rPr>
        <w:t xml:space="preserve"> et al.,</w:t>
      </w:r>
      <w:r w:rsidR="001E572F" w:rsidRPr="00C14D70">
        <w:rPr>
          <w:rFonts w:asciiTheme="majorBidi" w:hAnsiTheme="majorBidi" w:cstheme="majorBidi"/>
        </w:rPr>
        <w:t xml:space="preserve"> </w:t>
      </w:r>
      <w:r w:rsidR="00C1515E" w:rsidRPr="00C14D70">
        <w:rPr>
          <w:rFonts w:asciiTheme="majorBidi" w:hAnsiTheme="majorBidi" w:cstheme="majorBidi"/>
        </w:rPr>
        <w:t>2020).</w:t>
      </w:r>
      <w:r w:rsidR="001E572F" w:rsidRPr="00C14D70">
        <w:rPr>
          <w:rFonts w:asciiTheme="majorBidi" w:hAnsiTheme="majorBidi" w:cstheme="majorBidi"/>
        </w:rPr>
        <w:t xml:space="preserve"> </w:t>
      </w:r>
      <w:r w:rsidRPr="00C14D70">
        <w:rPr>
          <w:rFonts w:asciiTheme="majorBidi" w:hAnsiTheme="majorBidi" w:cstheme="majorBidi"/>
        </w:rPr>
        <w:t>Effective d</w:t>
      </w:r>
      <w:r w:rsidR="00C1515E" w:rsidRPr="00C14D70">
        <w:rPr>
          <w:rFonts w:asciiTheme="majorBidi" w:hAnsiTheme="majorBidi" w:cstheme="majorBidi"/>
        </w:rPr>
        <w:t xml:space="preserve">ischarge planning </w:t>
      </w:r>
      <w:r w:rsidR="001A7EF7" w:rsidRPr="00C14D70">
        <w:rPr>
          <w:rFonts w:asciiTheme="majorBidi" w:hAnsiTheme="majorBidi" w:cstheme="majorBidi"/>
        </w:rPr>
        <w:t xml:space="preserve">has been found to increase the patient’s independence upon the return home </w:t>
      </w:r>
      <w:r w:rsidRPr="00C14D70">
        <w:rPr>
          <w:rFonts w:asciiTheme="majorBidi" w:hAnsiTheme="majorBidi" w:cstheme="majorBidi"/>
        </w:rPr>
        <w:t>and</w:t>
      </w:r>
      <w:r w:rsidR="006075C2" w:rsidRPr="00C14D70">
        <w:rPr>
          <w:rFonts w:asciiTheme="majorBidi" w:hAnsiTheme="majorBidi" w:cstheme="majorBidi"/>
        </w:rPr>
        <w:t xml:space="preserve"> reduce risk </w:t>
      </w:r>
      <w:r w:rsidR="00454ADA">
        <w:rPr>
          <w:rFonts w:asciiTheme="majorBidi" w:hAnsiTheme="majorBidi" w:cstheme="majorBidi"/>
        </w:rPr>
        <w:t xml:space="preserve">of rehospitalization </w:t>
      </w:r>
      <w:r w:rsidR="001A7EF7" w:rsidRPr="00C14D70">
        <w:rPr>
          <w:rFonts w:asciiTheme="majorBidi" w:hAnsiTheme="majorBidi" w:cstheme="majorBidi"/>
        </w:rPr>
        <w:t>(Provencher</w:t>
      </w:r>
      <w:r w:rsidR="00871A79">
        <w:rPr>
          <w:rFonts w:asciiTheme="majorBidi" w:hAnsiTheme="majorBidi" w:cstheme="majorBidi"/>
        </w:rPr>
        <w:t xml:space="preserve"> et al.,</w:t>
      </w:r>
      <w:r w:rsidR="001A7EF7" w:rsidRPr="00C14D70">
        <w:rPr>
          <w:rFonts w:asciiTheme="majorBidi" w:hAnsiTheme="majorBidi" w:cstheme="majorBidi"/>
        </w:rPr>
        <w:t xml:space="preserve"> 2020; </w:t>
      </w:r>
      <w:r w:rsidR="00AA0305" w:rsidRPr="00C14D70">
        <w:rPr>
          <w:rFonts w:asciiTheme="majorBidi" w:hAnsiTheme="majorBidi" w:cstheme="majorBidi"/>
        </w:rPr>
        <w:t>Wales et al., 2012</w:t>
      </w:r>
      <w:r w:rsidR="00A95DCA" w:rsidRPr="00C14D70">
        <w:rPr>
          <w:rFonts w:asciiTheme="majorBidi" w:hAnsiTheme="majorBidi" w:cstheme="majorBidi"/>
        </w:rPr>
        <w:t>)</w:t>
      </w:r>
      <w:r w:rsidR="00B34597" w:rsidRPr="00C14D70">
        <w:rPr>
          <w:rFonts w:asciiTheme="majorBidi" w:hAnsiTheme="majorBidi" w:cstheme="majorBidi"/>
        </w:rPr>
        <w:t xml:space="preserve">. </w:t>
      </w:r>
    </w:p>
    <w:p w14:paraId="7578E0EB" w14:textId="0D957D4D" w:rsidR="006075C2" w:rsidRPr="00C14D70" w:rsidRDefault="004461DD" w:rsidP="00871A79">
      <w:pPr>
        <w:spacing w:after="0" w:line="480" w:lineRule="auto"/>
        <w:ind w:firstLine="720"/>
        <w:rPr>
          <w:rFonts w:asciiTheme="majorBidi" w:hAnsiTheme="majorBidi" w:cstheme="majorBidi"/>
        </w:rPr>
      </w:pPr>
      <w:r w:rsidRPr="00C14D70">
        <w:rPr>
          <w:rFonts w:asciiTheme="majorBidi" w:hAnsiTheme="majorBidi" w:cstheme="majorBidi"/>
        </w:rPr>
        <w:t xml:space="preserve">The purpose of </w:t>
      </w:r>
      <w:r w:rsidR="00172A19" w:rsidRPr="00C14D70">
        <w:rPr>
          <w:rFonts w:asciiTheme="majorBidi" w:hAnsiTheme="majorBidi" w:cstheme="majorBidi"/>
        </w:rPr>
        <w:t xml:space="preserve">an </w:t>
      </w:r>
      <w:r w:rsidRPr="00C14D70">
        <w:rPr>
          <w:rFonts w:asciiTheme="majorBidi" w:hAnsiTheme="majorBidi" w:cstheme="majorBidi"/>
        </w:rPr>
        <w:t>occupational therapy discharge plan is to identify potential problems which may appear when patients resume their activities of daily living (ADLs)</w:t>
      </w:r>
      <w:r w:rsidR="00BD0CEC" w:rsidRPr="00C14D70">
        <w:rPr>
          <w:rFonts w:asciiTheme="majorBidi" w:hAnsiTheme="majorBidi" w:cstheme="majorBidi"/>
        </w:rPr>
        <w:t>, and</w:t>
      </w:r>
      <w:r w:rsidR="00891527" w:rsidRPr="00C14D70">
        <w:rPr>
          <w:rFonts w:asciiTheme="majorBidi" w:hAnsiTheme="majorBidi" w:cstheme="majorBidi"/>
        </w:rPr>
        <w:t xml:space="preserve"> </w:t>
      </w:r>
      <w:r w:rsidR="004B1488" w:rsidRPr="00C14D70">
        <w:rPr>
          <w:rFonts w:asciiTheme="majorBidi" w:hAnsiTheme="majorBidi" w:cstheme="majorBidi"/>
        </w:rPr>
        <w:t>suggest</w:t>
      </w:r>
      <w:r w:rsidR="006075C2" w:rsidRPr="00C14D70">
        <w:rPr>
          <w:rFonts w:asciiTheme="majorBidi" w:hAnsiTheme="majorBidi" w:cstheme="majorBidi"/>
        </w:rPr>
        <w:t xml:space="preserve"> </w:t>
      </w:r>
      <w:r w:rsidRPr="00C14D70">
        <w:rPr>
          <w:rFonts w:asciiTheme="majorBidi" w:hAnsiTheme="majorBidi" w:cstheme="majorBidi"/>
        </w:rPr>
        <w:t>modifications or adaptations</w:t>
      </w:r>
      <w:r w:rsidR="00891527" w:rsidRPr="00C14D70">
        <w:rPr>
          <w:rFonts w:asciiTheme="majorBidi" w:hAnsiTheme="majorBidi" w:cstheme="majorBidi"/>
        </w:rPr>
        <w:t xml:space="preserve"> needed</w:t>
      </w:r>
      <w:r w:rsidR="001E572F" w:rsidRPr="00C14D70">
        <w:rPr>
          <w:rFonts w:asciiTheme="majorBidi" w:hAnsiTheme="majorBidi" w:cstheme="majorBidi"/>
        </w:rPr>
        <w:t xml:space="preserve"> </w:t>
      </w:r>
      <w:r w:rsidR="00891527" w:rsidRPr="00C14D70">
        <w:rPr>
          <w:rFonts w:asciiTheme="majorBidi" w:hAnsiTheme="majorBidi" w:cstheme="majorBidi"/>
        </w:rPr>
        <w:t xml:space="preserve">to maximize independence and safety </w:t>
      </w:r>
      <w:r w:rsidRPr="00C14D70">
        <w:rPr>
          <w:rFonts w:asciiTheme="majorBidi" w:hAnsiTheme="majorBidi" w:cstheme="majorBidi"/>
        </w:rPr>
        <w:t>(Clemson</w:t>
      </w:r>
      <w:r w:rsidR="00891527" w:rsidRPr="00C14D70">
        <w:rPr>
          <w:rFonts w:asciiTheme="majorBidi" w:hAnsiTheme="majorBidi" w:cstheme="majorBidi"/>
        </w:rPr>
        <w:t xml:space="preserve"> et al., 2016)</w:t>
      </w:r>
      <w:r w:rsidR="00B253FA" w:rsidRPr="00C14D70">
        <w:rPr>
          <w:rFonts w:asciiTheme="majorBidi" w:hAnsiTheme="majorBidi" w:cstheme="majorBidi"/>
        </w:rPr>
        <w:t xml:space="preserve">. </w:t>
      </w:r>
      <w:r w:rsidR="001A7EF7" w:rsidRPr="00C14D70">
        <w:rPr>
          <w:rFonts w:asciiTheme="majorBidi" w:hAnsiTheme="majorBidi" w:cstheme="majorBidi"/>
        </w:rPr>
        <w:t xml:space="preserve">Despite </w:t>
      </w:r>
      <w:r w:rsidR="00515674" w:rsidRPr="00C14D70">
        <w:rPr>
          <w:rFonts w:asciiTheme="majorBidi" w:hAnsiTheme="majorBidi" w:cstheme="majorBidi"/>
        </w:rPr>
        <w:t>the</w:t>
      </w:r>
      <w:r w:rsidR="001A7EF7" w:rsidRPr="00C14D70">
        <w:rPr>
          <w:rFonts w:asciiTheme="majorBidi" w:hAnsiTheme="majorBidi" w:cstheme="majorBidi"/>
        </w:rPr>
        <w:t xml:space="preserve"> documented</w:t>
      </w:r>
      <w:r w:rsidR="00515674" w:rsidRPr="00C14D70">
        <w:rPr>
          <w:rFonts w:asciiTheme="majorBidi" w:hAnsiTheme="majorBidi" w:cstheme="majorBidi"/>
        </w:rPr>
        <w:t xml:space="preserve"> importance of </w:t>
      </w:r>
      <w:r w:rsidR="0045711D" w:rsidRPr="00C14D70">
        <w:rPr>
          <w:rFonts w:asciiTheme="majorBidi" w:hAnsiTheme="majorBidi" w:cstheme="majorBidi"/>
        </w:rPr>
        <w:t xml:space="preserve">hospital </w:t>
      </w:r>
      <w:r w:rsidR="00515674" w:rsidRPr="00C14D70">
        <w:rPr>
          <w:rFonts w:asciiTheme="majorBidi" w:hAnsiTheme="majorBidi" w:cstheme="majorBidi"/>
        </w:rPr>
        <w:t xml:space="preserve">discharge planning </w:t>
      </w:r>
      <w:r w:rsidR="0045711D" w:rsidRPr="00C14D70">
        <w:rPr>
          <w:rFonts w:asciiTheme="majorBidi" w:hAnsiTheme="majorBidi" w:cstheme="majorBidi"/>
        </w:rPr>
        <w:t xml:space="preserve">for older adults </w:t>
      </w:r>
      <w:r w:rsidR="00515674" w:rsidRPr="00C14D70">
        <w:rPr>
          <w:rFonts w:asciiTheme="majorBidi" w:hAnsiTheme="majorBidi" w:cstheme="majorBidi"/>
        </w:rPr>
        <w:t>(</w:t>
      </w:r>
      <w:proofErr w:type="spellStart"/>
      <w:r w:rsidR="00D51235" w:rsidRPr="00D51235">
        <w:rPr>
          <w:rFonts w:asciiTheme="majorBidi" w:hAnsiTheme="majorBidi" w:cstheme="majorBidi"/>
        </w:rPr>
        <w:t>Mabire</w:t>
      </w:r>
      <w:proofErr w:type="spellEnd"/>
      <w:r w:rsidR="00A81D4D">
        <w:rPr>
          <w:rFonts w:asciiTheme="majorBidi" w:hAnsiTheme="majorBidi" w:cstheme="majorBidi"/>
        </w:rPr>
        <w:t xml:space="preserve"> et al.</w:t>
      </w:r>
      <w:r w:rsidR="00871A79">
        <w:rPr>
          <w:rFonts w:asciiTheme="majorBidi" w:hAnsiTheme="majorBidi" w:cstheme="majorBidi"/>
        </w:rPr>
        <w:t>,</w:t>
      </w:r>
      <w:r w:rsidR="00581044">
        <w:rPr>
          <w:rFonts w:asciiTheme="majorBidi" w:hAnsiTheme="majorBidi" w:cstheme="majorBidi"/>
        </w:rPr>
        <w:t xml:space="preserve"> </w:t>
      </w:r>
      <w:r w:rsidR="00515674" w:rsidRPr="00C14D70">
        <w:rPr>
          <w:rFonts w:asciiTheme="majorBidi" w:hAnsiTheme="majorBidi" w:cstheme="majorBidi"/>
        </w:rPr>
        <w:t>2015</w:t>
      </w:r>
      <w:r w:rsidR="001A7EF7" w:rsidRPr="00C14D70">
        <w:rPr>
          <w:rFonts w:asciiTheme="majorBidi" w:hAnsiTheme="majorBidi" w:cstheme="majorBidi"/>
        </w:rPr>
        <w:t xml:space="preserve">; </w:t>
      </w:r>
      <w:r w:rsidR="003A75A1">
        <w:rPr>
          <w:rFonts w:asciiTheme="majorBidi" w:hAnsiTheme="majorBidi" w:cstheme="majorBidi"/>
        </w:rPr>
        <w:t>Provencher et al.</w:t>
      </w:r>
      <w:r w:rsidR="00871A79">
        <w:rPr>
          <w:rFonts w:asciiTheme="majorBidi" w:hAnsiTheme="majorBidi" w:cstheme="majorBidi"/>
        </w:rPr>
        <w:t>,</w:t>
      </w:r>
      <w:r w:rsidR="001A7EF7" w:rsidRPr="00C14D70">
        <w:rPr>
          <w:rFonts w:asciiTheme="majorBidi" w:hAnsiTheme="majorBidi" w:cstheme="majorBidi"/>
        </w:rPr>
        <w:t xml:space="preserve"> 20</w:t>
      </w:r>
      <w:r w:rsidR="003A75A1">
        <w:rPr>
          <w:rFonts w:asciiTheme="majorBidi" w:hAnsiTheme="majorBidi" w:cstheme="majorBidi"/>
        </w:rPr>
        <w:t>20</w:t>
      </w:r>
      <w:r w:rsidR="00515674" w:rsidRPr="00C14D70">
        <w:rPr>
          <w:rFonts w:asciiTheme="majorBidi" w:hAnsiTheme="majorBidi" w:cstheme="majorBidi"/>
        </w:rPr>
        <w:t xml:space="preserve">), </w:t>
      </w:r>
      <w:r w:rsidR="001A7EF7" w:rsidRPr="00C14D70">
        <w:rPr>
          <w:rFonts w:asciiTheme="majorBidi" w:hAnsiTheme="majorBidi" w:cstheme="majorBidi"/>
        </w:rPr>
        <w:t xml:space="preserve">there </w:t>
      </w:r>
      <w:r w:rsidR="00D61F07" w:rsidRPr="00C14D70">
        <w:rPr>
          <w:rFonts w:asciiTheme="majorBidi" w:hAnsiTheme="majorBidi" w:cstheme="majorBidi"/>
        </w:rPr>
        <w:t>are</w:t>
      </w:r>
      <w:r w:rsidR="001A7EF7" w:rsidRPr="00C14D70">
        <w:rPr>
          <w:rFonts w:asciiTheme="majorBidi" w:hAnsiTheme="majorBidi" w:cstheme="majorBidi"/>
        </w:rPr>
        <w:t xml:space="preserve"> no standardized guidelines for discharge protocol for occupational therapists (OTs). </w:t>
      </w:r>
      <w:r w:rsidR="00D61F07" w:rsidRPr="00C14D70">
        <w:rPr>
          <w:rFonts w:asciiTheme="majorBidi" w:hAnsiTheme="majorBidi" w:cstheme="majorBidi"/>
        </w:rPr>
        <w:t>Even with a</w:t>
      </w:r>
      <w:r w:rsidR="001A7EF7" w:rsidRPr="00C14D70">
        <w:rPr>
          <w:rFonts w:asciiTheme="majorBidi" w:hAnsiTheme="majorBidi" w:cstheme="majorBidi"/>
        </w:rPr>
        <w:t xml:space="preserve"> proven necessity to </w:t>
      </w:r>
      <w:r w:rsidR="00D61F07" w:rsidRPr="00C14D70">
        <w:rPr>
          <w:rFonts w:asciiTheme="majorBidi" w:hAnsiTheme="majorBidi" w:cstheme="majorBidi"/>
        </w:rPr>
        <w:t>implement a routine</w:t>
      </w:r>
      <w:r w:rsidR="001A7EF7" w:rsidRPr="00C14D70">
        <w:rPr>
          <w:rFonts w:asciiTheme="majorBidi" w:hAnsiTheme="majorBidi" w:cstheme="majorBidi"/>
        </w:rPr>
        <w:t xml:space="preserve"> discharge process (</w:t>
      </w:r>
      <w:r w:rsidR="00BE0319" w:rsidRPr="00C14D70">
        <w:rPr>
          <w:rFonts w:asciiTheme="majorBidi" w:hAnsiTheme="majorBidi" w:cstheme="majorBidi"/>
        </w:rPr>
        <w:t>Roberts</w:t>
      </w:r>
      <w:r w:rsidR="00871A79">
        <w:rPr>
          <w:rFonts w:asciiTheme="majorBidi" w:hAnsiTheme="majorBidi" w:cstheme="majorBidi"/>
        </w:rPr>
        <w:t xml:space="preserve"> et al.,</w:t>
      </w:r>
      <w:r w:rsidR="00BE0319" w:rsidRPr="00C14D70">
        <w:rPr>
          <w:rFonts w:asciiTheme="majorBidi" w:hAnsiTheme="majorBidi" w:cstheme="majorBidi"/>
        </w:rPr>
        <w:t xml:space="preserve"> 2020; Rogers </w:t>
      </w:r>
      <w:r w:rsidR="00871A79">
        <w:rPr>
          <w:rFonts w:asciiTheme="majorBidi" w:hAnsiTheme="majorBidi" w:cstheme="majorBidi"/>
        </w:rPr>
        <w:t xml:space="preserve">et al., </w:t>
      </w:r>
      <w:r w:rsidR="00BE0319" w:rsidRPr="00C14D70">
        <w:rPr>
          <w:rFonts w:asciiTheme="majorBidi" w:hAnsiTheme="majorBidi" w:cstheme="majorBidi"/>
        </w:rPr>
        <w:t>2017</w:t>
      </w:r>
      <w:r w:rsidR="001A7EF7" w:rsidRPr="00C14D70">
        <w:rPr>
          <w:rFonts w:asciiTheme="majorBidi" w:hAnsiTheme="majorBidi" w:cstheme="majorBidi"/>
        </w:rPr>
        <w:t xml:space="preserve">), each </w:t>
      </w:r>
      <w:r w:rsidR="00920F61" w:rsidRPr="00C14D70">
        <w:rPr>
          <w:rFonts w:asciiTheme="majorBidi" w:hAnsiTheme="majorBidi" w:cstheme="majorBidi"/>
        </w:rPr>
        <w:t xml:space="preserve">hospital </w:t>
      </w:r>
      <w:r w:rsidR="001A7EF7" w:rsidRPr="00C14D70">
        <w:rPr>
          <w:rFonts w:asciiTheme="majorBidi" w:hAnsiTheme="majorBidi" w:cstheme="majorBidi"/>
        </w:rPr>
        <w:t xml:space="preserve">decides individually how to conduct the assessment and provide discharge recommendations.  </w:t>
      </w:r>
      <w:r w:rsidR="001D6AA4" w:rsidRPr="00C14D70">
        <w:rPr>
          <w:rFonts w:asciiTheme="majorBidi" w:hAnsiTheme="majorBidi" w:cstheme="majorBidi"/>
        </w:rPr>
        <w:t xml:space="preserve">As the overarching goal of an OT is to enable the client to return/participate </w:t>
      </w:r>
      <w:r w:rsidR="00093A65">
        <w:rPr>
          <w:rFonts w:asciiTheme="majorBidi" w:hAnsiTheme="majorBidi" w:cstheme="majorBidi"/>
        </w:rPr>
        <w:t>in</w:t>
      </w:r>
      <w:r w:rsidR="00093A65" w:rsidRPr="00C14D70">
        <w:rPr>
          <w:rFonts w:asciiTheme="majorBidi" w:hAnsiTheme="majorBidi" w:cstheme="majorBidi"/>
        </w:rPr>
        <w:t xml:space="preserve"> </w:t>
      </w:r>
      <w:r w:rsidR="001D6AA4" w:rsidRPr="00C14D70">
        <w:rPr>
          <w:rFonts w:asciiTheme="majorBidi" w:hAnsiTheme="majorBidi" w:cstheme="majorBidi"/>
        </w:rPr>
        <w:t>a</w:t>
      </w:r>
      <w:r w:rsidR="00093A65">
        <w:rPr>
          <w:rFonts w:asciiTheme="majorBidi" w:hAnsiTheme="majorBidi" w:cstheme="majorBidi"/>
        </w:rPr>
        <w:t>n</w:t>
      </w:r>
      <w:r w:rsidR="001D6AA4" w:rsidRPr="00C14D70">
        <w:rPr>
          <w:rFonts w:asciiTheme="majorBidi" w:hAnsiTheme="majorBidi" w:cstheme="majorBidi"/>
        </w:rPr>
        <w:t xml:space="preserve"> active life as possible, an extensive evaluation is </w:t>
      </w:r>
      <w:r w:rsidR="00093A65">
        <w:rPr>
          <w:rFonts w:asciiTheme="majorBidi" w:hAnsiTheme="majorBidi" w:cstheme="majorBidi"/>
        </w:rPr>
        <w:t>essential</w:t>
      </w:r>
      <w:r w:rsidR="00093A65" w:rsidRPr="00C14D70">
        <w:rPr>
          <w:rFonts w:asciiTheme="majorBidi" w:hAnsiTheme="majorBidi" w:cstheme="majorBidi"/>
        </w:rPr>
        <w:t xml:space="preserve"> </w:t>
      </w:r>
      <w:r w:rsidR="001D6AA4" w:rsidRPr="00C14D70">
        <w:rPr>
          <w:rFonts w:asciiTheme="majorBidi" w:hAnsiTheme="majorBidi" w:cstheme="majorBidi"/>
        </w:rPr>
        <w:t>in order to assess the patient’s needs and create future recommendations</w:t>
      </w:r>
      <w:r w:rsidR="00871A79">
        <w:rPr>
          <w:rFonts w:asciiTheme="majorBidi" w:hAnsiTheme="majorBidi" w:cstheme="majorBidi"/>
        </w:rPr>
        <w:t xml:space="preserve"> </w:t>
      </w:r>
      <w:r w:rsidR="00454ADA">
        <w:rPr>
          <w:rFonts w:asciiTheme="majorBidi" w:hAnsiTheme="majorBidi" w:cstheme="majorBidi"/>
        </w:rPr>
        <w:t>(</w:t>
      </w:r>
      <w:r w:rsidR="009A322D">
        <w:rPr>
          <w:rFonts w:asciiTheme="majorBidi" w:hAnsiTheme="majorBidi" w:cstheme="majorBidi"/>
        </w:rPr>
        <w:t>AOTA, 2017)</w:t>
      </w:r>
      <w:r w:rsidR="001D6AA4" w:rsidRPr="00C14D70">
        <w:rPr>
          <w:rFonts w:asciiTheme="majorBidi" w:hAnsiTheme="majorBidi" w:cstheme="majorBidi"/>
        </w:rPr>
        <w:t xml:space="preserve">.  Function </w:t>
      </w:r>
      <w:r w:rsidR="00093A65">
        <w:rPr>
          <w:rFonts w:asciiTheme="majorBidi" w:hAnsiTheme="majorBidi" w:cstheme="majorBidi"/>
        </w:rPr>
        <w:t>is often</w:t>
      </w:r>
      <w:r w:rsidR="00093A65" w:rsidRPr="00C14D70">
        <w:rPr>
          <w:rFonts w:asciiTheme="majorBidi" w:hAnsiTheme="majorBidi" w:cstheme="majorBidi"/>
        </w:rPr>
        <w:t xml:space="preserve"> </w:t>
      </w:r>
      <w:r w:rsidR="001D6AA4" w:rsidRPr="00C14D70">
        <w:rPr>
          <w:rFonts w:asciiTheme="majorBidi" w:hAnsiTheme="majorBidi" w:cstheme="majorBidi"/>
        </w:rPr>
        <w:t xml:space="preserve">assessed </w:t>
      </w:r>
      <w:r w:rsidR="00093A65">
        <w:rPr>
          <w:rFonts w:asciiTheme="majorBidi" w:hAnsiTheme="majorBidi" w:cstheme="majorBidi"/>
        </w:rPr>
        <w:t>via questionnaires</w:t>
      </w:r>
      <w:r w:rsidR="001D6AA4" w:rsidRPr="00C14D70">
        <w:rPr>
          <w:rFonts w:asciiTheme="majorBidi" w:hAnsiTheme="majorBidi" w:cstheme="majorBidi"/>
        </w:rPr>
        <w:t xml:space="preserve">, based on self-report and functional diagnoses. Yet responses may be affected by patient bias, cognitive state, </w:t>
      </w:r>
      <w:r w:rsidR="001D6AA4" w:rsidRPr="00C14D70">
        <w:rPr>
          <w:rFonts w:asciiTheme="majorBidi" w:hAnsiTheme="majorBidi" w:cstheme="majorBidi"/>
        </w:rPr>
        <w:lastRenderedPageBreak/>
        <w:t xml:space="preserve">culture, language and education. In contrast, </w:t>
      </w:r>
      <w:r w:rsidR="009A322D">
        <w:rPr>
          <w:rFonts w:asciiTheme="majorBidi" w:hAnsiTheme="majorBidi" w:cstheme="majorBidi"/>
        </w:rPr>
        <w:t>occupation</w:t>
      </w:r>
      <w:r w:rsidR="00093A65">
        <w:rPr>
          <w:rFonts w:asciiTheme="majorBidi" w:hAnsiTheme="majorBidi" w:cstheme="majorBidi"/>
        </w:rPr>
        <w:t>al</w:t>
      </w:r>
      <w:r w:rsidR="009A322D">
        <w:rPr>
          <w:rFonts w:asciiTheme="majorBidi" w:hAnsiTheme="majorBidi" w:cstheme="majorBidi"/>
        </w:rPr>
        <w:t xml:space="preserve"> </w:t>
      </w:r>
      <w:r w:rsidR="00D0706B">
        <w:rPr>
          <w:rFonts w:asciiTheme="majorBidi" w:hAnsiTheme="majorBidi" w:cstheme="majorBidi"/>
        </w:rPr>
        <w:t>performance-based</w:t>
      </w:r>
      <w:r w:rsidR="009A322D">
        <w:rPr>
          <w:rFonts w:asciiTheme="majorBidi" w:hAnsiTheme="majorBidi" w:cstheme="majorBidi"/>
        </w:rPr>
        <w:t xml:space="preserve"> assessments</w:t>
      </w:r>
      <w:r w:rsidR="009A322D" w:rsidRPr="00C14D70">
        <w:rPr>
          <w:rFonts w:asciiTheme="majorBidi" w:hAnsiTheme="majorBidi" w:cstheme="majorBidi"/>
        </w:rPr>
        <w:t xml:space="preserve"> </w:t>
      </w:r>
      <w:r w:rsidR="001D6AA4" w:rsidRPr="00C14D70">
        <w:rPr>
          <w:rFonts w:asciiTheme="majorBidi" w:hAnsiTheme="majorBidi" w:cstheme="majorBidi"/>
        </w:rPr>
        <w:t>can better measure the patient’s ability to perform various function-based tasks, such as basic daily activities (BADL) and instrumental daily activities (IADL)</w:t>
      </w:r>
      <w:r w:rsidR="009A322D">
        <w:rPr>
          <w:rFonts w:asciiTheme="majorBidi" w:hAnsiTheme="majorBidi" w:cstheme="majorBidi"/>
        </w:rPr>
        <w:t xml:space="preserve"> (</w:t>
      </w:r>
      <w:r w:rsidR="009A322D" w:rsidRPr="00C14D70">
        <w:rPr>
          <w:rFonts w:asciiTheme="majorBidi" w:hAnsiTheme="majorBidi" w:cstheme="majorBidi"/>
          <w:color w:val="222222"/>
          <w:shd w:val="clear" w:color="auto" w:fill="FFFFFF"/>
        </w:rPr>
        <w:t xml:space="preserve">Rogers </w:t>
      </w:r>
      <w:r w:rsidR="009A322D">
        <w:rPr>
          <w:rFonts w:asciiTheme="majorBidi" w:hAnsiTheme="majorBidi" w:cstheme="majorBidi"/>
          <w:color w:val="222222"/>
          <w:shd w:val="clear" w:color="auto" w:fill="FFFFFF"/>
        </w:rPr>
        <w:t>et al.</w:t>
      </w:r>
      <w:r w:rsidR="009A322D" w:rsidRPr="00C14D70">
        <w:rPr>
          <w:rFonts w:asciiTheme="majorBidi" w:hAnsiTheme="majorBidi" w:cstheme="majorBidi"/>
          <w:color w:val="222222"/>
          <w:shd w:val="clear" w:color="auto" w:fill="FFFFFF"/>
        </w:rPr>
        <w:t>, 2017).</w:t>
      </w:r>
      <w:r w:rsidR="00045C8F">
        <w:rPr>
          <w:rFonts w:asciiTheme="majorBidi" w:hAnsiTheme="majorBidi" w:cstheme="majorBidi"/>
        </w:rPr>
        <w:t xml:space="preserve"> </w:t>
      </w:r>
      <w:r w:rsidR="0022349E" w:rsidRPr="00C14D70">
        <w:rPr>
          <w:rFonts w:asciiTheme="majorBidi" w:hAnsiTheme="majorBidi" w:cstheme="majorBidi"/>
        </w:rPr>
        <w:t xml:space="preserve"> </w:t>
      </w:r>
      <w:r w:rsidR="00172A19" w:rsidRPr="00C14D70">
        <w:rPr>
          <w:rFonts w:asciiTheme="majorBidi" w:hAnsiTheme="majorBidi" w:cstheme="majorBidi"/>
        </w:rPr>
        <w:t xml:space="preserve">The </w:t>
      </w:r>
      <w:r w:rsidR="00920F61" w:rsidRPr="00C14D70">
        <w:rPr>
          <w:rFonts w:asciiTheme="majorBidi" w:hAnsiTheme="majorBidi" w:cstheme="majorBidi"/>
        </w:rPr>
        <w:t>Cognitive OT Functional Evaluation of the Elderly (</w:t>
      </w:r>
      <w:r w:rsidR="00BD0CEC" w:rsidRPr="00C14D70">
        <w:rPr>
          <w:rFonts w:asciiTheme="majorBidi" w:hAnsiTheme="majorBidi" w:cstheme="majorBidi"/>
        </w:rPr>
        <w:t>COFEE</w:t>
      </w:r>
      <w:r w:rsidR="00F7607B" w:rsidRPr="00C14D70">
        <w:rPr>
          <w:rFonts w:asciiTheme="majorBidi" w:hAnsiTheme="majorBidi" w:cstheme="majorBidi"/>
        </w:rPr>
        <w:t>)</w:t>
      </w:r>
      <w:r w:rsidR="00BD0CEC" w:rsidRPr="00C14D70">
        <w:rPr>
          <w:rFonts w:asciiTheme="majorBidi" w:hAnsiTheme="majorBidi" w:cstheme="majorBidi"/>
        </w:rPr>
        <w:t xml:space="preserve"> was initially developed </w:t>
      </w:r>
      <w:r w:rsidR="00013F88" w:rsidRPr="00C14D70">
        <w:rPr>
          <w:rFonts w:asciiTheme="majorBidi" w:hAnsiTheme="majorBidi" w:cstheme="majorBidi"/>
        </w:rPr>
        <w:t>using</w:t>
      </w:r>
      <w:r w:rsidR="00BD0CEC" w:rsidRPr="00C14D70">
        <w:rPr>
          <w:rFonts w:asciiTheme="majorBidi" w:hAnsiTheme="majorBidi" w:cstheme="majorBidi"/>
        </w:rPr>
        <w:t xml:space="preserve"> </w:t>
      </w:r>
      <w:r w:rsidR="006075C2" w:rsidRPr="00C14D70">
        <w:rPr>
          <w:rFonts w:asciiTheme="majorBidi" w:hAnsiTheme="majorBidi" w:cstheme="majorBidi"/>
        </w:rPr>
        <w:t xml:space="preserve">a </w:t>
      </w:r>
      <w:r w:rsidR="00BD0CEC" w:rsidRPr="00C14D70">
        <w:rPr>
          <w:rFonts w:asciiTheme="majorBidi" w:hAnsiTheme="majorBidi" w:cstheme="majorBidi"/>
        </w:rPr>
        <w:t>Functional Cognitive Evaluation (FCE)</w:t>
      </w:r>
      <w:r w:rsidR="00013F88" w:rsidRPr="00C14D70">
        <w:rPr>
          <w:rFonts w:asciiTheme="majorBidi" w:hAnsiTheme="majorBidi" w:cstheme="majorBidi"/>
        </w:rPr>
        <w:t xml:space="preserve"> model</w:t>
      </w:r>
      <w:r w:rsidR="00BD0CEC" w:rsidRPr="00C14D70">
        <w:rPr>
          <w:rFonts w:asciiTheme="majorBidi" w:hAnsiTheme="majorBidi" w:cstheme="majorBidi"/>
        </w:rPr>
        <w:t xml:space="preserve"> (</w:t>
      </w:r>
      <w:proofErr w:type="spellStart"/>
      <w:r w:rsidR="00BD0CEC" w:rsidRPr="00C14D70">
        <w:rPr>
          <w:rFonts w:asciiTheme="majorBidi" w:hAnsiTheme="majorBidi" w:cstheme="majorBidi"/>
        </w:rPr>
        <w:t>Zilbershlag</w:t>
      </w:r>
      <w:proofErr w:type="spellEnd"/>
      <w:r w:rsidR="00BD0CEC" w:rsidRPr="00C14D70">
        <w:rPr>
          <w:rFonts w:asciiTheme="majorBidi" w:hAnsiTheme="majorBidi" w:cstheme="majorBidi"/>
        </w:rPr>
        <w:t xml:space="preserve"> &amp; </w:t>
      </w:r>
      <w:proofErr w:type="spellStart"/>
      <w:r w:rsidR="00BD0CEC" w:rsidRPr="00C14D70">
        <w:rPr>
          <w:rFonts w:asciiTheme="majorBidi" w:hAnsiTheme="majorBidi" w:cstheme="majorBidi"/>
        </w:rPr>
        <w:t>Josman</w:t>
      </w:r>
      <w:proofErr w:type="spellEnd"/>
      <w:r w:rsidR="00BD0CEC" w:rsidRPr="00C14D70">
        <w:rPr>
          <w:rFonts w:asciiTheme="majorBidi" w:hAnsiTheme="majorBidi" w:cstheme="majorBidi"/>
        </w:rPr>
        <w:t>, 2019) for home assessment</w:t>
      </w:r>
      <w:r w:rsidR="00581044">
        <w:rPr>
          <w:rFonts w:asciiTheme="majorBidi" w:hAnsiTheme="majorBidi" w:cstheme="majorBidi"/>
        </w:rPr>
        <w:t xml:space="preserve"> of patients with an element of cognitive decline</w:t>
      </w:r>
      <w:r w:rsidR="00BD0CEC" w:rsidRPr="00C14D70">
        <w:rPr>
          <w:rFonts w:asciiTheme="majorBidi" w:hAnsiTheme="majorBidi" w:cstheme="majorBidi"/>
        </w:rPr>
        <w:t>, and was modified (COFEE-</w:t>
      </w:r>
      <w:r w:rsidR="00BE0319" w:rsidRPr="00C14D70">
        <w:rPr>
          <w:rFonts w:asciiTheme="majorBidi" w:hAnsiTheme="majorBidi" w:cstheme="majorBidi"/>
        </w:rPr>
        <w:t>HD</w:t>
      </w:r>
      <w:r w:rsidR="00BD0CEC" w:rsidRPr="00C14D70">
        <w:rPr>
          <w:rFonts w:asciiTheme="majorBidi" w:hAnsiTheme="majorBidi" w:cstheme="majorBidi"/>
        </w:rPr>
        <w:t xml:space="preserve">) to </w:t>
      </w:r>
      <w:r w:rsidR="00172A19" w:rsidRPr="00C14D70">
        <w:rPr>
          <w:rFonts w:asciiTheme="majorBidi" w:hAnsiTheme="majorBidi" w:cstheme="majorBidi"/>
        </w:rPr>
        <w:t xml:space="preserve">provide older adults and their families essential information </w:t>
      </w:r>
      <w:r w:rsidR="00727B06" w:rsidRPr="00C14D70">
        <w:rPr>
          <w:rFonts w:asciiTheme="majorBidi" w:hAnsiTheme="majorBidi" w:cstheme="majorBidi"/>
        </w:rPr>
        <w:t>and recommendations</w:t>
      </w:r>
      <w:r w:rsidR="00093A65">
        <w:rPr>
          <w:rFonts w:asciiTheme="majorBidi" w:hAnsiTheme="majorBidi" w:cstheme="majorBidi"/>
        </w:rPr>
        <w:t xml:space="preserve"> </w:t>
      </w:r>
      <w:r w:rsidR="00172A19" w:rsidRPr="00C14D70">
        <w:rPr>
          <w:rFonts w:asciiTheme="majorBidi" w:hAnsiTheme="majorBidi" w:cstheme="majorBidi"/>
        </w:rPr>
        <w:t xml:space="preserve">regarding function, cognition, and safety </w:t>
      </w:r>
      <w:r w:rsidR="00093A65">
        <w:rPr>
          <w:rFonts w:asciiTheme="majorBidi" w:hAnsiTheme="majorBidi" w:cstheme="majorBidi"/>
        </w:rPr>
        <w:t xml:space="preserve">in the home </w:t>
      </w:r>
      <w:r w:rsidR="00172A19" w:rsidRPr="00C14D70">
        <w:rPr>
          <w:rFonts w:asciiTheme="majorBidi" w:hAnsiTheme="majorBidi" w:cstheme="majorBidi"/>
        </w:rPr>
        <w:t>prior to</w:t>
      </w:r>
      <w:r w:rsidR="006075C2" w:rsidRPr="00C14D70">
        <w:rPr>
          <w:rFonts w:asciiTheme="majorBidi" w:hAnsiTheme="majorBidi" w:cstheme="majorBidi"/>
        </w:rPr>
        <w:t xml:space="preserve"> hospital</w:t>
      </w:r>
      <w:r w:rsidR="00172A19" w:rsidRPr="00C14D70">
        <w:rPr>
          <w:rFonts w:asciiTheme="majorBidi" w:hAnsiTheme="majorBidi" w:cstheme="majorBidi"/>
        </w:rPr>
        <w:t xml:space="preserve"> </w:t>
      </w:r>
      <w:r w:rsidR="00BD0CEC" w:rsidRPr="00C14D70">
        <w:rPr>
          <w:rFonts w:asciiTheme="majorBidi" w:hAnsiTheme="majorBidi" w:cstheme="majorBidi"/>
        </w:rPr>
        <w:t>discharge</w:t>
      </w:r>
      <w:r w:rsidR="00172A19" w:rsidRPr="00C14D70">
        <w:rPr>
          <w:rFonts w:asciiTheme="majorBidi" w:hAnsiTheme="majorBidi" w:cstheme="majorBidi"/>
        </w:rPr>
        <w:t xml:space="preserve">. </w:t>
      </w:r>
      <w:r w:rsidR="000F661C" w:rsidRPr="00C14D70">
        <w:rPr>
          <w:rFonts w:asciiTheme="majorBidi" w:hAnsiTheme="majorBidi" w:cstheme="majorBidi"/>
        </w:rPr>
        <w:t xml:space="preserve"> </w:t>
      </w:r>
    </w:p>
    <w:p w14:paraId="43506BCC" w14:textId="6D7325AA" w:rsidR="0045711D" w:rsidRPr="00C14D70" w:rsidRDefault="0045711D" w:rsidP="00D61F07">
      <w:pPr>
        <w:spacing w:after="0" w:line="480" w:lineRule="auto"/>
        <w:rPr>
          <w:rFonts w:asciiTheme="majorBidi" w:hAnsiTheme="majorBidi" w:cstheme="majorBidi"/>
        </w:rPr>
      </w:pPr>
      <w:r w:rsidRPr="00C14D70">
        <w:rPr>
          <w:rFonts w:asciiTheme="majorBidi" w:hAnsiTheme="majorBidi" w:cstheme="majorBidi"/>
        </w:rPr>
        <w:t>T</w:t>
      </w:r>
      <w:r w:rsidR="00BC7394" w:rsidRPr="00C14D70">
        <w:rPr>
          <w:rFonts w:asciiTheme="majorBidi" w:hAnsiTheme="majorBidi" w:cstheme="majorBidi"/>
        </w:rPr>
        <w:t xml:space="preserve">he purpose of this study </w:t>
      </w:r>
      <w:r w:rsidRPr="00C14D70">
        <w:rPr>
          <w:rFonts w:asciiTheme="majorBidi" w:hAnsiTheme="majorBidi" w:cstheme="majorBidi"/>
        </w:rPr>
        <w:t xml:space="preserve">was </w:t>
      </w:r>
      <w:r w:rsidR="00BC7394" w:rsidRPr="00C14D70">
        <w:rPr>
          <w:rFonts w:asciiTheme="majorBidi" w:hAnsiTheme="majorBidi" w:cstheme="majorBidi"/>
        </w:rPr>
        <w:t>to</w:t>
      </w:r>
      <w:r w:rsidRPr="00C14D70">
        <w:rPr>
          <w:rFonts w:asciiTheme="majorBidi" w:hAnsiTheme="majorBidi" w:cstheme="majorBidi"/>
        </w:rPr>
        <w:t>:</w:t>
      </w:r>
    </w:p>
    <w:p w14:paraId="33C7704A" w14:textId="4A58060C" w:rsidR="0045711D" w:rsidRPr="00C14D70" w:rsidRDefault="00BC7394" w:rsidP="00D61F07">
      <w:pPr>
        <w:spacing w:after="0" w:line="480" w:lineRule="auto"/>
        <w:rPr>
          <w:rFonts w:asciiTheme="majorBidi" w:hAnsiTheme="majorBidi" w:cstheme="majorBidi"/>
        </w:rPr>
      </w:pPr>
      <w:r w:rsidRPr="00C14D70">
        <w:rPr>
          <w:rFonts w:asciiTheme="majorBidi" w:hAnsiTheme="majorBidi" w:cstheme="majorBidi"/>
        </w:rPr>
        <w:t xml:space="preserve">(a) </w:t>
      </w:r>
      <w:r w:rsidR="00172A19" w:rsidRPr="00C14D70">
        <w:rPr>
          <w:rFonts w:asciiTheme="majorBidi" w:hAnsiTheme="majorBidi" w:cstheme="majorBidi"/>
        </w:rPr>
        <w:t>E</w:t>
      </w:r>
      <w:r w:rsidRPr="00C14D70">
        <w:rPr>
          <w:rFonts w:asciiTheme="majorBidi" w:hAnsiTheme="majorBidi" w:cstheme="majorBidi"/>
        </w:rPr>
        <w:t>xamine the validity of the COFEE</w:t>
      </w:r>
      <w:r w:rsidR="00920F61" w:rsidRPr="00C14D70">
        <w:rPr>
          <w:rFonts w:asciiTheme="majorBidi" w:hAnsiTheme="majorBidi" w:cstheme="majorBidi"/>
        </w:rPr>
        <w:t>-</w:t>
      </w:r>
      <w:r w:rsidR="006075C2" w:rsidRPr="00C14D70">
        <w:rPr>
          <w:rFonts w:asciiTheme="majorBidi" w:hAnsiTheme="majorBidi" w:cstheme="majorBidi"/>
        </w:rPr>
        <w:t>HD</w:t>
      </w:r>
      <w:r w:rsidR="00BD0CEC" w:rsidRPr="00C14D70">
        <w:rPr>
          <w:rFonts w:asciiTheme="majorBidi" w:hAnsiTheme="majorBidi" w:cstheme="majorBidi"/>
        </w:rPr>
        <w:t xml:space="preserve"> </w:t>
      </w:r>
      <w:r w:rsidR="0045711D" w:rsidRPr="00C14D70">
        <w:rPr>
          <w:rFonts w:asciiTheme="majorBidi" w:hAnsiTheme="majorBidi" w:cstheme="majorBidi"/>
        </w:rPr>
        <w:t xml:space="preserve">when </w:t>
      </w:r>
      <w:r w:rsidRPr="00C14D70">
        <w:rPr>
          <w:rFonts w:asciiTheme="majorBidi" w:hAnsiTheme="majorBidi" w:cstheme="majorBidi"/>
        </w:rPr>
        <w:t xml:space="preserve">compared to accepted </w:t>
      </w:r>
      <w:r w:rsidR="000432FF" w:rsidRPr="00C14D70">
        <w:rPr>
          <w:rFonts w:asciiTheme="majorBidi" w:hAnsiTheme="majorBidi" w:cstheme="majorBidi"/>
        </w:rPr>
        <w:t xml:space="preserve">current </w:t>
      </w:r>
      <w:r w:rsidR="00920F61" w:rsidRPr="00C14D70">
        <w:rPr>
          <w:rFonts w:asciiTheme="majorBidi" w:hAnsiTheme="majorBidi" w:cstheme="majorBidi"/>
        </w:rPr>
        <w:t xml:space="preserve">assessments </w:t>
      </w:r>
      <w:r w:rsidRPr="00C14D70">
        <w:rPr>
          <w:rFonts w:asciiTheme="majorBidi" w:hAnsiTheme="majorBidi" w:cstheme="majorBidi"/>
        </w:rPr>
        <w:t>for older adults hospitalized in geriatric wards</w:t>
      </w:r>
    </w:p>
    <w:p w14:paraId="043B28AA" w14:textId="74E2942D" w:rsidR="006075C2" w:rsidRPr="00C14D70" w:rsidRDefault="00BC7394" w:rsidP="00D61F07">
      <w:pPr>
        <w:spacing w:after="0" w:line="480" w:lineRule="auto"/>
        <w:rPr>
          <w:rFonts w:asciiTheme="majorBidi" w:hAnsiTheme="majorBidi" w:cstheme="majorBidi"/>
        </w:rPr>
      </w:pPr>
      <w:r w:rsidRPr="00C14D70">
        <w:rPr>
          <w:rFonts w:asciiTheme="majorBidi" w:hAnsiTheme="majorBidi" w:cstheme="majorBidi"/>
        </w:rPr>
        <w:t xml:space="preserve"> (b) </w:t>
      </w:r>
      <w:r w:rsidR="00172A19" w:rsidRPr="00C14D70">
        <w:rPr>
          <w:rFonts w:asciiTheme="majorBidi" w:hAnsiTheme="majorBidi" w:cstheme="majorBidi"/>
        </w:rPr>
        <w:t>A</w:t>
      </w:r>
      <w:r w:rsidR="00850BBC" w:rsidRPr="00C14D70">
        <w:rPr>
          <w:rFonts w:asciiTheme="majorBidi" w:hAnsiTheme="majorBidi" w:cstheme="majorBidi"/>
        </w:rPr>
        <w:t>ssess the ability of the COFEE</w:t>
      </w:r>
      <w:r w:rsidR="00BD0CEC" w:rsidRPr="00C14D70">
        <w:rPr>
          <w:rFonts w:asciiTheme="majorBidi" w:hAnsiTheme="majorBidi" w:cstheme="majorBidi"/>
        </w:rPr>
        <w:t>-H</w:t>
      </w:r>
      <w:r w:rsidR="006075C2" w:rsidRPr="00C14D70">
        <w:rPr>
          <w:rFonts w:asciiTheme="majorBidi" w:hAnsiTheme="majorBidi" w:cstheme="majorBidi"/>
        </w:rPr>
        <w:t>D</w:t>
      </w:r>
      <w:r w:rsidR="00850BBC" w:rsidRPr="00C14D70">
        <w:rPr>
          <w:rFonts w:asciiTheme="majorBidi" w:hAnsiTheme="majorBidi" w:cstheme="majorBidi"/>
        </w:rPr>
        <w:t xml:space="preserve"> to predict the capability of hospitalized older adults to </w:t>
      </w:r>
      <w:r w:rsidR="00706108" w:rsidRPr="00C14D70">
        <w:rPr>
          <w:rFonts w:asciiTheme="majorBidi" w:hAnsiTheme="majorBidi" w:cstheme="majorBidi"/>
        </w:rPr>
        <w:t xml:space="preserve">continue </w:t>
      </w:r>
      <w:r w:rsidR="0045711D" w:rsidRPr="00C14D70">
        <w:rPr>
          <w:rFonts w:asciiTheme="majorBidi" w:hAnsiTheme="majorBidi" w:cstheme="majorBidi"/>
        </w:rPr>
        <w:t xml:space="preserve">safe and independent </w:t>
      </w:r>
      <w:r w:rsidR="00850BBC" w:rsidRPr="00C14D70">
        <w:rPr>
          <w:rFonts w:asciiTheme="majorBidi" w:hAnsiTheme="majorBidi" w:cstheme="majorBidi"/>
        </w:rPr>
        <w:t>living</w:t>
      </w:r>
      <w:r w:rsidR="006075C2" w:rsidRPr="00C14D70">
        <w:rPr>
          <w:rFonts w:asciiTheme="majorBidi" w:hAnsiTheme="majorBidi" w:cstheme="majorBidi"/>
        </w:rPr>
        <w:t xml:space="preserve"> at home</w:t>
      </w:r>
    </w:p>
    <w:p w14:paraId="030E50C3" w14:textId="335B6BC6" w:rsidR="001A7EF7" w:rsidRPr="00C14D70" w:rsidRDefault="001A7EF7" w:rsidP="00D61F07">
      <w:pPr>
        <w:spacing w:after="0" w:line="480" w:lineRule="auto"/>
        <w:rPr>
          <w:rFonts w:asciiTheme="majorBidi" w:hAnsiTheme="majorBidi" w:cstheme="majorBidi"/>
        </w:rPr>
      </w:pPr>
    </w:p>
    <w:p w14:paraId="4804E8B4" w14:textId="50E0C003" w:rsidR="004461DD" w:rsidRPr="00C14D70" w:rsidRDefault="000E0774" w:rsidP="00D61F07">
      <w:pPr>
        <w:spacing w:after="0" w:line="480" w:lineRule="auto"/>
        <w:rPr>
          <w:rFonts w:asciiTheme="majorBidi" w:hAnsiTheme="majorBidi" w:cstheme="majorBidi"/>
          <w:b/>
          <w:bCs/>
        </w:rPr>
      </w:pPr>
      <w:r w:rsidRPr="00C14D70">
        <w:rPr>
          <w:rFonts w:asciiTheme="majorBidi" w:hAnsiTheme="majorBidi" w:cstheme="majorBidi"/>
          <w:b/>
          <w:bCs/>
        </w:rPr>
        <w:t>Method</w:t>
      </w:r>
      <w:r w:rsidR="0045711D" w:rsidRPr="00C14D70">
        <w:rPr>
          <w:rFonts w:asciiTheme="majorBidi" w:hAnsiTheme="majorBidi" w:cstheme="majorBidi"/>
          <w:b/>
          <w:bCs/>
        </w:rPr>
        <w:t>s</w:t>
      </w:r>
    </w:p>
    <w:p w14:paraId="3041C943" w14:textId="3AF4B9C8" w:rsidR="00FE7D7B" w:rsidRPr="00C14D70" w:rsidRDefault="00556CE8" w:rsidP="00D61F07">
      <w:pPr>
        <w:spacing w:line="480" w:lineRule="auto"/>
        <w:rPr>
          <w:rFonts w:asciiTheme="majorBidi" w:hAnsiTheme="majorBidi" w:cstheme="majorBidi"/>
        </w:rPr>
      </w:pPr>
      <w:r w:rsidRPr="00C14D70">
        <w:rPr>
          <w:rFonts w:asciiTheme="majorBidi" w:hAnsiTheme="majorBidi" w:cstheme="majorBidi"/>
        </w:rPr>
        <w:t>Inclusion criteria</w:t>
      </w:r>
      <w:r w:rsidR="00D473C9" w:rsidRPr="00C14D70">
        <w:rPr>
          <w:rFonts w:asciiTheme="majorBidi" w:hAnsiTheme="majorBidi" w:cstheme="majorBidi"/>
        </w:rPr>
        <w:t xml:space="preserve"> for this longitudinal study</w:t>
      </w:r>
      <w:r w:rsidR="00A64DB8" w:rsidRPr="00C14D70">
        <w:rPr>
          <w:rFonts w:asciiTheme="majorBidi" w:hAnsiTheme="majorBidi" w:cstheme="majorBidi"/>
        </w:rPr>
        <w:t xml:space="preserve"> from </w:t>
      </w:r>
      <w:r w:rsidR="0020267F" w:rsidRPr="00C14D70">
        <w:rPr>
          <w:rFonts w:asciiTheme="majorBidi" w:hAnsiTheme="majorBidi" w:cstheme="majorBidi"/>
        </w:rPr>
        <w:t>March</w:t>
      </w:r>
      <w:r w:rsidR="00A64DB8" w:rsidRPr="00C14D70">
        <w:rPr>
          <w:rFonts w:asciiTheme="majorBidi" w:hAnsiTheme="majorBidi" w:cstheme="majorBidi"/>
        </w:rPr>
        <w:t xml:space="preserve">, 2018 to </w:t>
      </w:r>
      <w:r w:rsidR="0020267F" w:rsidRPr="00C14D70">
        <w:rPr>
          <w:rFonts w:asciiTheme="majorBidi" w:hAnsiTheme="majorBidi" w:cstheme="majorBidi"/>
        </w:rPr>
        <w:t>December</w:t>
      </w:r>
      <w:r w:rsidR="00A64DB8" w:rsidRPr="00C14D70">
        <w:rPr>
          <w:rFonts w:asciiTheme="majorBidi" w:hAnsiTheme="majorBidi" w:cstheme="majorBidi"/>
        </w:rPr>
        <w:t>, 2019</w:t>
      </w:r>
      <w:r w:rsidR="00D473C9" w:rsidRPr="00C14D70">
        <w:rPr>
          <w:rFonts w:asciiTheme="majorBidi" w:hAnsiTheme="majorBidi" w:cstheme="majorBidi"/>
          <w:color w:val="0070C0"/>
        </w:rPr>
        <w:t xml:space="preserve"> </w:t>
      </w:r>
      <w:r w:rsidRPr="00C14D70">
        <w:rPr>
          <w:rFonts w:asciiTheme="majorBidi" w:hAnsiTheme="majorBidi" w:cstheme="majorBidi"/>
        </w:rPr>
        <w:t>were adults</w:t>
      </w:r>
      <w:r w:rsidR="00D473C9" w:rsidRPr="00C14D70">
        <w:rPr>
          <w:rFonts w:asciiTheme="majorBidi" w:hAnsiTheme="majorBidi" w:cstheme="majorBidi"/>
        </w:rPr>
        <w:t xml:space="preserve"> </w:t>
      </w:r>
      <w:r w:rsidRPr="00C14D70">
        <w:rPr>
          <w:rFonts w:asciiTheme="majorBidi" w:hAnsiTheme="majorBidi" w:cstheme="majorBidi"/>
        </w:rPr>
        <w:t>65 and</w:t>
      </w:r>
      <w:r w:rsidRPr="00C14D70">
        <w:rPr>
          <w:rFonts w:asciiTheme="majorBidi" w:eastAsia="Times New Roman" w:hAnsiTheme="majorBidi" w:cstheme="majorBidi"/>
        </w:rPr>
        <w:t xml:space="preserve"> </w:t>
      </w:r>
      <w:r w:rsidR="00BD0CEC" w:rsidRPr="00C14D70">
        <w:rPr>
          <w:rFonts w:asciiTheme="majorBidi" w:eastAsia="Times New Roman" w:hAnsiTheme="majorBidi" w:cstheme="majorBidi"/>
        </w:rPr>
        <w:t>older</w:t>
      </w:r>
      <w:r w:rsidRPr="00C14D70">
        <w:rPr>
          <w:rFonts w:asciiTheme="majorBidi" w:eastAsia="Times New Roman" w:hAnsiTheme="majorBidi" w:cstheme="majorBidi"/>
        </w:rPr>
        <w:t>,</w:t>
      </w:r>
      <w:r w:rsidR="00F43BAF" w:rsidRPr="00C14D70">
        <w:rPr>
          <w:rFonts w:asciiTheme="majorBidi" w:eastAsia="Times New Roman" w:hAnsiTheme="majorBidi" w:cstheme="majorBidi"/>
        </w:rPr>
        <w:t xml:space="preserve"> </w:t>
      </w:r>
      <w:r w:rsidR="00727B06" w:rsidRPr="00C14D70">
        <w:rPr>
          <w:rFonts w:asciiTheme="majorBidi" w:eastAsia="Times New Roman" w:hAnsiTheme="majorBidi" w:cstheme="majorBidi"/>
        </w:rPr>
        <w:t xml:space="preserve">who were </w:t>
      </w:r>
      <w:r w:rsidR="00F43BAF" w:rsidRPr="00C14D70">
        <w:rPr>
          <w:rFonts w:asciiTheme="majorBidi" w:eastAsia="Times New Roman" w:hAnsiTheme="majorBidi" w:cstheme="majorBidi"/>
        </w:rPr>
        <w:t>hospitalized in a geriatric rehabilitation ward</w:t>
      </w:r>
      <w:r w:rsidRPr="00C14D70">
        <w:rPr>
          <w:rFonts w:asciiTheme="majorBidi" w:eastAsia="Times New Roman" w:hAnsiTheme="majorBidi" w:cstheme="majorBidi"/>
        </w:rPr>
        <w:t xml:space="preserve"> </w:t>
      </w:r>
      <w:r w:rsidR="00BD0CEC" w:rsidRPr="00C14D70">
        <w:rPr>
          <w:rFonts w:asciiTheme="majorBidi" w:eastAsia="Times New Roman" w:hAnsiTheme="majorBidi" w:cstheme="majorBidi"/>
        </w:rPr>
        <w:t xml:space="preserve">and could communicate in Hebrew. </w:t>
      </w:r>
      <w:r w:rsidRPr="00C14D70">
        <w:rPr>
          <w:rFonts w:asciiTheme="majorBidi" w:hAnsiTheme="majorBidi" w:cstheme="majorBidi"/>
        </w:rPr>
        <w:t xml:space="preserve">Exclusion criteria were Mini Mental State Examination (MMSE) </w:t>
      </w:r>
      <w:r w:rsidR="00E23BB0">
        <w:rPr>
          <w:rFonts w:asciiTheme="majorBidi" w:hAnsiTheme="majorBidi" w:cstheme="majorBidi"/>
        </w:rPr>
        <w:t>(</w:t>
      </w:r>
      <w:proofErr w:type="spellStart"/>
      <w:r w:rsidR="00D51235" w:rsidRPr="00C14D70">
        <w:rPr>
          <w:rFonts w:asciiTheme="majorBidi" w:hAnsiTheme="majorBidi" w:cstheme="majorBidi"/>
        </w:rPr>
        <w:t>Folstein</w:t>
      </w:r>
      <w:proofErr w:type="spellEnd"/>
      <w:r w:rsidR="00D51235">
        <w:rPr>
          <w:rFonts w:asciiTheme="majorBidi" w:hAnsiTheme="majorBidi" w:cstheme="majorBidi"/>
        </w:rPr>
        <w:t xml:space="preserve"> </w:t>
      </w:r>
      <w:r w:rsidR="00A81D4D">
        <w:rPr>
          <w:rFonts w:asciiTheme="majorBidi" w:hAnsiTheme="majorBidi" w:cstheme="majorBidi"/>
        </w:rPr>
        <w:t>et al.</w:t>
      </w:r>
      <w:r w:rsidR="00D51235" w:rsidRPr="00C14D70">
        <w:rPr>
          <w:rFonts w:asciiTheme="majorBidi" w:hAnsiTheme="majorBidi" w:cstheme="majorBidi"/>
        </w:rPr>
        <w:t xml:space="preserve">, </w:t>
      </w:r>
      <w:r w:rsidR="0019224E" w:rsidRPr="00C14D70">
        <w:rPr>
          <w:rFonts w:asciiTheme="majorBidi" w:hAnsiTheme="majorBidi" w:cstheme="majorBidi"/>
        </w:rPr>
        <w:t>1975) s</w:t>
      </w:r>
      <w:r w:rsidRPr="00C14D70">
        <w:rPr>
          <w:rFonts w:asciiTheme="majorBidi" w:hAnsiTheme="majorBidi" w:cstheme="majorBidi"/>
        </w:rPr>
        <w:t xml:space="preserve">core </w:t>
      </w:r>
      <w:r w:rsidR="00D473C9" w:rsidRPr="00C14D70">
        <w:rPr>
          <w:rFonts w:asciiTheme="majorBidi" w:hAnsiTheme="majorBidi" w:cstheme="majorBidi"/>
          <w:rtl/>
        </w:rPr>
        <w:t>&gt;</w:t>
      </w:r>
      <w:r w:rsidRPr="00C14D70">
        <w:rPr>
          <w:rFonts w:asciiTheme="majorBidi" w:hAnsiTheme="majorBidi" w:cstheme="majorBidi"/>
        </w:rPr>
        <w:t>10, aphasia, restrain</w:t>
      </w:r>
      <w:r w:rsidR="00727B06" w:rsidRPr="00C14D70">
        <w:rPr>
          <w:rFonts w:asciiTheme="majorBidi" w:hAnsiTheme="majorBidi" w:cstheme="majorBidi"/>
        </w:rPr>
        <w:t>ed to the bed</w:t>
      </w:r>
      <w:r w:rsidRPr="00C14D70">
        <w:rPr>
          <w:rFonts w:asciiTheme="majorBidi" w:hAnsiTheme="majorBidi" w:cstheme="majorBidi"/>
        </w:rPr>
        <w:t>, and</w:t>
      </w:r>
      <w:r w:rsidR="0019224E" w:rsidRPr="00C14D70">
        <w:rPr>
          <w:rFonts w:asciiTheme="majorBidi" w:hAnsiTheme="majorBidi" w:cstheme="majorBidi"/>
        </w:rPr>
        <w:t>/or</w:t>
      </w:r>
      <w:r w:rsidRPr="00C14D70">
        <w:rPr>
          <w:rFonts w:asciiTheme="majorBidi" w:hAnsiTheme="majorBidi" w:cstheme="majorBidi"/>
        </w:rPr>
        <w:t xml:space="preserve"> those </w:t>
      </w:r>
      <w:r w:rsidR="00D473C9" w:rsidRPr="00C14D70">
        <w:rPr>
          <w:rFonts w:asciiTheme="majorBidi" w:hAnsiTheme="majorBidi" w:cstheme="majorBidi"/>
        </w:rPr>
        <w:t xml:space="preserve">already receiving </w:t>
      </w:r>
      <w:r w:rsidR="00BD0CEC" w:rsidRPr="00C14D70">
        <w:rPr>
          <w:rFonts w:asciiTheme="majorBidi" w:hAnsiTheme="majorBidi" w:cstheme="majorBidi"/>
        </w:rPr>
        <w:t>24-hour</w:t>
      </w:r>
      <w:r w:rsidR="00D473C9" w:rsidRPr="00C14D70">
        <w:rPr>
          <w:rFonts w:asciiTheme="majorBidi" w:hAnsiTheme="majorBidi" w:cstheme="majorBidi"/>
        </w:rPr>
        <w:t xml:space="preserve"> assistance from a </w:t>
      </w:r>
      <w:r w:rsidRPr="00C14D70">
        <w:rPr>
          <w:rFonts w:asciiTheme="majorBidi" w:hAnsiTheme="majorBidi" w:cstheme="majorBidi"/>
        </w:rPr>
        <w:t xml:space="preserve">live-in caregiver </w:t>
      </w:r>
      <w:r w:rsidR="00D473C9" w:rsidRPr="00C14D70">
        <w:rPr>
          <w:rFonts w:asciiTheme="majorBidi" w:hAnsiTheme="majorBidi" w:cstheme="majorBidi"/>
        </w:rPr>
        <w:t xml:space="preserve">prior to this </w:t>
      </w:r>
      <w:r w:rsidRPr="00C14D70">
        <w:rPr>
          <w:rFonts w:asciiTheme="majorBidi" w:hAnsiTheme="majorBidi" w:cstheme="majorBidi"/>
          <w:color w:val="222222"/>
          <w:lang w:val="en"/>
        </w:rPr>
        <w:t>hospitalization</w:t>
      </w:r>
      <w:r w:rsidRPr="00C14D70">
        <w:rPr>
          <w:rFonts w:asciiTheme="majorBidi" w:hAnsiTheme="majorBidi" w:cstheme="majorBidi"/>
          <w:color w:val="222222"/>
        </w:rPr>
        <w:t xml:space="preserve">. </w:t>
      </w:r>
    </w:p>
    <w:p w14:paraId="0CF87F7D" w14:textId="3BA54652" w:rsidR="002523B8" w:rsidRPr="00C14D70" w:rsidRDefault="004E72D5" w:rsidP="00D61F07">
      <w:pPr>
        <w:spacing w:line="480" w:lineRule="auto"/>
        <w:rPr>
          <w:rFonts w:asciiTheme="majorBidi" w:hAnsiTheme="majorBidi" w:cstheme="majorBidi"/>
        </w:rPr>
      </w:pPr>
      <w:r w:rsidRPr="00C14D70">
        <w:rPr>
          <w:rFonts w:asciiTheme="majorBidi" w:hAnsiTheme="majorBidi" w:cstheme="majorBidi"/>
        </w:rPr>
        <w:t xml:space="preserve">Study </w:t>
      </w:r>
      <w:r w:rsidR="005559C6" w:rsidRPr="00C14D70">
        <w:rPr>
          <w:rFonts w:asciiTheme="majorBidi" w:hAnsiTheme="majorBidi" w:cstheme="majorBidi"/>
        </w:rPr>
        <w:t>Instruments</w:t>
      </w:r>
    </w:p>
    <w:p w14:paraId="343F9C9A" w14:textId="6460F870" w:rsidR="00556CE8" w:rsidRDefault="00A36EFC" w:rsidP="00D61F07">
      <w:pPr>
        <w:spacing w:line="480" w:lineRule="auto"/>
        <w:rPr>
          <w:rFonts w:asciiTheme="majorBidi" w:hAnsiTheme="majorBidi" w:cstheme="majorBidi"/>
        </w:rPr>
      </w:pPr>
      <w:r w:rsidRPr="00C14D70">
        <w:rPr>
          <w:rFonts w:asciiTheme="majorBidi" w:hAnsiTheme="majorBidi" w:cstheme="majorBidi"/>
          <w:b/>
          <w:bCs/>
        </w:rPr>
        <w:t>Cognitive OT Functional Evaluation of the Elderly in the Hospital</w:t>
      </w:r>
      <w:r w:rsidR="002F7A38" w:rsidRPr="00C14D70">
        <w:rPr>
          <w:rFonts w:asciiTheme="majorBidi" w:hAnsiTheme="majorBidi" w:cstheme="majorBidi"/>
          <w:b/>
          <w:bCs/>
        </w:rPr>
        <w:t xml:space="preserve"> (COFEE – </w:t>
      </w:r>
      <w:r w:rsidR="00727B06" w:rsidRPr="00C14D70">
        <w:rPr>
          <w:rFonts w:asciiTheme="majorBidi" w:hAnsiTheme="majorBidi" w:cstheme="majorBidi"/>
          <w:b/>
          <w:bCs/>
        </w:rPr>
        <w:t>HD</w:t>
      </w:r>
      <w:r w:rsidR="002F7A38" w:rsidRPr="00C14D70">
        <w:rPr>
          <w:rFonts w:asciiTheme="majorBidi" w:hAnsiTheme="majorBidi" w:cstheme="majorBidi"/>
          <w:b/>
          <w:bCs/>
        </w:rPr>
        <w:t>)</w:t>
      </w:r>
      <w:r w:rsidRPr="00C14D70">
        <w:rPr>
          <w:rFonts w:asciiTheme="majorBidi" w:hAnsiTheme="majorBidi" w:cstheme="majorBidi"/>
          <w:b/>
          <w:bCs/>
        </w:rPr>
        <w:t xml:space="preserve">: </w:t>
      </w:r>
      <w:r w:rsidRPr="00C14D70">
        <w:rPr>
          <w:rFonts w:asciiTheme="majorBidi" w:hAnsiTheme="majorBidi" w:cstheme="majorBidi"/>
        </w:rPr>
        <w:t>COFEE</w:t>
      </w:r>
      <w:r w:rsidR="00013F88" w:rsidRPr="00C14D70">
        <w:rPr>
          <w:rFonts w:asciiTheme="majorBidi" w:hAnsiTheme="majorBidi" w:cstheme="majorBidi"/>
        </w:rPr>
        <w:t xml:space="preserve"> </w:t>
      </w:r>
      <w:r w:rsidRPr="00C14D70">
        <w:rPr>
          <w:rFonts w:asciiTheme="majorBidi" w:hAnsiTheme="majorBidi" w:cstheme="majorBidi"/>
        </w:rPr>
        <w:t xml:space="preserve">is a composite tool created to </w:t>
      </w:r>
      <w:r w:rsidR="00DE031B">
        <w:rPr>
          <w:rFonts w:asciiTheme="majorBidi" w:hAnsiTheme="majorBidi" w:cstheme="majorBidi"/>
        </w:rPr>
        <w:t>holistically, and effectively,</w:t>
      </w:r>
      <w:r w:rsidRPr="00C14D70">
        <w:rPr>
          <w:rFonts w:asciiTheme="majorBidi" w:hAnsiTheme="majorBidi" w:cstheme="majorBidi"/>
        </w:rPr>
        <w:t xml:space="preserve"> evaluate an older person’s ability to </w:t>
      </w:r>
      <w:r w:rsidR="00920F61" w:rsidRPr="00C14D70">
        <w:rPr>
          <w:rFonts w:asciiTheme="majorBidi" w:hAnsiTheme="majorBidi" w:cstheme="majorBidi"/>
        </w:rPr>
        <w:lastRenderedPageBreak/>
        <w:t xml:space="preserve">live </w:t>
      </w:r>
      <w:r w:rsidRPr="00C14D70">
        <w:rPr>
          <w:rFonts w:asciiTheme="majorBidi" w:hAnsiTheme="majorBidi" w:cstheme="majorBidi"/>
        </w:rPr>
        <w:t>independe</w:t>
      </w:r>
      <w:r w:rsidR="00920F61" w:rsidRPr="00C14D70">
        <w:rPr>
          <w:rFonts w:asciiTheme="majorBidi" w:hAnsiTheme="majorBidi" w:cstheme="majorBidi"/>
        </w:rPr>
        <w:t>ntly</w:t>
      </w:r>
      <w:r w:rsidR="005D1C4A">
        <w:rPr>
          <w:rFonts w:asciiTheme="majorBidi" w:hAnsiTheme="majorBidi" w:cstheme="majorBidi"/>
        </w:rPr>
        <w:t xml:space="preserve"> and safe</w:t>
      </w:r>
      <w:r w:rsidR="00DE031B">
        <w:rPr>
          <w:rFonts w:asciiTheme="majorBidi" w:hAnsiTheme="majorBidi" w:cstheme="majorBidi"/>
        </w:rPr>
        <w:t>ly</w:t>
      </w:r>
      <w:r w:rsidR="005D1C4A">
        <w:rPr>
          <w:rFonts w:asciiTheme="majorBidi" w:hAnsiTheme="majorBidi" w:cstheme="majorBidi"/>
        </w:rPr>
        <w:t xml:space="preserve"> </w:t>
      </w:r>
      <w:r w:rsidRPr="00C14D70">
        <w:rPr>
          <w:rFonts w:asciiTheme="majorBidi" w:hAnsiTheme="majorBidi" w:cstheme="majorBidi"/>
        </w:rPr>
        <w:t>at home</w:t>
      </w:r>
      <w:r w:rsidR="00230C2C">
        <w:rPr>
          <w:rFonts w:asciiTheme="majorBidi" w:hAnsiTheme="majorBidi" w:cstheme="majorBidi"/>
        </w:rPr>
        <w:t>,</w:t>
      </w:r>
      <w:r w:rsidR="00DE031B">
        <w:rPr>
          <w:rFonts w:asciiTheme="majorBidi" w:hAnsiTheme="majorBidi" w:cstheme="majorBidi"/>
        </w:rPr>
        <w:t xml:space="preserve"> and act as a foundation</w:t>
      </w:r>
      <w:r w:rsidR="00D61F07" w:rsidRPr="00C14D70">
        <w:rPr>
          <w:rFonts w:asciiTheme="majorBidi" w:hAnsiTheme="majorBidi" w:cstheme="majorBidi"/>
        </w:rPr>
        <w:t xml:space="preserve"> on which to base </w:t>
      </w:r>
      <w:r w:rsidR="00DE031B">
        <w:rPr>
          <w:rFonts w:asciiTheme="majorBidi" w:hAnsiTheme="majorBidi" w:cstheme="majorBidi"/>
        </w:rPr>
        <w:t xml:space="preserve">future </w:t>
      </w:r>
      <w:r w:rsidR="00D61F07" w:rsidRPr="00C14D70">
        <w:rPr>
          <w:rFonts w:asciiTheme="majorBidi" w:hAnsiTheme="majorBidi" w:cstheme="majorBidi"/>
        </w:rPr>
        <w:t>recommendations</w:t>
      </w:r>
      <w:r w:rsidR="005E478F">
        <w:rPr>
          <w:rFonts w:asciiTheme="majorBidi" w:hAnsiTheme="majorBidi" w:cstheme="majorBidi"/>
        </w:rPr>
        <w:t xml:space="preserve">. </w:t>
      </w:r>
      <w:r w:rsidR="00DE031B">
        <w:rPr>
          <w:rFonts w:asciiTheme="majorBidi" w:hAnsiTheme="majorBidi" w:cstheme="majorBidi"/>
        </w:rPr>
        <w:t>The evaluation</w:t>
      </w:r>
      <w:r w:rsidR="005D1C4A">
        <w:rPr>
          <w:rFonts w:asciiTheme="majorBidi" w:hAnsiTheme="majorBidi" w:cstheme="majorBidi"/>
        </w:rPr>
        <w:t xml:space="preserve"> </w:t>
      </w:r>
      <w:r w:rsidR="004E72D5" w:rsidRPr="00C14D70">
        <w:rPr>
          <w:rFonts w:asciiTheme="majorBidi" w:hAnsiTheme="majorBidi" w:cstheme="majorBidi"/>
        </w:rPr>
        <w:t>consists</w:t>
      </w:r>
      <w:r w:rsidR="00A664F0" w:rsidRPr="00C14D70">
        <w:rPr>
          <w:rFonts w:asciiTheme="majorBidi" w:hAnsiTheme="majorBidi" w:cstheme="majorBidi"/>
        </w:rPr>
        <w:t xml:space="preserve"> of three sections</w:t>
      </w:r>
      <w:r w:rsidR="006075C2" w:rsidRPr="00C14D70">
        <w:rPr>
          <w:rFonts w:asciiTheme="majorBidi" w:hAnsiTheme="majorBidi" w:cstheme="majorBidi"/>
        </w:rPr>
        <w:t>:</w:t>
      </w:r>
      <w:r w:rsidR="000F661C" w:rsidRPr="00C14D70">
        <w:rPr>
          <w:rFonts w:asciiTheme="majorBidi" w:hAnsiTheme="majorBidi" w:cstheme="majorBidi"/>
        </w:rPr>
        <w:t xml:space="preserve"> 1) function BADL and IADL</w:t>
      </w:r>
      <w:r w:rsidR="006075C2" w:rsidRPr="00C14D70">
        <w:rPr>
          <w:rFonts w:asciiTheme="majorBidi" w:hAnsiTheme="majorBidi" w:cstheme="majorBidi"/>
        </w:rPr>
        <w:t xml:space="preserve"> </w:t>
      </w:r>
      <w:r w:rsidR="000F661C" w:rsidRPr="00C14D70">
        <w:rPr>
          <w:rFonts w:asciiTheme="majorBidi" w:hAnsiTheme="majorBidi" w:cstheme="majorBidi"/>
        </w:rPr>
        <w:t>2</w:t>
      </w:r>
      <w:r w:rsidR="004E72D5" w:rsidRPr="00C14D70">
        <w:rPr>
          <w:rFonts w:asciiTheme="majorBidi" w:hAnsiTheme="majorBidi" w:cstheme="majorBidi"/>
        </w:rPr>
        <w:t xml:space="preserve">) </w:t>
      </w:r>
      <w:r w:rsidR="000F661C" w:rsidRPr="00C14D70">
        <w:rPr>
          <w:rFonts w:asciiTheme="majorBidi" w:hAnsiTheme="majorBidi" w:cstheme="majorBidi"/>
        </w:rPr>
        <w:t xml:space="preserve">personal and environmental safety and 3) </w:t>
      </w:r>
      <w:r w:rsidR="00A664F0" w:rsidRPr="00C14D70">
        <w:rPr>
          <w:rFonts w:asciiTheme="majorBidi" w:hAnsiTheme="majorBidi" w:cstheme="majorBidi"/>
        </w:rPr>
        <w:t xml:space="preserve">current </w:t>
      </w:r>
      <w:r w:rsidR="000F661C" w:rsidRPr="00C14D70">
        <w:rPr>
          <w:rFonts w:asciiTheme="majorBidi" w:hAnsiTheme="majorBidi" w:cstheme="majorBidi"/>
        </w:rPr>
        <w:t xml:space="preserve">meta </w:t>
      </w:r>
      <w:r w:rsidR="00A664F0" w:rsidRPr="00C14D70">
        <w:rPr>
          <w:rFonts w:asciiTheme="majorBidi" w:hAnsiTheme="majorBidi" w:cstheme="majorBidi"/>
        </w:rPr>
        <w:t>cognitive function</w:t>
      </w:r>
      <w:r w:rsidR="00B6478E" w:rsidRPr="00C14D70">
        <w:rPr>
          <w:rFonts w:asciiTheme="majorBidi" w:hAnsiTheme="majorBidi" w:cstheme="majorBidi"/>
        </w:rPr>
        <w:t xml:space="preserve"> (awareness</w:t>
      </w:r>
      <w:r w:rsidR="00DE031B">
        <w:rPr>
          <w:rFonts w:asciiTheme="majorBidi" w:hAnsiTheme="majorBidi" w:cstheme="majorBidi"/>
        </w:rPr>
        <w:t>/</w:t>
      </w:r>
      <w:r w:rsidR="00484B86">
        <w:rPr>
          <w:rFonts w:asciiTheme="majorBidi" w:hAnsiTheme="majorBidi" w:cstheme="majorBidi" w:hint="cs"/>
        </w:rPr>
        <w:t>E</w:t>
      </w:r>
      <w:r w:rsidR="00DE031B">
        <w:rPr>
          <w:rFonts w:asciiTheme="majorBidi" w:hAnsiTheme="majorBidi" w:cstheme="majorBidi"/>
        </w:rPr>
        <w:t xml:space="preserve">xecutive </w:t>
      </w:r>
      <w:r w:rsidR="00484B86">
        <w:rPr>
          <w:rFonts w:asciiTheme="majorBidi" w:hAnsiTheme="majorBidi" w:cstheme="majorBidi"/>
        </w:rPr>
        <w:t>F</w:t>
      </w:r>
      <w:r w:rsidR="00DE031B">
        <w:rPr>
          <w:rFonts w:asciiTheme="majorBidi" w:hAnsiTheme="majorBidi" w:cstheme="majorBidi"/>
        </w:rPr>
        <w:t>unction</w:t>
      </w:r>
      <w:r w:rsidR="00484B86">
        <w:rPr>
          <w:rFonts w:asciiTheme="majorBidi" w:hAnsiTheme="majorBidi" w:cstheme="majorBidi"/>
        </w:rPr>
        <w:t>-</w:t>
      </w:r>
      <w:r w:rsidR="00230C2C">
        <w:rPr>
          <w:rFonts w:asciiTheme="majorBidi" w:hAnsiTheme="majorBidi" w:cstheme="majorBidi"/>
        </w:rPr>
        <w:t>(</w:t>
      </w:r>
      <w:r w:rsidR="00484B86">
        <w:rPr>
          <w:rFonts w:asciiTheme="majorBidi" w:hAnsiTheme="majorBidi" w:cstheme="majorBidi"/>
        </w:rPr>
        <w:t>EF</w:t>
      </w:r>
      <w:r w:rsidR="00B6478E" w:rsidRPr="00C14D70">
        <w:rPr>
          <w:rFonts w:asciiTheme="majorBidi" w:hAnsiTheme="majorBidi" w:cstheme="majorBidi"/>
        </w:rPr>
        <w:t>)</w:t>
      </w:r>
      <w:r w:rsidR="006075C2" w:rsidRPr="00C14D70">
        <w:rPr>
          <w:rFonts w:asciiTheme="majorBidi" w:hAnsiTheme="majorBidi" w:cstheme="majorBidi"/>
        </w:rPr>
        <w:t>.</w:t>
      </w:r>
      <w:r w:rsidR="00A664F0" w:rsidRPr="00C14D70">
        <w:rPr>
          <w:rFonts w:asciiTheme="majorBidi" w:hAnsiTheme="majorBidi" w:cstheme="majorBidi"/>
        </w:rPr>
        <w:t xml:space="preserve"> </w:t>
      </w:r>
      <w:r w:rsidR="009A322D">
        <w:rPr>
          <w:rFonts w:asciiTheme="majorBidi" w:hAnsiTheme="majorBidi" w:cstheme="majorBidi"/>
        </w:rPr>
        <w:t>V</w:t>
      </w:r>
      <w:r w:rsidR="009A322D" w:rsidRPr="00C14D70">
        <w:rPr>
          <w:rFonts w:asciiTheme="majorBidi" w:hAnsiTheme="majorBidi" w:cstheme="majorBidi"/>
        </w:rPr>
        <w:t xml:space="preserve">alidity </w:t>
      </w:r>
      <w:r w:rsidRPr="00C14D70">
        <w:rPr>
          <w:rFonts w:asciiTheme="majorBidi" w:hAnsiTheme="majorBidi" w:cstheme="majorBidi"/>
        </w:rPr>
        <w:t xml:space="preserve">was established </w:t>
      </w:r>
      <w:r w:rsidR="002F7A38" w:rsidRPr="00C14D70">
        <w:rPr>
          <w:rFonts w:asciiTheme="majorBidi" w:hAnsiTheme="majorBidi" w:cstheme="majorBidi"/>
        </w:rPr>
        <w:t>(</w:t>
      </w:r>
      <w:proofErr w:type="spellStart"/>
      <w:r w:rsidR="002F7A38" w:rsidRPr="00C14D70">
        <w:rPr>
          <w:rFonts w:asciiTheme="majorBidi" w:hAnsiTheme="majorBidi" w:cstheme="majorBidi"/>
        </w:rPr>
        <w:t>Zilbershlag</w:t>
      </w:r>
      <w:proofErr w:type="spellEnd"/>
      <w:r w:rsidR="002F7A38" w:rsidRPr="00C14D70">
        <w:rPr>
          <w:rFonts w:asciiTheme="majorBidi" w:hAnsiTheme="majorBidi" w:cstheme="majorBidi"/>
        </w:rPr>
        <w:t xml:space="preserve"> &amp; </w:t>
      </w:r>
      <w:proofErr w:type="spellStart"/>
      <w:r w:rsidR="002F7A38" w:rsidRPr="00C14D70">
        <w:rPr>
          <w:rFonts w:asciiTheme="majorBidi" w:hAnsiTheme="majorBidi" w:cstheme="majorBidi"/>
        </w:rPr>
        <w:t>Josman</w:t>
      </w:r>
      <w:proofErr w:type="spellEnd"/>
      <w:r w:rsidR="002F7A38" w:rsidRPr="00C14D70">
        <w:rPr>
          <w:rFonts w:asciiTheme="majorBidi" w:hAnsiTheme="majorBidi" w:cstheme="majorBidi"/>
        </w:rPr>
        <w:t xml:space="preserve">, </w:t>
      </w:r>
      <w:r w:rsidR="002F7A38" w:rsidRPr="00581044">
        <w:rPr>
          <w:rFonts w:asciiTheme="majorBidi" w:hAnsiTheme="majorBidi" w:cstheme="majorBidi"/>
        </w:rPr>
        <w:t>2019</w:t>
      </w:r>
      <w:r w:rsidR="002F7A38" w:rsidRPr="003A75A1">
        <w:rPr>
          <w:rFonts w:asciiTheme="majorBidi" w:hAnsiTheme="majorBidi" w:cstheme="majorBidi"/>
        </w:rPr>
        <w:t xml:space="preserve">) </w:t>
      </w:r>
      <w:r w:rsidRPr="003A75A1">
        <w:rPr>
          <w:rFonts w:asciiTheme="majorBidi" w:hAnsiTheme="majorBidi" w:cstheme="majorBidi"/>
        </w:rPr>
        <w:t xml:space="preserve">for </w:t>
      </w:r>
      <w:r w:rsidR="002F7A38" w:rsidRPr="003A75A1">
        <w:rPr>
          <w:rFonts w:asciiTheme="majorBidi" w:hAnsiTheme="majorBidi" w:cstheme="majorBidi"/>
        </w:rPr>
        <w:t>home</w:t>
      </w:r>
      <w:r w:rsidR="002F7A38" w:rsidRPr="00581044">
        <w:rPr>
          <w:rFonts w:asciiTheme="majorBidi" w:hAnsiTheme="majorBidi" w:cstheme="majorBidi"/>
        </w:rPr>
        <w:t xml:space="preserve"> </w:t>
      </w:r>
      <w:r w:rsidR="000F661C" w:rsidRPr="00581044">
        <w:rPr>
          <w:rFonts w:asciiTheme="majorBidi" w:hAnsiTheme="majorBidi" w:cstheme="majorBidi"/>
        </w:rPr>
        <w:t>evaluation</w:t>
      </w:r>
      <w:r w:rsidR="002F7A38" w:rsidRPr="00C14D70">
        <w:rPr>
          <w:rFonts w:asciiTheme="majorBidi" w:hAnsiTheme="majorBidi" w:cstheme="majorBidi"/>
        </w:rPr>
        <w:t xml:space="preserve">. </w:t>
      </w:r>
      <w:r w:rsidR="004E72D5" w:rsidRPr="00C14D70">
        <w:rPr>
          <w:rFonts w:asciiTheme="majorBidi" w:hAnsiTheme="majorBidi" w:cstheme="majorBidi"/>
        </w:rPr>
        <w:t>The COFEE –H</w:t>
      </w:r>
      <w:r w:rsidR="000F661C" w:rsidRPr="00C14D70">
        <w:rPr>
          <w:rFonts w:asciiTheme="majorBidi" w:hAnsiTheme="majorBidi" w:cstheme="majorBidi"/>
        </w:rPr>
        <w:t>D</w:t>
      </w:r>
      <w:r w:rsidR="004E72D5" w:rsidRPr="00C14D70">
        <w:rPr>
          <w:rFonts w:asciiTheme="majorBidi" w:hAnsiTheme="majorBidi" w:cstheme="majorBidi"/>
        </w:rPr>
        <w:t xml:space="preserve"> is a modified version of the COFEE </w:t>
      </w:r>
      <w:r w:rsidR="0020267F" w:rsidRPr="00C14D70">
        <w:rPr>
          <w:rFonts w:asciiTheme="majorBidi" w:hAnsiTheme="majorBidi" w:cstheme="majorBidi"/>
        </w:rPr>
        <w:t xml:space="preserve">to reflect the patient’s current status of </w:t>
      </w:r>
      <w:r w:rsidR="004E72D5" w:rsidRPr="00C14D70">
        <w:rPr>
          <w:rFonts w:asciiTheme="majorBidi" w:hAnsiTheme="majorBidi" w:cstheme="majorBidi"/>
        </w:rPr>
        <w:t>hospitalization</w:t>
      </w:r>
      <w:r w:rsidR="0020267F" w:rsidRPr="00C14D70">
        <w:rPr>
          <w:rFonts w:asciiTheme="majorBidi" w:hAnsiTheme="majorBidi" w:cstheme="majorBidi"/>
        </w:rPr>
        <w:t xml:space="preserve">. </w:t>
      </w:r>
      <w:r w:rsidR="004E72D5" w:rsidRPr="00C14D70">
        <w:rPr>
          <w:rFonts w:asciiTheme="majorBidi" w:hAnsiTheme="majorBidi" w:cstheme="majorBidi"/>
          <w:b/>
          <w:bCs/>
        </w:rPr>
        <w:t xml:space="preserve"> </w:t>
      </w:r>
      <w:r w:rsidR="00013F88" w:rsidRPr="00C14D70">
        <w:rPr>
          <w:rFonts w:asciiTheme="majorBidi" w:hAnsiTheme="majorBidi" w:cstheme="majorBidi"/>
        </w:rPr>
        <w:t xml:space="preserve">This tool can then be </w:t>
      </w:r>
      <w:r w:rsidR="00DE031B">
        <w:rPr>
          <w:rFonts w:asciiTheme="majorBidi" w:hAnsiTheme="majorBidi" w:cstheme="majorBidi"/>
        </w:rPr>
        <w:t>implemented</w:t>
      </w:r>
      <w:r w:rsidR="00013F88" w:rsidRPr="00C14D70">
        <w:rPr>
          <w:rFonts w:asciiTheme="majorBidi" w:hAnsiTheme="majorBidi" w:cstheme="majorBidi"/>
        </w:rPr>
        <w:t xml:space="preserve"> </w:t>
      </w:r>
      <w:r w:rsidR="00DE031B">
        <w:rPr>
          <w:rFonts w:asciiTheme="majorBidi" w:hAnsiTheme="majorBidi" w:cstheme="majorBidi"/>
        </w:rPr>
        <w:t>prior to discharge</w:t>
      </w:r>
      <w:r w:rsidR="004E72D5" w:rsidRPr="00C14D70">
        <w:rPr>
          <w:rFonts w:asciiTheme="majorBidi" w:hAnsiTheme="majorBidi" w:cstheme="majorBidi"/>
        </w:rPr>
        <w:t xml:space="preserve"> </w:t>
      </w:r>
      <w:r w:rsidR="00013F88" w:rsidRPr="00C14D70">
        <w:rPr>
          <w:rFonts w:asciiTheme="majorBidi" w:hAnsiTheme="majorBidi" w:cstheme="majorBidi"/>
        </w:rPr>
        <w:t xml:space="preserve">to create a detailed recommendation plan for the patient and family, so that, when possible, the older </w:t>
      </w:r>
      <w:r w:rsidR="00D61F07" w:rsidRPr="00C14D70">
        <w:rPr>
          <w:rFonts w:asciiTheme="majorBidi" w:hAnsiTheme="majorBidi" w:cstheme="majorBidi"/>
        </w:rPr>
        <w:t>adult</w:t>
      </w:r>
      <w:r w:rsidR="00013F88" w:rsidRPr="00C14D70">
        <w:rPr>
          <w:rFonts w:asciiTheme="majorBidi" w:hAnsiTheme="majorBidi" w:cstheme="majorBidi"/>
        </w:rPr>
        <w:t xml:space="preserve"> can remain living safely and independently at home</w:t>
      </w:r>
      <w:r w:rsidR="004E72D5" w:rsidRPr="00C14D70">
        <w:rPr>
          <w:rFonts w:asciiTheme="majorBidi" w:hAnsiTheme="majorBidi" w:cstheme="majorBidi"/>
        </w:rPr>
        <w:t>.</w:t>
      </w:r>
    </w:p>
    <w:p w14:paraId="0247BAC3" w14:textId="0F9822CB" w:rsidR="00DE031B" w:rsidRPr="00DE031B" w:rsidRDefault="002C352A" w:rsidP="00D61F07">
      <w:pPr>
        <w:spacing w:line="480" w:lineRule="auto"/>
        <w:rPr>
          <w:rFonts w:asciiTheme="majorBidi" w:hAnsiTheme="majorBidi" w:cstheme="majorBidi"/>
          <w:b/>
          <w:bCs/>
          <w:i/>
          <w:iCs/>
        </w:rPr>
      </w:pPr>
      <w:r w:rsidRPr="001F4741">
        <w:rPr>
          <w:rFonts w:asciiTheme="majorBidi" w:hAnsiTheme="majorBidi" w:cstheme="majorBidi"/>
          <w:b/>
          <w:bCs/>
          <w:i/>
          <w:iCs/>
        </w:rPr>
        <w:t xml:space="preserve">Standard </w:t>
      </w:r>
      <w:r w:rsidR="00DE031B" w:rsidRPr="001F4741">
        <w:rPr>
          <w:rFonts w:asciiTheme="majorBidi" w:hAnsiTheme="majorBidi" w:cstheme="majorBidi"/>
          <w:b/>
          <w:bCs/>
          <w:i/>
          <w:iCs/>
        </w:rPr>
        <w:t xml:space="preserve">assessments </w:t>
      </w:r>
      <w:r w:rsidRPr="001F4741">
        <w:rPr>
          <w:rFonts w:asciiTheme="majorBidi" w:hAnsiTheme="majorBidi" w:cstheme="majorBidi"/>
          <w:b/>
          <w:bCs/>
          <w:i/>
          <w:iCs/>
        </w:rPr>
        <w:t>currently used with</w:t>
      </w:r>
      <w:r w:rsidR="00DE031B" w:rsidRPr="001F4741">
        <w:rPr>
          <w:rFonts w:asciiTheme="majorBidi" w:hAnsiTheme="majorBidi" w:cstheme="majorBidi"/>
          <w:b/>
          <w:bCs/>
          <w:i/>
          <w:iCs/>
        </w:rPr>
        <w:t xml:space="preserve"> older adults in geriatric </w:t>
      </w:r>
      <w:r w:rsidR="00DE031B" w:rsidRPr="00DE031B">
        <w:rPr>
          <w:rFonts w:asciiTheme="majorBidi" w:hAnsiTheme="majorBidi" w:cstheme="majorBidi"/>
          <w:b/>
          <w:bCs/>
          <w:i/>
          <w:iCs/>
        </w:rPr>
        <w:t>wards</w:t>
      </w:r>
    </w:p>
    <w:p w14:paraId="753EB258" w14:textId="06B0282A" w:rsidR="00230C2C" w:rsidRDefault="00464982" w:rsidP="005E478F">
      <w:pPr>
        <w:spacing w:after="0" w:line="480" w:lineRule="auto"/>
        <w:jc w:val="both"/>
        <w:rPr>
          <w:rFonts w:asciiTheme="majorBidi" w:hAnsiTheme="majorBidi" w:cstheme="majorBidi"/>
        </w:rPr>
      </w:pPr>
      <w:r w:rsidRPr="00C14D70">
        <w:rPr>
          <w:rFonts w:asciiTheme="majorBidi" w:hAnsiTheme="majorBidi" w:cstheme="majorBidi"/>
        </w:rPr>
        <w:t xml:space="preserve">To </w:t>
      </w:r>
      <w:r w:rsidR="00230C2C">
        <w:rPr>
          <w:rFonts w:asciiTheme="majorBidi" w:hAnsiTheme="majorBidi" w:cstheme="majorBidi"/>
        </w:rPr>
        <w:t>assess elements of</w:t>
      </w:r>
      <w:r w:rsidRPr="00C14D70">
        <w:rPr>
          <w:rFonts w:asciiTheme="majorBidi" w:hAnsiTheme="majorBidi" w:cstheme="majorBidi"/>
        </w:rPr>
        <w:t xml:space="preserve"> </w:t>
      </w:r>
      <w:r w:rsidR="000F661C" w:rsidRPr="00E26CF2">
        <w:rPr>
          <w:rFonts w:asciiTheme="majorBidi" w:hAnsiTheme="majorBidi" w:cstheme="majorBidi"/>
          <w:u w:val="single"/>
        </w:rPr>
        <w:t xml:space="preserve">basic and instrumental </w:t>
      </w:r>
      <w:r w:rsidRPr="00E26CF2">
        <w:rPr>
          <w:rFonts w:asciiTheme="majorBidi" w:hAnsiTheme="majorBidi" w:cstheme="majorBidi"/>
          <w:u w:val="single"/>
        </w:rPr>
        <w:t>function</w:t>
      </w:r>
      <w:r w:rsidR="004101D3" w:rsidRPr="00C14D70">
        <w:rPr>
          <w:rFonts w:asciiTheme="majorBidi" w:hAnsiTheme="majorBidi" w:cstheme="majorBidi"/>
        </w:rPr>
        <w:t>,</w:t>
      </w:r>
      <w:r w:rsidRPr="00C14D70">
        <w:rPr>
          <w:rFonts w:asciiTheme="majorBidi" w:hAnsiTheme="majorBidi" w:cstheme="majorBidi"/>
        </w:rPr>
        <w:t xml:space="preserve"> </w:t>
      </w:r>
      <w:r w:rsidR="000F661C" w:rsidRPr="00C14D70">
        <w:rPr>
          <w:rFonts w:asciiTheme="majorBidi" w:hAnsiTheme="majorBidi" w:cstheme="majorBidi"/>
        </w:rPr>
        <w:t xml:space="preserve">the standard is </w:t>
      </w:r>
      <w:r w:rsidR="004101D3" w:rsidRPr="00C14D70">
        <w:rPr>
          <w:rFonts w:asciiTheme="majorBidi" w:hAnsiTheme="majorBidi" w:cstheme="majorBidi"/>
        </w:rPr>
        <w:t xml:space="preserve">the </w:t>
      </w:r>
      <w:r w:rsidR="00077A77" w:rsidRPr="00C14D70">
        <w:rPr>
          <w:rFonts w:asciiTheme="majorBidi" w:hAnsiTheme="majorBidi" w:cstheme="majorBidi"/>
        </w:rPr>
        <w:t>Functional Independence Measure (FIM</w:t>
      </w:r>
      <w:r w:rsidR="0000290F" w:rsidRPr="00C14D70">
        <w:rPr>
          <w:rFonts w:asciiTheme="majorBidi" w:hAnsiTheme="majorBidi" w:cstheme="majorBidi"/>
        </w:rPr>
        <w:t>)</w:t>
      </w:r>
      <w:r w:rsidR="00077A77" w:rsidRPr="00C14D70">
        <w:rPr>
          <w:rFonts w:asciiTheme="majorBidi" w:hAnsiTheme="majorBidi" w:cstheme="majorBidi"/>
        </w:rPr>
        <w:t xml:space="preserve"> </w:t>
      </w:r>
      <w:r w:rsidR="0000290F" w:rsidRPr="00C14D70">
        <w:rPr>
          <w:rFonts w:asciiTheme="majorBidi" w:hAnsiTheme="majorBidi" w:cstheme="majorBidi"/>
        </w:rPr>
        <w:t>(</w:t>
      </w:r>
      <w:r w:rsidR="00077A77" w:rsidRPr="00C14D70">
        <w:rPr>
          <w:rFonts w:asciiTheme="majorBidi" w:hAnsiTheme="majorBidi" w:cstheme="majorBidi"/>
        </w:rPr>
        <w:t>Chang et al., 1997)</w:t>
      </w:r>
      <w:r w:rsidRPr="00C14D70">
        <w:rPr>
          <w:rFonts w:asciiTheme="majorBidi" w:hAnsiTheme="majorBidi" w:cstheme="majorBidi"/>
        </w:rPr>
        <w:t>,</w:t>
      </w:r>
      <w:r w:rsidR="0020267F" w:rsidRPr="00C14D70">
        <w:rPr>
          <w:rFonts w:asciiTheme="majorBidi" w:hAnsiTheme="majorBidi" w:cstheme="majorBidi"/>
        </w:rPr>
        <w:t xml:space="preserve"> </w:t>
      </w:r>
      <w:r w:rsidR="00077A77" w:rsidRPr="00C14D70">
        <w:rPr>
          <w:rFonts w:asciiTheme="majorBidi" w:hAnsiTheme="majorBidi" w:cstheme="majorBidi"/>
        </w:rPr>
        <w:t>a</w:t>
      </w:r>
      <w:r w:rsidR="00BD526C" w:rsidRPr="00C14D70">
        <w:rPr>
          <w:rFonts w:asciiTheme="majorBidi" w:hAnsiTheme="majorBidi" w:cstheme="majorBidi"/>
        </w:rPr>
        <w:t>n observational</w:t>
      </w:r>
      <w:r w:rsidR="00077A77" w:rsidRPr="00C14D70">
        <w:rPr>
          <w:rFonts w:asciiTheme="majorBidi" w:hAnsiTheme="majorBidi" w:cstheme="majorBidi"/>
        </w:rPr>
        <w:t xml:space="preserve"> tool for evaluating the degree of cognitive and physical </w:t>
      </w:r>
      <w:r w:rsidRPr="00C14D70">
        <w:rPr>
          <w:rFonts w:asciiTheme="majorBidi" w:hAnsiTheme="majorBidi" w:cstheme="majorBidi"/>
        </w:rPr>
        <w:t>assistance</w:t>
      </w:r>
      <w:r w:rsidR="00077A77" w:rsidRPr="00C14D70">
        <w:rPr>
          <w:rFonts w:asciiTheme="majorBidi" w:hAnsiTheme="majorBidi" w:cstheme="majorBidi"/>
        </w:rPr>
        <w:t xml:space="preserve"> needed for </w:t>
      </w:r>
      <w:r w:rsidR="007902AE" w:rsidRPr="00C14D70">
        <w:rPr>
          <w:rFonts w:asciiTheme="majorBidi" w:hAnsiTheme="majorBidi" w:cstheme="majorBidi"/>
        </w:rPr>
        <w:t xml:space="preserve">daily </w:t>
      </w:r>
      <w:r w:rsidR="00077A77" w:rsidRPr="00C14D70">
        <w:rPr>
          <w:rFonts w:asciiTheme="majorBidi" w:hAnsiTheme="majorBidi" w:cstheme="majorBidi"/>
        </w:rPr>
        <w:t>function.</w:t>
      </w:r>
      <w:r w:rsidR="00BD526C" w:rsidRPr="00C14D70">
        <w:rPr>
          <w:rFonts w:asciiTheme="majorBidi" w:hAnsiTheme="majorBidi" w:cstheme="majorBidi"/>
        </w:rPr>
        <w:t xml:space="preserve"> The FIM consists of 18 items related to functional tasks, grouped into two themes: motor and cognitive. </w:t>
      </w:r>
      <w:r w:rsidR="00077A77" w:rsidRPr="00C14D70">
        <w:rPr>
          <w:rFonts w:asciiTheme="majorBidi" w:hAnsiTheme="majorBidi" w:cstheme="majorBidi"/>
        </w:rPr>
        <w:t xml:space="preserve">Scores </w:t>
      </w:r>
      <w:r w:rsidR="00BD526C" w:rsidRPr="00C14D70">
        <w:rPr>
          <w:rFonts w:asciiTheme="majorBidi" w:hAnsiTheme="majorBidi" w:cstheme="majorBidi"/>
        </w:rPr>
        <w:t xml:space="preserve">for each item </w:t>
      </w:r>
      <w:r w:rsidR="00077A77" w:rsidRPr="00C14D70">
        <w:rPr>
          <w:rFonts w:asciiTheme="majorBidi" w:hAnsiTheme="majorBidi" w:cstheme="majorBidi"/>
        </w:rPr>
        <w:t>range from 1 (total dependence) to 7 (total independence)</w:t>
      </w:r>
      <w:r w:rsidR="00BD526C" w:rsidRPr="00C14D70">
        <w:rPr>
          <w:rFonts w:asciiTheme="majorBidi" w:hAnsiTheme="majorBidi" w:cstheme="majorBidi"/>
        </w:rPr>
        <w:t xml:space="preserve">, </w:t>
      </w:r>
      <w:r w:rsidR="00230C2C">
        <w:rPr>
          <w:rFonts w:asciiTheme="majorBidi" w:hAnsiTheme="majorBidi" w:cstheme="majorBidi"/>
        </w:rPr>
        <w:t xml:space="preserve">and </w:t>
      </w:r>
      <w:r w:rsidR="00BD526C" w:rsidRPr="00C14D70">
        <w:rPr>
          <w:rFonts w:asciiTheme="majorBidi" w:hAnsiTheme="majorBidi" w:cstheme="majorBidi"/>
        </w:rPr>
        <w:t>the total score ranges from 18 to 126,</w:t>
      </w:r>
      <w:r w:rsidR="001E572F" w:rsidRPr="00C14D70">
        <w:rPr>
          <w:rFonts w:asciiTheme="majorBidi" w:hAnsiTheme="majorBidi" w:cstheme="majorBidi"/>
        </w:rPr>
        <w:t xml:space="preserve"> </w:t>
      </w:r>
      <w:r w:rsidR="00230C2C">
        <w:rPr>
          <w:rFonts w:asciiTheme="majorBidi" w:hAnsiTheme="majorBidi" w:cstheme="majorBidi"/>
        </w:rPr>
        <w:t xml:space="preserve">where </w:t>
      </w:r>
      <w:r w:rsidR="00BD526C" w:rsidRPr="00C14D70">
        <w:rPr>
          <w:rFonts w:asciiTheme="majorBidi" w:hAnsiTheme="majorBidi" w:cstheme="majorBidi"/>
        </w:rPr>
        <w:t>h</w:t>
      </w:r>
      <w:r w:rsidR="00077A77" w:rsidRPr="00C14D70">
        <w:rPr>
          <w:rFonts w:asciiTheme="majorBidi" w:hAnsiTheme="majorBidi" w:cstheme="majorBidi"/>
        </w:rPr>
        <w:t xml:space="preserve">igher scores indicate </w:t>
      </w:r>
      <w:r w:rsidR="00230C2C">
        <w:rPr>
          <w:rFonts w:asciiTheme="majorBidi" w:hAnsiTheme="majorBidi" w:cstheme="majorBidi"/>
        </w:rPr>
        <w:t>greater</w:t>
      </w:r>
      <w:r w:rsidR="00230C2C" w:rsidRPr="00C14D70">
        <w:rPr>
          <w:rFonts w:asciiTheme="majorBidi" w:hAnsiTheme="majorBidi" w:cstheme="majorBidi"/>
        </w:rPr>
        <w:t xml:space="preserve"> </w:t>
      </w:r>
      <w:r w:rsidR="0000290F" w:rsidRPr="00C14D70">
        <w:rPr>
          <w:rFonts w:asciiTheme="majorBidi" w:hAnsiTheme="majorBidi" w:cstheme="majorBidi"/>
        </w:rPr>
        <w:t xml:space="preserve">levels of </w:t>
      </w:r>
      <w:r w:rsidR="00077A77" w:rsidRPr="00C14D70">
        <w:rPr>
          <w:rFonts w:asciiTheme="majorBidi" w:hAnsiTheme="majorBidi" w:cstheme="majorBidi"/>
        </w:rPr>
        <w:t xml:space="preserve">independence. </w:t>
      </w:r>
      <w:r w:rsidR="002F133F" w:rsidRPr="00C14D70">
        <w:rPr>
          <w:rFonts w:asciiTheme="majorBidi" w:hAnsiTheme="majorBidi" w:cstheme="majorBidi"/>
        </w:rPr>
        <w:t>(</w:t>
      </w:r>
      <w:proofErr w:type="spellStart"/>
      <w:r w:rsidR="002F133F" w:rsidRPr="00C14D70">
        <w:rPr>
          <w:rFonts w:asciiTheme="majorBidi" w:hAnsiTheme="majorBidi" w:cstheme="majorBidi"/>
        </w:rPr>
        <w:t>Fioravanti</w:t>
      </w:r>
      <w:proofErr w:type="spellEnd"/>
      <w:r w:rsidR="00FF086E">
        <w:rPr>
          <w:rFonts w:asciiTheme="majorBidi" w:hAnsiTheme="majorBidi" w:cstheme="majorBidi"/>
        </w:rPr>
        <w:t xml:space="preserve"> </w:t>
      </w:r>
      <w:r w:rsidR="00E27CD1">
        <w:rPr>
          <w:rFonts w:asciiTheme="majorBidi" w:hAnsiTheme="majorBidi" w:cstheme="majorBidi"/>
        </w:rPr>
        <w:t>et al.</w:t>
      </w:r>
      <w:r w:rsidR="002F133F" w:rsidRPr="00C14D70">
        <w:rPr>
          <w:rFonts w:asciiTheme="majorBidi" w:hAnsiTheme="majorBidi" w:cstheme="majorBidi"/>
        </w:rPr>
        <w:t xml:space="preserve">, 2012). </w:t>
      </w:r>
      <w:r w:rsidR="008F7B21" w:rsidRPr="00C14D70">
        <w:rPr>
          <w:rFonts w:asciiTheme="majorBidi" w:hAnsiTheme="majorBidi" w:cstheme="majorBidi"/>
        </w:rPr>
        <w:t xml:space="preserve">In </w:t>
      </w:r>
      <w:r w:rsidR="00230C2C">
        <w:rPr>
          <w:rFonts w:asciiTheme="majorBidi" w:hAnsiTheme="majorBidi" w:cstheme="majorBidi"/>
        </w:rPr>
        <w:t>our</w:t>
      </w:r>
      <w:r w:rsidR="00230C2C" w:rsidRPr="00C14D70">
        <w:rPr>
          <w:rFonts w:asciiTheme="majorBidi" w:hAnsiTheme="majorBidi" w:cstheme="majorBidi"/>
        </w:rPr>
        <w:t xml:space="preserve"> </w:t>
      </w:r>
      <w:r w:rsidR="00727B06" w:rsidRPr="00C14D70">
        <w:rPr>
          <w:rFonts w:asciiTheme="majorBidi" w:hAnsiTheme="majorBidi" w:cstheme="majorBidi"/>
        </w:rPr>
        <w:t>study</w:t>
      </w:r>
      <w:r w:rsidR="00230C2C">
        <w:rPr>
          <w:rFonts w:asciiTheme="majorBidi" w:hAnsiTheme="majorBidi" w:cstheme="majorBidi"/>
        </w:rPr>
        <w:t xml:space="preserve"> center</w:t>
      </w:r>
      <w:r w:rsidR="008F7B21" w:rsidRPr="00C14D70">
        <w:rPr>
          <w:rFonts w:asciiTheme="majorBidi" w:hAnsiTheme="majorBidi" w:cstheme="majorBidi"/>
        </w:rPr>
        <w:t>,</w:t>
      </w:r>
      <w:r w:rsidR="007A0032" w:rsidRPr="00C14D70">
        <w:rPr>
          <w:rFonts w:asciiTheme="majorBidi" w:hAnsiTheme="majorBidi" w:cstheme="majorBidi"/>
        </w:rPr>
        <w:t xml:space="preserve"> a </w:t>
      </w:r>
      <w:r w:rsidR="00DE031B">
        <w:rPr>
          <w:rFonts w:asciiTheme="majorBidi" w:hAnsiTheme="majorBidi" w:cstheme="majorBidi"/>
        </w:rPr>
        <w:t>partial</w:t>
      </w:r>
      <w:r w:rsidR="007A0032" w:rsidRPr="00C14D70">
        <w:rPr>
          <w:rFonts w:asciiTheme="majorBidi" w:hAnsiTheme="majorBidi" w:cstheme="majorBidi"/>
        </w:rPr>
        <w:t xml:space="preserve"> FIM assessment </w:t>
      </w:r>
      <w:r w:rsidR="008F7B21" w:rsidRPr="00C14D70">
        <w:rPr>
          <w:rFonts w:asciiTheme="majorBidi" w:hAnsiTheme="majorBidi" w:cstheme="majorBidi"/>
        </w:rPr>
        <w:t xml:space="preserve">is used, which includes transfers, </w:t>
      </w:r>
      <w:r w:rsidR="00727B06" w:rsidRPr="00C14D70">
        <w:rPr>
          <w:rFonts w:asciiTheme="majorBidi" w:hAnsiTheme="majorBidi" w:cstheme="majorBidi"/>
        </w:rPr>
        <w:t xml:space="preserve">and </w:t>
      </w:r>
      <w:r w:rsidR="008F7B21" w:rsidRPr="00C14D70">
        <w:rPr>
          <w:rFonts w:asciiTheme="majorBidi" w:hAnsiTheme="majorBidi" w:cstheme="majorBidi"/>
        </w:rPr>
        <w:t>upper and lowe</w:t>
      </w:r>
      <w:r w:rsidR="00727B06" w:rsidRPr="00C14D70">
        <w:rPr>
          <w:rFonts w:asciiTheme="majorBidi" w:hAnsiTheme="majorBidi" w:cstheme="majorBidi"/>
        </w:rPr>
        <w:t>r body</w:t>
      </w:r>
      <w:r w:rsidR="008F7B21" w:rsidRPr="00C14D70">
        <w:rPr>
          <w:rFonts w:asciiTheme="majorBidi" w:hAnsiTheme="majorBidi" w:cstheme="majorBidi"/>
        </w:rPr>
        <w:t xml:space="preserve"> dressing</w:t>
      </w:r>
      <w:r w:rsidR="00DE031B">
        <w:rPr>
          <w:rFonts w:asciiTheme="majorBidi" w:hAnsiTheme="majorBidi" w:cstheme="majorBidi"/>
        </w:rPr>
        <w:t>.</w:t>
      </w:r>
      <w:r w:rsidR="00727B06" w:rsidRPr="00C14D70">
        <w:rPr>
          <w:rFonts w:asciiTheme="majorBidi" w:hAnsiTheme="majorBidi" w:cstheme="majorBidi"/>
        </w:rPr>
        <w:t xml:space="preserve">  </w:t>
      </w:r>
      <w:r w:rsidR="005E478F">
        <w:rPr>
          <w:rFonts w:asciiTheme="majorBidi" w:hAnsiTheme="majorBidi" w:cstheme="majorBidi"/>
        </w:rPr>
        <w:t xml:space="preserve"> </w:t>
      </w:r>
    </w:p>
    <w:p w14:paraId="0EF640CB" w14:textId="1A92A1CF" w:rsidR="00196C05" w:rsidRDefault="008F7B21" w:rsidP="005E478F">
      <w:pPr>
        <w:spacing w:after="0" w:line="480" w:lineRule="auto"/>
        <w:jc w:val="both"/>
        <w:rPr>
          <w:rFonts w:asciiTheme="majorBidi" w:hAnsiTheme="majorBidi" w:cstheme="majorBidi"/>
        </w:rPr>
      </w:pPr>
      <w:r w:rsidRPr="00C14D70">
        <w:rPr>
          <w:rFonts w:asciiTheme="majorBidi" w:hAnsiTheme="majorBidi" w:cstheme="majorBidi"/>
        </w:rPr>
        <w:t xml:space="preserve">As currently there is no standardized survey utilized in a hospital setting to assess future </w:t>
      </w:r>
      <w:r w:rsidRPr="00C14D70">
        <w:rPr>
          <w:rFonts w:asciiTheme="majorBidi" w:hAnsiTheme="majorBidi" w:cstheme="majorBidi"/>
          <w:u w:val="single"/>
        </w:rPr>
        <w:t>personal and environmental safety</w:t>
      </w:r>
      <w:r w:rsidRPr="00C14D70">
        <w:rPr>
          <w:rFonts w:asciiTheme="majorBidi" w:hAnsiTheme="majorBidi" w:cstheme="majorBidi"/>
        </w:rPr>
        <w:t xml:space="preserve"> in the home, we </w:t>
      </w:r>
      <w:r w:rsidR="00230C2C">
        <w:rPr>
          <w:rFonts w:asciiTheme="majorBidi" w:hAnsiTheme="majorBidi" w:cstheme="majorBidi"/>
        </w:rPr>
        <w:t xml:space="preserve">also </w:t>
      </w:r>
      <w:r w:rsidRPr="00C14D70">
        <w:rPr>
          <w:rFonts w:asciiTheme="majorBidi" w:hAnsiTheme="majorBidi" w:cstheme="majorBidi"/>
        </w:rPr>
        <w:t>used aspects of the FIM to compare with the safety component of the COFEE-HD evaluation.</w:t>
      </w:r>
    </w:p>
    <w:p w14:paraId="788947B3" w14:textId="77777777" w:rsidR="00230C2C" w:rsidRDefault="00230C2C" w:rsidP="005E478F">
      <w:pPr>
        <w:spacing w:after="0" w:line="480" w:lineRule="auto"/>
        <w:jc w:val="both"/>
        <w:rPr>
          <w:rFonts w:asciiTheme="majorBidi" w:hAnsiTheme="majorBidi" w:cstheme="majorBidi"/>
        </w:rPr>
      </w:pPr>
    </w:p>
    <w:p w14:paraId="65B61E68" w14:textId="425ABA1E" w:rsidR="004101D3" w:rsidRPr="00C14D70" w:rsidRDefault="00464982" w:rsidP="00D61F07">
      <w:pPr>
        <w:spacing w:after="0" w:line="480" w:lineRule="auto"/>
        <w:rPr>
          <w:rFonts w:asciiTheme="majorBidi" w:hAnsiTheme="majorBidi" w:cstheme="majorBidi"/>
        </w:rPr>
      </w:pPr>
      <w:r w:rsidRPr="00C14D70">
        <w:rPr>
          <w:rFonts w:asciiTheme="majorBidi" w:hAnsiTheme="majorBidi" w:cstheme="majorBidi"/>
        </w:rPr>
        <w:t xml:space="preserve">To compare elements of </w:t>
      </w:r>
      <w:r w:rsidR="008F7B21" w:rsidRPr="00C14D70">
        <w:rPr>
          <w:rFonts w:asciiTheme="majorBidi" w:hAnsiTheme="majorBidi" w:cstheme="majorBidi"/>
        </w:rPr>
        <w:t xml:space="preserve">meta </w:t>
      </w:r>
      <w:r w:rsidRPr="00C14D70">
        <w:rPr>
          <w:rFonts w:asciiTheme="majorBidi" w:hAnsiTheme="majorBidi" w:cstheme="majorBidi"/>
          <w:u w:val="single"/>
        </w:rPr>
        <w:t>cognitive function</w:t>
      </w:r>
      <w:r w:rsidRPr="00C14D70">
        <w:rPr>
          <w:rFonts w:asciiTheme="majorBidi" w:hAnsiTheme="majorBidi" w:cstheme="majorBidi"/>
        </w:rPr>
        <w:t xml:space="preserve">, we </w:t>
      </w:r>
      <w:r w:rsidR="004101D3" w:rsidRPr="00C14D70">
        <w:rPr>
          <w:rFonts w:asciiTheme="majorBidi" w:hAnsiTheme="majorBidi" w:cstheme="majorBidi"/>
        </w:rPr>
        <w:t>utilized t</w:t>
      </w:r>
      <w:r w:rsidR="00DA310E" w:rsidRPr="00C14D70">
        <w:rPr>
          <w:rFonts w:asciiTheme="majorBidi" w:hAnsiTheme="majorBidi" w:cstheme="majorBidi"/>
        </w:rPr>
        <w:t xml:space="preserve">he </w:t>
      </w:r>
      <w:r w:rsidR="004101D3" w:rsidRPr="00C14D70">
        <w:rPr>
          <w:rFonts w:asciiTheme="majorBidi" w:hAnsiTheme="majorBidi" w:cstheme="majorBidi"/>
        </w:rPr>
        <w:t>following two</w:t>
      </w:r>
      <w:r w:rsidR="003F3C83">
        <w:rPr>
          <w:rFonts w:asciiTheme="majorBidi" w:hAnsiTheme="majorBidi" w:cstheme="majorBidi"/>
        </w:rPr>
        <w:t xml:space="preserve"> </w:t>
      </w:r>
      <w:r w:rsidR="008F7B21" w:rsidRPr="00C14D70">
        <w:rPr>
          <w:rFonts w:asciiTheme="majorBidi" w:hAnsiTheme="majorBidi" w:cstheme="majorBidi"/>
        </w:rPr>
        <w:t>assessments</w:t>
      </w:r>
      <w:r w:rsidR="004101D3" w:rsidRPr="00C14D70">
        <w:rPr>
          <w:rFonts w:asciiTheme="majorBidi" w:hAnsiTheme="majorBidi" w:cstheme="majorBidi"/>
        </w:rPr>
        <w:t>:</w:t>
      </w:r>
    </w:p>
    <w:p w14:paraId="50DEB052" w14:textId="5D9D6153" w:rsidR="004101D3" w:rsidRPr="00C14D70" w:rsidRDefault="00DA310E" w:rsidP="00D61F07">
      <w:pPr>
        <w:pStyle w:val="ListParagraph"/>
        <w:numPr>
          <w:ilvl w:val="0"/>
          <w:numId w:val="6"/>
        </w:numPr>
        <w:spacing w:after="0" w:line="480" w:lineRule="auto"/>
        <w:rPr>
          <w:rFonts w:asciiTheme="majorBidi" w:hAnsiTheme="majorBidi" w:cstheme="majorBidi"/>
        </w:rPr>
      </w:pPr>
      <w:r w:rsidRPr="00C14D70">
        <w:rPr>
          <w:rFonts w:asciiTheme="majorBidi" w:hAnsiTheme="majorBidi" w:cstheme="majorBidi"/>
        </w:rPr>
        <w:t>Mini Mental State Examination (MMSE</w:t>
      </w:r>
      <w:r w:rsidR="0000290F" w:rsidRPr="00C14D70">
        <w:rPr>
          <w:rFonts w:asciiTheme="majorBidi" w:hAnsiTheme="majorBidi" w:cstheme="majorBidi"/>
        </w:rPr>
        <w:t>)</w:t>
      </w:r>
      <w:r w:rsidRPr="00C14D70">
        <w:rPr>
          <w:rFonts w:asciiTheme="majorBidi" w:hAnsiTheme="majorBidi" w:cstheme="majorBidi"/>
        </w:rPr>
        <w:t xml:space="preserve"> </w:t>
      </w:r>
      <w:r w:rsidR="007A0032" w:rsidRPr="00C14D70">
        <w:rPr>
          <w:rFonts w:asciiTheme="majorBidi" w:hAnsiTheme="majorBidi" w:cstheme="majorBidi"/>
        </w:rPr>
        <w:t>(</w:t>
      </w:r>
      <w:proofErr w:type="spellStart"/>
      <w:r w:rsidRPr="00C14D70">
        <w:rPr>
          <w:rFonts w:asciiTheme="majorBidi" w:hAnsiTheme="majorBidi" w:cstheme="majorBidi"/>
        </w:rPr>
        <w:t>Folstein</w:t>
      </w:r>
      <w:proofErr w:type="spellEnd"/>
      <w:r w:rsidR="00FF086E">
        <w:rPr>
          <w:rFonts w:asciiTheme="majorBidi" w:hAnsiTheme="majorBidi" w:cstheme="majorBidi"/>
        </w:rPr>
        <w:t xml:space="preserve"> </w:t>
      </w:r>
      <w:r w:rsidR="009A322D">
        <w:rPr>
          <w:rFonts w:asciiTheme="majorBidi" w:hAnsiTheme="majorBidi" w:cstheme="majorBidi"/>
        </w:rPr>
        <w:t>et al.</w:t>
      </w:r>
      <w:r w:rsidRPr="00C14D70">
        <w:rPr>
          <w:rFonts w:asciiTheme="majorBidi" w:hAnsiTheme="majorBidi" w:cstheme="majorBidi"/>
        </w:rPr>
        <w:t>1975)</w:t>
      </w:r>
      <w:r w:rsidR="00727B06" w:rsidRPr="00C14D70">
        <w:rPr>
          <w:rFonts w:asciiTheme="majorBidi" w:hAnsiTheme="majorBidi" w:cstheme="majorBidi"/>
        </w:rPr>
        <w:t>:</w:t>
      </w:r>
      <w:r w:rsidR="004101D3" w:rsidRPr="00C14D70">
        <w:rPr>
          <w:rFonts w:asciiTheme="majorBidi" w:hAnsiTheme="majorBidi" w:cstheme="majorBidi"/>
        </w:rPr>
        <w:t xml:space="preserve"> </w:t>
      </w:r>
      <w:r w:rsidRPr="00C14D70">
        <w:rPr>
          <w:rFonts w:asciiTheme="majorBidi" w:hAnsiTheme="majorBidi" w:cstheme="majorBidi"/>
        </w:rPr>
        <w:t>a standardized screening tool for detecting cognitive impairment</w:t>
      </w:r>
      <w:r w:rsidR="0000290F" w:rsidRPr="00C14D70">
        <w:rPr>
          <w:rFonts w:asciiTheme="majorBidi" w:hAnsiTheme="majorBidi" w:cstheme="majorBidi"/>
        </w:rPr>
        <w:t>;</w:t>
      </w:r>
      <w:r w:rsidRPr="00C14D70">
        <w:rPr>
          <w:rFonts w:asciiTheme="majorBidi" w:hAnsiTheme="majorBidi" w:cstheme="majorBidi"/>
        </w:rPr>
        <w:t xml:space="preserve"> includes eleven items </w:t>
      </w:r>
      <w:r w:rsidR="0000290F" w:rsidRPr="00C14D70">
        <w:rPr>
          <w:rFonts w:asciiTheme="majorBidi" w:hAnsiTheme="majorBidi" w:cstheme="majorBidi"/>
        </w:rPr>
        <w:t xml:space="preserve">to evaluate temporal </w:t>
      </w:r>
      <w:r w:rsidRPr="00C14D70">
        <w:rPr>
          <w:rFonts w:asciiTheme="majorBidi" w:hAnsiTheme="majorBidi" w:cstheme="majorBidi"/>
        </w:rPr>
        <w:lastRenderedPageBreak/>
        <w:t>orientation, attention, memory, language and visual-spatial skills. Scores range from 0 to 30</w:t>
      </w:r>
      <w:r w:rsidR="0000290F" w:rsidRPr="00C14D70">
        <w:rPr>
          <w:rFonts w:asciiTheme="majorBidi" w:hAnsiTheme="majorBidi" w:cstheme="majorBidi"/>
        </w:rPr>
        <w:t>;</w:t>
      </w:r>
      <w:r w:rsidRPr="00C14D70">
        <w:rPr>
          <w:rFonts w:asciiTheme="majorBidi" w:hAnsiTheme="majorBidi" w:cstheme="majorBidi"/>
        </w:rPr>
        <w:t xml:space="preserve"> higher scores indicat</w:t>
      </w:r>
      <w:r w:rsidR="0000290F" w:rsidRPr="00C14D70">
        <w:rPr>
          <w:rFonts w:asciiTheme="majorBidi" w:hAnsiTheme="majorBidi" w:cstheme="majorBidi"/>
        </w:rPr>
        <w:t>e</w:t>
      </w:r>
      <w:r w:rsidRPr="00C14D70">
        <w:rPr>
          <w:rFonts w:asciiTheme="majorBidi" w:hAnsiTheme="majorBidi" w:cstheme="majorBidi"/>
        </w:rPr>
        <w:t xml:space="preserve"> normal cognitive abilities. </w:t>
      </w:r>
      <w:r w:rsidR="004101D3" w:rsidRPr="00C14D70">
        <w:rPr>
          <w:rFonts w:asciiTheme="majorBidi" w:hAnsiTheme="majorBidi" w:cstheme="majorBidi"/>
        </w:rPr>
        <w:t xml:space="preserve"> </w:t>
      </w:r>
    </w:p>
    <w:p w14:paraId="27C217C8" w14:textId="643E6BE0" w:rsidR="007902AE" w:rsidRPr="00C14D70" w:rsidRDefault="007902AE" w:rsidP="00D61F07">
      <w:pPr>
        <w:pStyle w:val="ListParagraph"/>
        <w:numPr>
          <w:ilvl w:val="0"/>
          <w:numId w:val="6"/>
        </w:numPr>
        <w:spacing w:after="0" w:line="480" w:lineRule="auto"/>
        <w:rPr>
          <w:rFonts w:asciiTheme="majorBidi" w:hAnsiTheme="majorBidi" w:cstheme="majorBidi"/>
        </w:rPr>
      </w:pPr>
      <w:r w:rsidRPr="00C14D70">
        <w:rPr>
          <w:rFonts w:asciiTheme="majorBidi" w:hAnsiTheme="majorBidi" w:cstheme="majorBidi"/>
          <w:u w:val="single"/>
        </w:rPr>
        <w:t>The Kitchen Picture Test (KPT</w:t>
      </w:r>
      <w:r w:rsidR="0000290F" w:rsidRPr="00C14D70">
        <w:rPr>
          <w:rFonts w:asciiTheme="majorBidi" w:hAnsiTheme="majorBidi" w:cstheme="majorBidi"/>
          <w:u w:val="single"/>
        </w:rPr>
        <w:t>)</w:t>
      </w:r>
      <w:r w:rsidRPr="00C14D70">
        <w:rPr>
          <w:rFonts w:asciiTheme="majorBidi" w:hAnsiTheme="majorBidi" w:cstheme="majorBidi"/>
        </w:rPr>
        <w:t xml:space="preserve"> </w:t>
      </w:r>
      <w:r w:rsidR="0000290F" w:rsidRPr="00C14D70">
        <w:rPr>
          <w:rFonts w:asciiTheme="majorBidi" w:hAnsiTheme="majorBidi" w:cstheme="majorBidi"/>
        </w:rPr>
        <w:t>(</w:t>
      </w:r>
      <w:proofErr w:type="spellStart"/>
      <w:r w:rsidRPr="00C14D70">
        <w:rPr>
          <w:rFonts w:asciiTheme="majorBidi" w:hAnsiTheme="majorBidi" w:cstheme="majorBidi"/>
        </w:rPr>
        <w:t>Mansbach</w:t>
      </w:r>
      <w:proofErr w:type="spellEnd"/>
      <w:r w:rsidRPr="00C14D70">
        <w:rPr>
          <w:rFonts w:asciiTheme="majorBidi" w:hAnsiTheme="majorBidi" w:cstheme="majorBidi"/>
        </w:rPr>
        <w:t xml:space="preserve"> et al., 2014)</w:t>
      </w:r>
      <w:r w:rsidR="0000290F" w:rsidRPr="00C14D70">
        <w:rPr>
          <w:rFonts w:asciiTheme="majorBidi" w:hAnsiTheme="majorBidi" w:cstheme="majorBidi"/>
        </w:rPr>
        <w:t>:</w:t>
      </w:r>
      <w:r w:rsidRPr="00C14D70">
        <w:rPr>
          <w:rFonts w:asciiTheme="majorBidi" w:hAnsiTheme="majorBidi" w:cstheme="majorBidi"/>
        </w:rPr>
        <w:t xml:space="preserve"> an assessment of judgment in which the participant is presented </w:t>
      </w:r>
      <w:r w:rsidR="00230C2C">
        <w:rPr>
          <w:rFonts w:asciiTheme="majorBidi" w:hAnsiTheme="majorBidi" w:cstheme="majorBidi"/>
        </w:rPr>
        <w:t xml:space="preserve">with </w:t>
      </w:r>
      <w:r w:rsidRPr="00C14D70">
        <w:rPr>
          <w:rFonts w:asciiTheme="majorBidi" w:hAnsiTheme="majorBidi" w:cstheme="majorBidi"/>
        </w:rPr>
        <w:t xml:space="preserve">a picture showing a room with hazards </w:t>
      </w:r>
      <w:r w:rsidR="0000290F" w:rsidRPr="00C14D70">
        <w:rPr>
          <w:rFonts w:asciiTheme="majorBidi" w:hAnsiTheme="majorBidi" w:cstheme="majorBidi"/>
        </w:rPr>
        <w:t xml:space="preserve">and </w:t>
      </w:r>
      <w:r w:rsidRPr="00C14D70">
        <w:rPr>
          <w:rFonts w:asciiTheme="majorBidi" w:hAnsiTheme="majorBidi" w:cstheme="majorBidi"/>
        </w:rPr>
        <w:t xml:space="preserve">asked to identify and solve the </w:t>
      </w:r>
      <w:r w:rsidR="0000290F" w:rsidRPr="00C14D70">
        <w:rPr>
          <w:rFonts w:asciiTheme="majorBidi" w:hAnsiTheme="majorBidi" w:cstheme="majorBidi"/>
        </w:rPr>
        <w:t>identified problem</w:t>
      </w:r>
      <w:r w:rsidRPr="00C14D70">
        <w:rPr>
          <w:rFonts w:asciiTheme="majorBidi" w:hAnsiTheme="majorBidi" w:cstheme="majorBidi"/>
        </w:rPr>
        <w:t>. Scores range from 0 to 8</w:t>
      </w:r>
      <w:r w:rsidR="0000290F" w:rsidRPr="00C14D70">
        <w:rPr>
          <w:rFonts w:asciiTheme="majorBidi" w:hAnsiTheme="majorBidi" w:cstheme="majorBidi"/>
        </w:rPr>
        <w:t>;</w:t>
      </w:r>
      <w:r w:rsidRPr="00C14D70">
        <w:rPr>
          <w:rFonts w:asciiTheme="majorBidi" w:hAnsiTheme="majorBidi" w:cstheme="majorBidi"/>
        </w:rPr>
        <w:t xml:space="preserve"> 7-8 represents normal judgment. </w:t>
      </w:r>
    </w:p>
    <w:p w14:paraId="0AADF0CA" w14:textId="62E1A693" w:rsidR="004E72D5" w:rsidRPr="00C14D70" w:rsidRDefault="00727B06" w:rsidP="006075C2">
      <w:pPr>
        <w:spacing w:line="480" w:lineRule="auto"/>
        <w:rPr>
          <w:rFonts w:asciiTheme="majorBidi" w:hAnsiTheme="majorBidi" w:cstheme="majorBidi"/>
          <w:b/>
          <w:bCs/>
          <w:i/>
          <w:iCs/>
        </w:rPr>
      </w:pPr>
      <w:r w:rsidRPr="00C14D70">
        <w:rPr>
          <w:rFonts w:asciiTheme="majorBidi" w:hAnsiTheme="majorBidi" w:cstheme="majorBidi"/>
          <w:b/>
          <w:bCs/>
          <w:i/>
          <w:iCs/>
        </w:rPr>
        <w:t xml:space="preserve">Follow up </w:t>
      </w:r>
      <w:r w:rsidR="008F7B21" w:rsidRPr="00C14D70">
        <w:rPr>
          <w:rFonts w:asciiTheme="majorBidi" w:hAnsiTheme="majorBidi" w:cstheme="majorBidi"/>
          <w:b/>
          <w:bCs/>
          <w:i/>
          <w:iCs/>
        </w:rPr>
        <w:t xml:space="preserve">Home </w:t>
      </w:r>
      <w:r w:rsidR="00AB14E6" w:rsidRPr="00C14D70">
        <w:rPr>
          <w:rFonts w:asciiTheme="majorBidi" w:hAnsiTheme="majorBidi" w:cstheme="majorBidi"/>
          <w:b/>
          <w:bCs/>
          <w:i/>
          <w:iCs/>
        </w:rPr>
        <w:t>Assessment</w:t>
      </w:r>
    </w:p>
    <w:p w14:paraId="5A28610D" w14:textId="5CEC13A7" w:rsidR="00484B86" w:rsidRPr="003F3C83" w:rsidRDefault="004E72D5" w:rsidP="003F3C83">
      <w:pPr>
        <w:spacing w:after="0" w:line="480" w:lineRule="auto"/>
        <w:rPr>
          <w:rFonts w:asciiTheme="majorBidi" w:hAnsiTheme="majorBidi" w:cstheme="majorBidi"/>
        </w:rPr>
      </w:pPr>
      <w:r w:rsidRPr="00C14D70">
        <w:rPr>
          <w:rFonts w:asciiTheme="majorBidi" w:hAnsiTheme="majorBidi" w:cstheme="majorBidi"/>
        </w:rPr>
        <w:t>To assess the predictive value of the COFEE-H</w:t>
      </w:r>
      <w:r w:rsidR="005559C6" w:rsidRPr="00C14D70">
        <w:rPr>
          <w:rFonts w:asciiTheme="majorBidi" w:hAnsiTheme="majorBidi" w:cstheme="majorBidi"/>
        </w:rPr>
        <w:t>D</w:t>
      </w:r>
      <w:r w:rsidRPr="00C14D70">
        <w:rPr>
          <w:rFonts w:asciiTheme="majorBidi" w:hAnsiTheme="majorBidi" w:cstheme="majorBidi"/>
        </w:rPr>
        <w:t xml:space="preserve"> for future </w:t>
      </w:r>
      <w:r w:rsidR="001A7EF7" w:rsidRPr="00C14D70">
        <w:rPr>
          <w:rFonts w:asciiTheme="majorBidi" w:hAnsiTheme="majorBidi" w:cstheme="majorBidi"/>
        </w:rPr>
        <w:t>home-based</w:t>
      </w:r>
      <w:r w:rsidRPr="00C14D70">
        <w:rPr>
          <w:rFonts w:asciiTheme="majorBidi" w:hAnsiTheme="majorBidi" w:cstheme="majorBidi"/>
        </w:rPr>
        <w:t xml:space="preserve"> functioning, the following standard instruments were used</w:t>
      </w:r>
      <w:r w:rsidR="00D61F07" w:rsidRPr="00C14D70">
        <w:rPr>
          <w:rFonts w:asciiTheme="majorBidi" w:hAnsiTheme="majorBidi" w:cstheme="majorBidi"/>
        </w:rPr>
        <w:t xml:space="preserve"> when a home assessment was conducted: </w:t>
      </w:r>
    </w:p>
    <w:p w14:paraId="74A31099" w14:textId="7FD6C0C3" w:rsidR="004101D3" w:rsidRPr="00C14D70" w:rsidRDefault="002C352A" w:rsidP="002C352A">
      <w:pPr>
        <w:spacing w:after="0" w:line="480" w:lineRule="auto"/>
        <w:rPr>
          <w:rFonts w:asciiTheme="majorBidi" w:hAnsiTheme="majorBidi" w:cstheme="majorBidi"/>
          <w:b/>
          <w:bCs/>
        </w:rPr>
      </w:pPr>
      <w:r>
        <w:rPr>
          <w:rFonts w:asciiTheme="majorBidi" w:hAnsiTheme="majorBidi" w:cstheme="majorBidi"/>
          <w:b/>
          <w:bCs/>
        </w:rPr>
        <w:t xml:space="preserve">    </w:t>
      </w:r>
      <w:r w:rsidR="008F7B21" w:rsidRPr="00C14D70">
        <w:rPr>
          <w:rFonts w:asciiTheme="majorBidi" w:hAnsiTheme="majorBidi" w:cstheme="majorBidi"/>
          <w:b/>
          <w:bCs/>
        </w:rPr>
        <w:t xml:space="preserve">Basic and Instrumental </w:t>
      </w:r>
      <w:r w:rsidR="004101D3" w:rsidRPr="00C14D70">
        <w:rPr>
          <w:rFonts w:asciiTheme="majorBidi" w:hAnsiTheme="majorBidi" w:cstheme="majorBidi"/>
          <w:b/>
          <w:bCs/>
        </w:rPr>
        <w:t xml:space="preserve">Functioning: </w:t>
      </w:r>
    </w:p>
    <w:p w14:paraId="6C9A5636" w14:textId="2DBADC52" w:rsidR="00A664F0" w:rsidRPr="003F3C83" w:rsidRDefault="00464982" w:rsidP="003F3C83">
      <w:pPr>
        <w:pStyle w:val="ListParagraph"/>
        <w:numPr>
          <w:ilvl w:val="1"/>
          <w:numId w:val="11"/>
        </w:numPr>
        <w:spacing w:after="0" w:line="480" w:lineRule="auto"/>
        <w:rPr>
          <w:rFonts w:asciiTheme="majorBidi" w:hAnsiTheme="majorBidi" w:cstheme="majorBidi"/>
        </w:rPr>
      </w:pPr>
      <w:r w:rsidRPr="003F3C83">
        <w:rPr>
          <w:rFonts w:asciiTheme="majorBidi" w:hAnsiTheme="majorBidi" w:cstheme="majorBidi"/>
        </w:rPr>
        <w:t xml:space="preserve">The </w:t>
      </w:r>
      <w:r w:rsidR="004E72D5" w:rsidRPr="003F3C83">
        <w:rPr>
          <w:rFonts w:asciiTheme="majorBidi" w:hAnsiTheme="majorBidi" w:cstheme="majorBidi"/>
        </w:rPr>
        <w:t>Barthel Index of Activities of Daily Living (</w:t>
      </w:r>
      <w:r w:rsidRPr="003F3C83">
        <w:rPr>
          <w:rFonts w:asciiTheme="majorBidi" w:hAnsiTheme="majorBidi" w:cstheme="majorBidi"/>
        </w:rPr>
        <w:t xml:space="preserve">Barthel </w:t>
      </w:r>
      <w:r w:rsidR="004E72D5" w:rsidRPr="003F3C83">
        <w:rPr>
          <w:rFonts w:asciiTheme="majorBidi" w:hAnsiTheme="majorBidi" w:cstheme="majorBidi"/>
        </w:rPr>
        <w:t>ADL) (</w:t>
      </w:r>
      <w:bookmarkStart w:id="0" w:name="_Hlk66367141"/>
      <w:r w:rsidR="004E72D5" w:rsidRPr="003F3C83">
        <w:rPr>
          <w:rFonts w:asciiTheme="majorBidi" w:hAnsiTheme="majorBidi" w:cstheme="majorBidi"/>
        </w:rPr>
        <w:t>Mahoney &amp; Barthel, 1965)</w:t>
      </w:r>
      <w:bookmarkEnd w:id="0"/>
      <w:r w:rsidR="004E72D5" w:rsidRPr="003F3C83">
        <w:rPr>
          <w:rFonts w:asciiTheme="majorBidi" w:hAnsiTheme="majorBidi" w:cstheme="majorBidi"/>
        </w:rPr>
        <w:t xml:space="preserve"> </w:t>
      </w:r>
      <w:r w:rsidR="004E72D5" w:rsidRPr="003F3C83">
        <w:rPr>
          <w:rFonts w:asciiTheme="majorBidi" w:hAnsiTheme="majorBidi" w:cstheme="majorBidi"/>
          <w:rtl/>
        </w:rPr>
        <w:t xml:space="preserve"> </w:t>
      </w:r>
    </w:p>
    <w:p w14:paraId="50FB55AE" w14:textId="2EC0C37B" w:rsidR="00464982" w:rsidRPr="003F3C83" w:rsidRDefault="00464982" w:rsidP="003F3C83">
      <w:pPr>
        <w:pStyle w:val="ListParagraph"/>
        <w:numPr>
          <w:ilvl w:val="1"/>
          <w:numId w:val="11"/>
        </w:numPr>
        <w:spacing w:after="0" w:line="480" w:lineRule="auto"/>
        <w:rPr>
          <w:rFonts w:asciiTheme="majorBidi" w:hAnsiTheme="majorBidi" w:cstheme="majorBidi"/>
        </w:rPr>
      </w:pPr>
      <w:r w:rsidRPr="003F3C83">
        <w:rPr>
          <w:rFonts w:asciiTheme="majorBidi" w:hAnsiTheme="majorBidi" w:cstheme="majorBidi"/>
        </w:rPr>
        <w:t>The Lawton Instrumental Activities of Daily Living Scale (Lawton ADL)</w:t>
      </w:r>
      <w:r w:rsidR="004101D3" w:rsidRPr="003F3C83">
        <w:rPr>
          <w:rFonts w:asciiTheme="majorBidi" w:hAnsiTheme="majorBidi" w:cstheme="majorBidi"/>
        </w:rPr>
        <w:t xml:space="preserve"> (</w:t>
      </w:r>
      <w:bookmarkStart w:id="1" w:name="_Hlk66367174"/>
      <w:r w:rsidR="004101D3" w:rsidRPr="003F3C83">
        <w:rPr>
          <w:rFonts w:asciiTheme="majorBidi" w:hAnsiTheme="majorBidi" w:cstheme="majorBidi"/>
        </w:rPr>
        <w:t>Lawton &amp; Brody, 1969</w:t>
      </w:r>
      <w:bookmarkEnd w:id="1"/>
      <w:r w:rsidR="004101D3" w:rsidRPr="003F3C83">
        <w:rPr>
          <w:rFonts w:asciiTheme="majorBidi" w:hAnsiTheme="majorBidi" w:cstheme="majorBidi"/>
        </w:rPr>
        <w:t>)</w:t>
      </w:r>
    </w:p>
    <w:p w14:paraId="15CF31D4" w14:textId="77777777" w:rsidR="004101D3" w:rsidRPr="00C14D70" w:rsidRDefault="004101D3" w:rsidP="003F3C83">
      <w:pPr>
        <w:spacing w:after="0" w:line="480" w:lineRule="auto"/>
        <w:ind w:firstLine="360"/>
        <w:rPr>
          <w:rFonts w:asciiTheme="majorBidi" w:hAnsiTheme="majorBidi" w:cstheme="majorBidi"/>
          <w:b/>
          <w:bCs/>
        </w:rPr>
      </w:pPr>
      <w:r w:rsidRPr="00C14D70">
        <w:rPr>
          <w:rFonts w:asciiTheme="majorBidi" w:hAnsiTheme="majorBidi" w:cstheme="majorBidi"/>
          <w:b/>
          <w:bCs/>
        </w:rPr>
        <w:t xml:space="preserve">Personal and environmental safety: </w:t>
      </w:r>
    </w:p>
    <w:p w14:paraId="26B335B5" w14:textId="79AB97FF" w:rsidR="004101D3" w:rsidRPr="003A75A1" w:rsidRDefault="004101D3" w:rsidP="00D61F07">
      <w:pPr>
        <w:pStyle w:val="ListParagraph"/>
        <w:numPr>
          <w:ilvl w:val="0"/>
          <w:numId w:val="7"/>
        </w:numPr>
        <w:spacing w:after="0" w:line="480" w:lineRule="auto"/>
        <w:rPr>
          <w:rFonts w:asciiTheme="majorBidi" w:hAnsiTheme="majorBidi" w:cstheme="majorBidi"/>
        </w:rPr>
      </w:pPr>
      <w:r w:rsidRPr="003402C3">
        <w:rPr>
          <w:rFonts w:asciiTheme="majorBidi" w:hAnsiTheme="majorBidi" w:cstheme="majorBidi"/>
        </w:rPr>
        <w:t xml:space="preserve">The Home Occupational Environment Assessment (HOEA), </w:t>
      </w:r>
      <w:r w:rsidR="00205989" w:rsidRPr="003402C3">
        <w:rPr>
          <w:rFonts w:asciiTheme="majorBidi" w:hAnsiTheme="majorBidi" w:cstheme="majorBidi"/>
        </w:rPr>
        <w:t>(</w:t>
      </w:r>
      <w:r w:rsidRPr="003402C3">
        <w:rPr>
          <w:rFonts w:asciiTheme="majorBidi" w:hAnsiTheme="majorBidi" w:cstheme="majorBidi"/>
        </w:rPr>
        <w:t>Baum &amp; Edwards, 1998)</w:t>
      </w:r>
      <w:r w:rsidR="00230C2C">
        <w:rPr>
          <w:rFonts w:asciiTheme="majorBidi" w:hAnsiTheme="majorBidi" w:cstheme="majorBidi"/>
        </w:rPr>
        <w:t>:</w:t>
      </w:r>
      <w:r w:rsidR="00230C2C" w:rsidRPr="003402C3">
        <w:rPr>
          <w:rFonts w:asciiTheme="majorBidi" w:hAnsiTheme="majorBidi" w:cstheme="majorBidi"/>
        </w:rPr>
        <w:t xml:space="preserve"> </w:t>
      </w:r>
      <w:r w:rsidRPr="003402C3">
        <w:rPr>
          <w:rFonts w:asciiTheme="majorBidi" w:hAnsiTheme="majorBidi" w:cstheme="majorBidi"/>
        </w:rPr>
        <w:t>assesses the environment of a person with cognitive impairment</w:t>
      </w:r>
      <w:r w:rsidR="00200253" w:rsidRPr="003A75A1">
        <w:rPr>
          <w:rFonts w:asciiTheme="majorBidi" w:hAnsiTheme="majorBidi" w:cstheme="majorBidi"/>
        </w:rPr>
        <w:t xml:space="preserve"> </w:t>
      </w:r>
      <w:r w:rsidRPr="003A75A1">
        <w:rPr>
          <w:rFonts w:asciiTheme="majorBidi" w:hAnsiTheme="majorBidi" w:cstheme="majorBidi"/>
        </w:rPr>
        <w:t xml:space="preserve">in order to determine ability to safely dwell at home. </w:t>
      </w:r>
      <w:r w:rsidR="003402C3" w:rsidRPr="003A75A1">
        <w:rPr>
          <w:rFonts w:asciiTheme="majorBidi" w:hAnsiTheme="majorBidi" w:cstheme="majorBidi"/>
        </w:rPr>
        <w:t>H</w:t>
      </w:r>
      <w:r w:rsidRPr="003A75A1">
        <w:rPr>
          <w:rFonts w:asciiTheme="majorBidi" w:hAnsiTheme="majorBidi" w:cstheme="majorBidi"/>
        </w:rPr>
        <w:t>igher scor</w:t>
      </w:r>
      <w:r w:rsidR="00230C2C">
        <w:rPr>
          <w:rFonts w:asciiTheme="majorBidi" w:hAnsiTheme="majorBidi" w:cstheme="majorBidi"/>
        </w:rPr>
        <w:t>es</w:t>
      </w:r>
      <w:r w:rsidRPr="003A75A1">
        <w:rPr>
          <w:rFonts w:asciiTheme="majorBidi" w:hAnsiTheme="majorBidi" w:cstheme="majorBidi"/>
        </w:rPr>
        <w:t xml:space="preserve"> mean increased risk.</w:t>
      </w:r>
    </w:p>
    <w:p w14:paraId="61DC8C79" w14:textId="6FE8BC2A" w:rsidR="00205989" w:rsidRPr="003F3C83" w:rsidRDefault="004101D3" w:rsidP="006075C2">
      <w:pPr>
        <w:pStyle w:val="ListParagraph"/>
        <w:numPr>
          <w:ilvl w:val="0"/>
          <w:numId w:val="7"/>
        </w:numPr>
        <w:spacing w:after="0" w:line="480" w:lineRule="auto"/>
        <w:rPr>
          <w:rFonts w:asciiTheme="majorBidi" w:hAnsiTheme="majorBidi" w:cstheme="majorBidi"/>
          <w:b/>
          <w:bCs/>
        </w:rPr>
      </w:pPr>
      <w:r w:rsidRPr="00C14D70">
        <w:rPr>
          <w:rFonts w:asciiTheme="majorBidi" w:hAnsiTheme="majorBidi" w:cstheme="majorBidi"/>
        </w:rPr>
        <w:t>Home safety self -report</w:t>
      </w:r>
      <w:r w:rsidR="00DE031B">
        <w:rPr>
          <w:rFonts w:asciiTheme="majorBidi" w:hAnsiTheme="majorBidi" w:cstheme="majorBidi"/>
        </w:rPr>
        <w:t xml:space="preserve"> as developed by the researchers</w:t>
      </w:r>
      <w:r w:rsidRPr="00C14D70">
        <w:rPr>
          <w:rFonts w:asciiTheme="majorBidi" w:hAnsiTheme="majorBidi" w:cstheme="majorBidi"/>
        </w:rPr>
        <w:t>: Participants were asked about 13 different unsafe events at home (</w:t>
      </w:r>
      <w:proofErr w:type="gramStart"/>
      <w:r w:rsidRPr="00C14D70">
        <w:rPr>
          <w:rFonts w:asciiTheme="majorBidi" w:hAnsiTheme="majorBidi" w:cstheme="majorBidi"/>
        </w:rPr>
        <w:t>e.g.</w:t>
      </w:r>
      <w:proofErr w:type="gramEnd"/>
      <w:r w:rsidR="00230C2C">
        <w:rPr>
          <w:rFonts w:asciiTheme="majorBidi" w:hAnsiTheme="majorBidi" w:cstheme="majorBidi"/>
        </w:rPr>
        <w:t xml:space="preserve"> </w:t>
      </w:r>
      <w:r w:rsidRPr="00C14D70">
        <w:rPr>
          <w:rFonts w:asciiTheme="majorBidi" w:hAnsiTheme="majorBidi" w:cstheme="majorBidi"/>
        </w:rPr>
        <w:t>leaving the oven on, falling, letting a stranger in, taking wrong doses of medication). The total score was composed of the sum of the items; a higher score represents greater safety.</w:t>
      </w:r>
    </w:p>
    <w:p w14:paraId="1423F2D0" w14:textId="77777777" w:rsidR="003F3C83" w:rsidRPr="00C14D70" w:rsidRDefault="003F3C83" w:rsidP="003F3C83">
      <w:pPr>
        <w:pStyle w:val="ListParagraph"/>
        <w:spacing w:after="0" w:line="480" w:lineRule="auto"/>
        <w:rPr>
          <w:rFonts w:asciiTheme="majorBidi" w:hAnsiTheme="majorBidi" w:cstheme="majorBidi"/>
          <w:b/>
          <w:bCs/>
        </w:rPr>
      </w:pPr>
    </w:p>
    <w:p w14:paraId="1963B7B8" w14:textId="6505F6BD" w:rsidR="00D67A9D" w:rsidRPr="00C14D70" w:rsidRDefault="00654398" w:rsidP="00D61F07">
      <w:pPr>
        <w:spacing w:line="480" w:lineRule="auto"/>
        <w:rPr>
          <w:rFonts w:asciiTheme="majorBidi" w:hAnsiTheme="majorBidi" w:cstheme="majorBidi"/>
        </w:rPr>
      </w:pPr>
      <w:r w:rsidRPr="00C14D70">
        <w:rPr>
          <w:rFonts w:asciiTheme="majorBidi" w:hAnsiTheme="majorBidi" w:cstheme="majorBidi"/>
          <w:b/>
          <w:bCs/>
        </w:rPr>
        <w:lastRenderedPageBreak/>
        <w:t>Procedure</w:t>
      </w:r>
      <w:r w:rsidR="00D67A9D" w:rsidRPr="00C14D70">
        <w:rPr>
          <w:rFonts w:asciiTheme="majorBidi" w:hAnsiTheme="majorBidi" w:cstheme="majorBidi"/>
        </w:rPr>
        <w:t xml:space="preserve"> </w:t>
      </w:r>
    </w:p>
    <w:p w14:paraId="59313F53" w14:textId="13A53C97" w:rsidR="000B0F11" w:rsidRPr="00C14D70" w:rsidRDefault="00D67A9D" w:rsidP="00D61F07">
      <w:pPr>
        <w:spacing w:line="480" w:lineRule="auto"/>
        <w:rPr>
          <w:rFonts w:asciiTheme="majorBidi" w:hAnsiTheme="majorBidi" w:cstheme="majorBidi"/>
          <w:rtl/>
        </w:rPr>
      </w:pPr>
      <w:r w:rsidRPr="00C14D70">
        <w:rPr>
          <w:rFonts w:asciiTheme="majorBidi" w:hAnsiTheme="majorBidi" w:cstheme="majorBidi"/>
        </w:rPr>
        <w:t xml:space="preserve">The study was approved by the </w:t>
      </w:r>
      <w:r w:rsidR="00141445">
        <w:rPr>
          <w:rFonts w:asciiTheme="majorBidi" w:hAnsiTheme="majorBidi" w:cstheme="majorBidi"/>
        </w:rPr>
        <w:t>Ethics</w:t>
      </w:r>
      <w:r w:rsidR="00141445" w:rsidRPr="00C14D70">
        <w:rPr>
          <w:rFonts w:asciiTheme="majorBidi" w:hAnsiTheme="majorBidi" w:cstheme="majorBidi"/>
        </w:rPr>
        <w:t xml:space="preserve"> </w:t>
      </w:r>
      <w:r w:rsidRPr="00C14D70">
        <w:rPr>
          <w:rFonts w:asciiTheme="majorBidi" w:hAnsiTheme="majorBidi" w:cstheme="majorBidi"/>
        </w:rPr>
        <w:t xml:space="preserve">Committee of the medical center. A process of reliability was conducted between judges and the research team that included </w:t>
      </w:r>
      <w:r w:rsidR="00DE031B">
        <w:rPr>
          <w:rFonts w:asciiTheme="majorBidi" w:hAnsiTheme="majorBidi" w:cstheme="majorBidi"/>
        </w:rPr>
        <w:t xml:space="preserve">seven </w:t>
      </w:r>
      <w:r w:rsidRPr="00C14D70">
        <w:rPr>
          <w:rFonts w:asciiTheme="majorBidi" w:hAnsiTheme="majorBidi" w:cstheme="majorBidi"/>
        </w:rPr>
        <w:t>occupational therapists working at the hospital who also recruited participants according to the inclusion criteria</w:t>
      </w:r>
      <w:r w:rsidRPr="006606E5">
        <w:rPr>
          <w:rFonts w:asciiTheme="majorBidi" w:hAnsiTheme="majorBidi" w:cstheme="majorBidi"/>
        </w:rPr>
        <w:t>. Possible participants</w:t>
      </w:r>
      <w:r w:rsidR="00141445" w:rsidRPr="006606E5">
        <w:rPr>
          <w:rFonts w:asciiTheme="majorBidi" w:hAnsiTheme="majorBidi" w:cstheme="majorBidi"/>
        </w:rPr>
        <w:t xml:space="preserve"> were approached</w:t>
      </w:r>
      <w:r w:rsidRPr="006606E5">
        <w:rPr>
          <w:rFonts w:asciiTheme="majorBidi" w:hAnsiTheme="majorBidi" w:cstheme="majorBidi"/>
        </w:rPr>
        <w:t xml:space="preserve"> </w:t>
      </w:r>
      <w:r w:rsidR="00141445" w:rsidRPr="006606E5">
        <w:rPr>
          <w:rFonts w:asciiTheme="majorBidi" w:hAnsiTheme="majorBidi" w:cstheme="majorBidi"/>
        </w:rPr>
        <w:t xml:space="preserve">by the professional team and received an explanation about the study.  Those </w:t>
      </w:r>
      <w:r w:rsidRPr="006606E5">
        <w:rPr>
          <w:rFonts w:asciiTheme="majorBidi" w:hAnsiTheme="majorBidi" w:cstheme="majorBidi"/>
        </w:rPr>
        <w:t xml:space="preserve">who </w:t>
      </w:r>
      <w:r w:rsidR="009A322D" w:rsidRPr="006606E5">
        <w:rPr>
          <w:rFonts w:asciiTheme="majorBidi" w:hAnsiTheme="majorBidi" w:cstheme="majorBidi"/>
        </w:rPr>
        <w:t xml:space="preserve">recognized the benefit of receiving this </w:t>
      </w:r>
      <w:r w:rsidR="00141445" w:rsidRPr="006606E5">
        <w:rPr>
          <w:rFonts w:asciiTheme="majorBidi" w:hAnsiTheme="majorBidi" w:cstheme="majorBidi"/>
        </w:rPr>
        <w:t>in-depth</w:t>
      </w:r>
      <w:r w:rsidR="009A322D" w:rsidRPr="006606E5">
        <w:rPr>
          <w:rFonts w:asciiTheme="majorBidi" w:hAnsiTheme="majorBidi" w:cstheme="majorBidi"/>
        </w:rPr>
        <w:t xml:space="preserve"> </w:t>
      </w:r>
      <w:r w:rsidR="00141445" w:rsidRPr="006606E5">
        <w:rPr>
          <w:rFonts w:asciiTheme="majorBidi" w:hAnsiTheme="majorBidi" w:cstheme="majorBidi"/>
        </w:rPr>
        <w:t>evaluation</w:t>
      </w:r>
      <w:r w:rsidR="009A322D" w:rsidRPr="006606E5">
        <w:rPr>
          <w:rFonts w:asciiTheme="majorBidi" w:hAnsiTheme="majorBidi" w:cstheme="majorBidi"/>
        </w:rPr>
        <w:t xml:space="preserve"> and </w:t>
      </w:r>
      <w:r w:rsidR="00481577" w:rsidRPr="006606E5">
        <w:rPr>
          <w:rFonts w:asciiTheme="majorBidi" w:hAnsiTheme="majorBidi" w:cstheme="majorBidi"/>
        </w:rPr>
        <w:t>were interested in participating</w:t>
      </w:r>
      <w:r w:rsidR="00141445" w:rsidRPr="006606E5">
        <w:rPr>
          <w:rFonts w:asciiTheme="majorBidi" w:hAnsiTheme="majorBidi" w:cstheme="majorBidi"/>
        </w:rPr>
        <w:t>,</w:t>
      </w:r>
      <w:r w:rsidRPr="006606E5">
        <w:rPr>
          <w:rFonts w:asciiTheme="majorBidi" w:hAnsiTheme="majorBidi" w:cstheme="majorBidi"/>
        </w:rPr>
        <w:t xml:space="preserve"> were </w:t>
      </w:r>
      <w:r w:rsidR="00141445" w:rsidRPr="006606E5">
        <w:rPr>
          <w:rFonts w:asciiTheme="majorBidi" w:hAnsiTheme="majorBidi" w:cstheme="majorBidi"/>
        </w:rPr>
        <w:t xml:space="preserve">further </w:t>
      </w:r>
      <w:r w:rsidRPr="006606E5">
        <w:rPr>
          <w:rFonts w:asciiTheme="majorBidi" w:hAnsiTheme="majorBidi" w:cstheme="majorBidi"/>
        </w:rPr>
        <w:t>explained the goals and procedure</w:t>
      </w:r>
      <w:r w:rsidR="00141445" w:rsidRPr="006606E5">
        <w:rPr>
          <w:rFonts w:asciiTheme="majorBidi" w:hAnsiTheme="majorBidi" w:cstheme="majorBidi"/>
        </w:rPr>
        <w:t xml:space="preserve">s and </w:t>
      </w:r>
      <w:r w:rsidRPr="006606E5">
        <w:rPr>
          <w:rFonts w:asciiTheme="majorBidi" w:hAnsiTheme="majorBidi" w:cstheme="majorBidi"/>
        </w:rPr>
        <w:t>signed an informed consent form. The</w:t>
      </w:r>
      <w:r w:rsidRPr="00C14D70">
        <w:rPr>
          <w:rFonts w:asciiTheme="majorBidi" w:hAnsiTheme="majorBidi" w:cstheme="majorBidi"/>
        </w:rPr>
        <w:t xml:space="preserve"> current hospital discharge evaluation was then performed by the hospital </w:t>
      </w:r>
      <w:r w:rsidR="008846FA">
        <w:rPr>
          <w:rFonts w:asciiTheme="majorBidi" w:hAnsiTheme="majorBidi" w:cstheme="majorBidi"/>
        </w:rPr>
        <w:t>occupational therapist</w:t>
      </w:r>
      <w:r w:rsidRPr="00C14D70">
        <w:rPr>
          <w:rFonts w:asciiTheme="majorBidi" w:hAnsiTheme="majorBidi" w:cstheme="majorBidi"/>
        </w:rPr>
        <w:t>, to be followed by the COFEE</w:t>
      </w:r>
      <w:r w:rsidR="0020267F" w:rsidRPr="00C14D70">
        <w:rPr>
          <w:rFonts w:asciiTheme="majorBidi" w:hAnsiTheme="majorBidi" w:cstheme="majorBidi"/>
        </w:rPr>
        <w:t xml:space="preserve"> -</w:t>
      </w:r>
      <w:r w:rsidR="00527EE3" w:rsidRPr="00C14D70">
        <w:rPr>
          <w:rFonts w:asciiTheme="majorBidi" w:hAnsiTheme="majorBidi" w:cstheme="majorBidi"/>
        </w:rPr>
        <w:t>HD</w:t>
      </w:r>
      <w:r w:rsidRPr="00C14D70">
        <w:rPr>
          <w:rFonts w:asciiTheme="majorBidi" w:hAnsiTheme="majorBidi" w:cstheme="majorBidi"/>
        </w:rPr>
        <w:t xml:space="preserve">, </w:t>
      </w:r>
      <w:r w:rsidR="0019224E" w:rsidRPr="00C14D70">
        <w:rPr>
          <w:rFonts w:asciiTheme="majorBidi" w:hAnsiTheme="majorBidi" w:cstheme="majorBidi"/>
        </w:rPr>
        <w:t>executed</w:t>
      </w:r>
      <w:r w:rsidRPr="00C14D70">
        <w:rPr>
          <w:rFonts w:asciiTheme="majorBidi" w:hAnsiTheme="majorBidi" w:cstheme="majorBidi"/>
        </w:rPr>
        <w:t xml:space="preserve"> by the research team. </w:t>
      </w:r>
      <w:r w:rsidR="003402C3" w:rsidRPr="00D51235">
        <w:rPr>
          <w:rFonts w:asciiTheme="majorBidi" w:hAnsiTheme="majorBidi" w:cstheme="majorBidi"/>
        </w:rPr>
        <w:t>On average, f</w:t>
      </w:r>
      <w:r w:rsidRPr="00D51235">
        <w:rPr>
          <w:rFonts w:asciiTheme="majorBidi" w:hAnsiTheme="majorBidi" w:cstheme="majorBidi"/>
        </w:rPr>
        <w:t>our</w:t>
      </w:r>
      <w:r w:rsidRPr="00C14D70">
        <w:rPr>
          <w:rFonts w:asciiTheme="majorBidi" w:hAnsiTheme="majorBidi" w:cstheme="majorBidi"/>
        </w:rPr>
        <w:t xml:space="preserve"> months after discharge, another evaluation was performed during a home visit by </w:t>
      </w:r>
      <w:r w:rsidR="00364757" w:rsidRPr="00C14D70">
        <w:rPr>
          <w:rFonts w:asciiTheme="majorBidi" w:hAnsiTheme="majorBidi" w:cstheme="majorBidi"/>
        </w:rPr>
        <w:t xml:space="preserve">a different OT than the one in </w:t>
      </w:r>
      <w:r w:rsidR="0019224E" w:rsidRPr="00C14D70">
        <w:rPr>
          <w:rFonts w:asciiTheme="majorBidi" w:hAnsiTheme="majorBidi" w:cstheme="majorBidi"/>
        </w:rPr>
        <w:t xml:space="preserve">the </w:t>
      </w:r>
      <w:r w:rsidR="00364757" w:rsidRPr="00C14D70">
        <w:rPr>
          <w:rFonts w:asciiTheme="majorBidi" w:hAnsiTheme="majorBidi" w:cstheme="majorBidi"/>
        </w:rPr>
        <w:t xml:space="preserve">hospital. </w:t>
      </w:r>
    </w:p>
    <w:p w14:paraId="515732AF" w14:textId="7BE2DAE3" w:rsidR="000B0F11" w:rsidRPr="00C14D70" w:rsidRDefault="000B0F11" w:rsidP="00D61F07">
      <w:pPr>
        <w:spacing w:line="480" w:lineRule="auto"/>
        <w:rPr>
          <w:rFonts w:asciiTheme="majorBidi" w:hAnsiTheme="majorBidi" w:cstheme="majorBidi"/>
          <w:b/>
          <w:bCs/>
          <w:rtl/>
        </w:rPr>
      </w:pPr>
      <w:r w:rsidRPr="00C14D70">
        <w:rPr>
          <w:rFonts w:asciiTheme="majorBidi" w:hAnsiTheme="majorBidi" w:cstheme="majorBidi"/>
          <w:b/>
          <w:bCs/>
        </w:rPr>
        <w:t xml:space="preserve">Data </w:t>
      </w:r>
      <w:r w:rsidR="007A0032" w:rsidRPr="00C14D70">
        <w:rPr>
          <w:rFonts w:asciiTheme="majorBidi" w:hAnsiTheme="majorBidi" w:cstheme="majorBidi"/>
          <w:b/>
          <w:bCs/>
        </w:rPr>
        <w:t>A</w:t>
      </w:r>
      <w:r w:rsidRPr="00C14D70">
        <w:rPr>
          <w:rFonts w:asciiTheme="majorBidi" w:hAnsiTheme="majorBidi" w:cstheme="majorBidi"/>
          <w:b/>
          <w:bCs/>
        </w:rPr>
        <w:t xml:space="preserve">nalysis </w:t>
      </w:r>
    </w:p>
    <w:p w14:paraId="71364DA3" w14:textId="46F31297" w:rsidR="00231169" w:rsidRPr="00FF086E" w:rsidRDefault="000B0F11" w:rsidP="00D61F07">
      <w:pPr>
        <w:spacing w:line="480" w:lineRule="auto"/>
        <w:rPr>
          <w:rFonts w:asciiTheme="majorBidi" w:hAnsiTheme="majorBidi" w:cstheme="majorBidi"/>
        </w:rPr>
      </w:pPr>
      <w:r w:rsidRPr="00C14D70">
        <w:rPr>
          <w:rFonts w:asciiTheme="majorBidi" w:hAnsiTheme="majorBidi" w:cstheme="majorBidi"/>
        </w:rPr>
        <w:t xml:space="preserve">Data were analyzed with SPSS </w:t>
      </w:r>
      <w:r w:rsidRPr="001F4741">
        <w:rPr>
          <w:rFonts w:asciiTheme="majorBidi" w:hAnsiTheme="majorBidi" w:cstheme="majorBidi"/>
        </w:rPr>
        <w:t>v</w:t>
      </w:r>
      <w:r w:rsidR="0019224E" w:rsidRPr="001F4741">
        <w:rPr>
          <w:rFonts w:asciiTheme="majorBidi" w:hAnsiTheme="majorBidi" w:cstheme="majorBidi"/>
        </w:rPr>
        <w:t>.</w:t>
      </w:r>
      <w:r w:rsidRPr="001F4741">
        <w:rPr>
          <w:rFonts w:asciiTheme="majorBidi" w:hAnsiTheme="majorBidi" w:cstheme="majorBidi"/>
        </w:rPr>
        <w:t>2</w:t>
      </w:r>
      <w:r w:rsidR="002C352A" w:rsidRPr="001F4741">
        <w:rPr>
          <w:rFonts w:asciiTheme="majorBidi" w:hAnsiTheme="majorBidi" w:cstheme="majorBidi"/>
        </w:rPr>
        <w:t>7</w:t>
      </w:r>
      <w:r w:rsidR="0020267F" w:rsidRPr="001F4741">
        <w:rPr>
          <w:rFonts w:asciiTheme="majorBidi" w:hAnsiTheme="majorBidi" w:cstheme="majorBidi"/>
        </w:rPr>
        <w:t xml:space="preserve"> </w:t>
      </w:r>
      <w:r w:rsidR="0020267F" w:rsidRPr="00C14D70">
        <w:rPr>
          <w:rFonts w:asciiTheme="majorBidi" w:hAnsiTheme="majorBidi" w:cstheme="majorBidi"/>
        </w:rPr>
        <w:t>(IBM, Chicago IL)</w:t>
      </w:r>
      <w:r w:rsidRPr="00C14D70">
        <w:rPr>
          <w:rFonts w:asciiTheme="majorBidi" w:hAnsiTheme="majorBidi" w:cstheme="majorBidi"/>
        </w:rPr>
        <w:t xml:space="preserve">. All variables were described with frequencies and percentages for categorical variables, and means and standard deviations for continuous variables. Spearman correlations were calculated between the variables of the standard evaluation conducted in the hospital and the variables of the COFEE evaluation, as well between the variables of the COFEE evaluation and the variables of the evaluation conducted at home after discharge. Some patients were unavailable for some assessments, and thus the various measures include different amounts of participating </w:t>
      </w:r>
      <w:r w:rsidR="00920F61" w:rsidRPr="00C14D70">
        <w:rPr>
          <w:rFonts w:asciiTheme="majorBidi" w:hAnsiTheme="majorBidi" w:cstheme="majorBidi"/>
        </w:rPr>
        <w:t>older adults</w:t>
      </w:r>
      <w:r w:rsidRPr="00C14D70">
        <w:rPr>
          <w:rFonts w:asciiTheme="majorBidi" w:hAnsiTheme="majorBidi" w:cstheme="majorBidi"/>
        </w:rPr>
        <w:t xml:space="preserve">. Stepwise regression models </w:t>
      </w:r>
      <w:r w:rsidR="00493FB7" w:rsidRPr="00C14D70">
        <w:rPr>
          <w:rFonts w:asciiTheme="majorBidi" w:eastAsia="Times New Roman" w:hAnsiTheme="majorBidi" w:cstheme="majorBidi"/>
        </w:rPr>
        <w:t xml:space="preserve">were calculated to assess the contribution of the </w:t>
      </w:r>
      <w:r w:rsidR="00493FB7" w:rsidRPr="00C14D70">
        <w:rPr>
          <w:rFonts w:asciiTheme="majorBidi" w:hAnsiTheme="majorBidi" w:cstheme="majorBidi"/>
        </w:rPr>
        <w:t>COFEE</w:t>
      </w:r>
      <w:r w:rsidR="00481577" w:rsidRPr="00C14D70">
        <w:rPr>
          <w:rFonts w:asciiTheme="majorBidi" w:hAnsiTheme="majorBidi" w:cstheme="majorBidi"/>
        </w:rPr>
        <w:t>-HD</w:t>
      </w:r>
      <w:r w:rsidR="00493FB7" w:rsidRPr="00C14D70">
        <w:rPr>
          <w:rFonts w:asciiTheme="majorBidi" w:hAnsiTheme="majorBidi" w:cstheme="majorBidi"/>
        </w:rPr>
        <w:t xml:space="preserve"> evaluation at discharge from the geriatric ward, to </w:t>
      </w:r>
      <w:r w:rsidR="00493FB7" w:rsidRPr="00C14D70">
        <w:rPr>
          <w:rFonts w:asciiTheme="majorBidi" w:eastAsia="Times New Roman" w:hAnsiTheme="majorBidi" w:cstheme="majorBidi"/>
        </w:rPr>
        <w:t xml:space="preserve">the </w:t>
      </w:r>
      <w:r w:rsidR="00493FB7" w:rsidRPr="00C14D70">
        <w:rPr>
          <w:rFonts w:asciiTheme="majorBidi" w:hAnsiTheme="majorBidi" w:cstheme="majorBidi"/>
        </w:rPr>
        <w:t>functional evaluation in the home visit</w:t>
      </w:r>
      <w:r w:rsidR="00493FB7" w:rsidRPr="00C14D70">
        <w:rPr>
          <w:rFonts w:asciiTheme="majorBidi" w:eastAsia="Times New Roman" w:hAnsiTheme="majorBidi" w:cstheme="majorBidi"/>
        </w:rPr>
        <w:t xml:space="preserve"> (BADL and IADL). All COFEE</w:t>
      </w:r>
      <w:r w:rsidR="00B15D80" w:rsidRPr="00C14D70">
        <w:rPr>
          <w:rFonts w:asciiTheme="majorBidi" w:eastAsia="Times New Roman" w:hAnsiTheme="majorBidi" w:cstheme="majorBidi"/>
        </w:rPr>
        <w:t xml:space="preserve">-HD </w:t>
      </w:r>
      <w:r w:rsidR="00493FB7" w:rsidRPr="00C14D70">
        <w:rPr>
          <w:rFonts w:asciiTheme="majorBidi" w:eastAsia="Times New Roman" w:hAnsiTheme="majorBidi" w:cstheme="majorBidi"/>
        </w:rPr>
        <w:t xml:space="preserve">variables that had significant relationships with the home assessment of BADL and IADL were </w:t>
      </w:r>
      <w:r w:rsidR="00493FB7" w:rsidRPr="00C14D70">
        <w:rPr>
          <w:rFonts w:asciiTheme="majorBidi" w:eastAsia="Times New Roman" w:hAnsiTheme="majorBidi" w:cstheme="majorBidi"/>
        </w:rPr>
        <w:lastRenderedPageBreak/>
        <w:t>defined as possible predictors. Age and gender were used as well. Variables that were positively or negatively skewed were mathematically transformed. Stepwise regressions were used due to the number of possible predictors versus sample size.</w:t>
      </w:r>
      <w:r w:rsidR="002C352A" w:rsidRPr="002C352A">
        <w:rPr>
          <w:rFonts w:asciiTheme="majorBidi" w:hAnsiTheme="majorBidi" w:cstheme="majorBidi"/>
        </w:rPr>
        <w:t xml:space="preserve"> </w:t>
      </w:r>
      <w:r w:rsidR="002C352A" w:rsidRPr="00FF086E">
        <w:rPr>
          <w:rFonts w:asciiTheme="majorBidi" w:hAnsiTheme="majorBidi" w:cstheme="majorBidi"/>
        </w:rPr>
        <w:t xml:space="preserve">Significance level was set at p = 0.05.  </w:t>
      </w:r>
    </w:p>
    <w:p w14:paraId="37AC32DC" w14:textId="3E68A034" w:rsidR="007478EC" w:rsidRPr="00C14D70" w:rsidRDefault="007478EC" w:rsidP="00D61F07">
      <w:pPr>
        <w:spacing w:after="160" w:line="480" w:lineRule="auto"/>
        <w:rPr>
          <w:rFonts w:asciiTheme="majorBidi" w:hAnsiTheme="majorBidi" w:cstheme="majorBidi"/>
          <w:b/>
          <w:bCs/>
        </w:rPr>
      </w:pPr>
      <w:r w:rsidRPr="00C14D70">
        <w:rPr>
          <w:rFonts w:asciiTheme="majorBidi" w:hAnsiTheme="majorBidi" w:cstheme="majorBidi"/>
          <w:b/>
          <w:bCs/>
        </w:rPr>
        <w:t>Results</w:t>
      </w:r>
    </w:p>
    <w:p w14:paraId="00095BFA" w14:textId="761CF58E" w:rsidR="000B0F11" w:rsidRPr="00C14D70" w:rsidRDefault="00196C05" w:rsidP="00614447">
      <w:pPr>
        <w:spacing w:line="480" w:lineRule="auto"/>
        <w:rPr>
          <w:rFonts w:asciiTheme="majorBidi" w:hAnsiTheme="majorBidi" w:cstheme="majorBidi"/>
        </w:rPr>
      </w:pPr>
      <w:r w:rsidRPr="00C14D70">
        <w:rPr>
          <w:rFonts w:asciiTheme="majorBidi" w:hAnsiTheme="majorBidi" w:cstheme="majorBidi"/>
        </w:rPr>
        <w:t>A</w:t>
      </w:r>
      <w:r w:rsidR="00364757" w:rsidRPr="00C14D70">
        <w:rPr>
          <w:rFonts w:asciiTheme="majorBidi" w:hAnsiTheme="majorBidi" w:cstheme="majorBidi"/>
        </w:rPr>
        <w:t xml:space="preserve"> </w:t>
      </w:r>
      <w:r w:rsidR="00B15D80" w:rsidRPr="00C14D70">
        <w:rPr>
          <w:rFonts w:asciiTheme="majorBidi" w:hAnsiTheme="majorBidi" w:cstheme="majorBidi"/>
        </w:rPr>
        <w:t>total of</w:t>
      </w:r>
      <w:r w:rsidR="00364757" w:rsidRPr="00C14D70">
        <w:rPr>
          <w:rFonts w:asciiTheme="majorBidi" w:hAnsiTheme="majorBidi" w:cstheme="majorBidi"/>
        </w:rPr>
        <w:t xml:space="preserve"> </w:t>
      </w:r>
      <w:r w:rsidR="00D473C9" w:rsidRPr="00C14D70">
        <w:rPr>
          <w:rFonts w:asciiTheme="majorBidi" w:hAnsiTheme="majorBidi" w:cstheme="majorBidi"/>
        </w:rPr>
        <w:t xml:space="preserve">77 </w:t>
      </w:r>
      <w:r w:rsidR="00B15D80" w:rsidRPr="00C14D70">
        <w:rPr>
          <w:rFonts w:asciiTheme="majorBidi" w:hAnsiTheme="majorBidi" w:cstheme="majorBidi"/>
        </w:rPr>
        <w:t xml:space="preserve">patients </w:t>
      </w:r>
      <w:r w:rsidR="00481577" w:rsidRPr="00C14D70">
        <w:rPr>
          <w:rFonts w:asciiTheme="majorBidi" w:hAnsiTheme="majorBidi" w:cstheme="majorBidi"/>
        </w:rPr>
        <w:t xml:space="preserve">were recruited in the hospital ward, </w:t>
      </w:r>
      <w:r w:rsidR="006075C2" w:rsidRPr="00C14D70">
        <w:rPr>
          <w:rFonts w:asciiTheme="majorBidi" w:hAnsiTheme="majorBidi" w:cstheme="majorBidi"/>
        </w:rPr>
        <w:t>ages</w:t>
      </w:r>
      <w:r w:rsidR="00D473C9" w:rsidRPr="00C14D70">
        <w:rPr>
          <w:rFonts w:asciiTheme="majorBidi" w:hAnsiTheme="majorBidi" w:cstheme="majorBidi"/>
        </w:rPr>
        <w:t xml:space="preserve"> 65 </w:t>
      </w:r>
      <w:r w:rsidR="00481577" w:rsidRPr="00C14D70">
        <w:rPr>
          <w:rFonts w:asciiTheme="majorBidi" w:hAnsiTheme="majorBidi" w:cstheme="majorBidi"/>
        </w:rPr>
        <w:t xml:space="preserve">to </w:t>
      </w:r>
      <w:r w:rsidR="00D473C9" w:rsidRPr="00C14D70">
        <w:rPr>
          <w:rFonts w:asciiTheme="majorBidi" w:hAnsiTheme="majorBidi" w:cstheme="majorBidi"/>
        </w:rPr>
        <w:t xml:space="preserve">92 </w:t>
      </w:r>
      <w:r w:rsidR="00D473C9" w:rsidRPr="00C14D70">
        <w:rPr>
          <w:rFonts w:asciiTheme="majorBidi" w:eastAsia="Times New Roman" w:hAnsiTheme="majorBidi" w:cstheme="majorBidi"/>
        </w:rPr>
        <w:t>(M =</w:t>
      </w:r>
      <w:r w:rsidR="00D473C9" w:rsidRPr="00C14D70">
        <w:rPr>
          <w:rFonts w:asciiTheme="majorBidi" w:eastAsia="Times New Roman" w:hAnsiTheme="majorBidi" w:cstheme="majorBidi"/>
          <w:rtl/>
        </w:rPr>
        <w:t>76.38</w:t>
      </w:r>
      <w:r w:rsidR="00D473C9" w:rsidRPr="00C14D70">
        <w:rPr>
          <w:rFonts w:asciiTheme="majorBidi" w:eastAsia="Times New Roman" w:hAnsiTheme="majorBidi" w:cstheme="majorBidi"/>
        </w:rPr>
        <w:t>, SD</w:t>
      </w:r>
      <w:r w:rsidR="00D473C9" w:rsidRPr="00C14D70">
        <w:rPr>
          <w:rFonts w:asciiTheme="majorBidi" w:eastAsia="Times New Roman" w:hAnsiTheme="majorBidi" w:cstheme="majorBidi"/>
          <w:i/>
          <w:iCs/>
        </w:rPr>
        <w:t xml:space="preserve"> </w:t>
      </w:r>
      <w:r w:rsidR="00D473C9" w:rsidRPr="00C14D70">
        <w:rPr>
          <w:rFonts w:asciiTheme="majorBidi" w:eastAsia="Times New Roman" w:hAnsiTheme="majorBidi" w:cstheme="majorBidi"/>
        </w:rPr>
        <w:t>=</w:t>
      </w:r>
      <w:r w:rsidR="00D473C9" w:rsidRPr="00C14D70">
        <w:rPr>
          <w:rFonts w:asciiTheme="majorBidi" w:eastAsia="Times New Roman" w:hAnsiTheme="majorBidi" w:cstheme="majorBidi"/>
          <w:rtl/>
        </w:rPr>
        <w:t>7.91</w:t>
      </w:r>
      <w:r w:rsidR="00D473C9" w:rsidRPr="00C14D70">
        <w:rPr>
          <w:rFonts w:asciiTheme="majorBidi" w:eastAsia="Times New Roman" w:hAnsiTheme="majorBidi" w:cstheme="majorBidi"/>
        </w:rPr>
        <w:t>)</w:t>
      </w:r>
      <w:r w:rsidR="00D473C9" w:rsidRPr="00C14D70">
        <w:rPr>
          <w:rFonts w:asciiTheme="majorBidi" w:hAnsiTheme="majorBidi" w:cstheme="majorBidi"/>
        </w:rPr>
        <w:t xml:space="preserve">, 41 </w:t>
      </w:r>
      <w:r w:rsidR="00364757" w:rsidRPr="00C14D70">
        <w:rPr>
          <w:rFonts w:asciiTheme="majorBidi" w:hAnsiTheme="majorBidi" w:cstheme="majorBidi"/>
        </w:rPr>
        <w:t xml:space="preserve">women </w:t>
      </w:r>
      <w:r w:rsidR="00D473C9" w:rsidRPr="00C14D70">
        <w:rPr>
          <w:rFonts w:asciiTheme="majorBidi" w:hAnsiTheme="majorBidi" w:cstheme="majorBidi"/>
        </w:rPr>
        <w:t>(53.2%)</w:t>
      </w:r>
      <w:r w:rsidRPr="00C14D70">
        <w:rPr>
          <w:rFonts w:asciiTheme="majorBidi" w:hAnsiTheme="majorBidi" w:cstheme="majorBidi"/>
        </w:rPr>
        <w:t xml:space="preserve"> and </w:t>
      </w:r>
      <w:r w:rsidR="00D473C9" w:rsidRPr="00C14D70">
        <w:rPr>
          <w:rFonts w:asciiTheme="majorBidi" w:hAnsiTheme="majorBidi" w:cstheme="majorBidi"/>
        </w:rPr>
        <w:t xml:space="preserve">36 </w:t>
      </w:r>
      <w:r w:rsidR="00364757" w:rsidRPr="00C14D70">
        <w:rPr>
          <w:rFonts w:asciiTheme="majorBidi" w:hAnsiTheme="majorBidi" w:cstheme="majorBidi"/>
        </w:rPr>
        <w:t xml:space="preserve">men </w:t>
      </w:r>
      <w:r w:rsidR="00D473C9" w:rsidRPr="00C14D70">
        <w:rPr>
          <w:rFonts w:asciiTheme="majorBidi" w:hAnsiTheme="majorBidi" w:cstheme="majorBidi"/>
        </w:rPr>
        <w:t>(46.8%)</w:t>
      </w:r>
      <w:r w:rsidR="00364757" w:rsidRPr="00C14D70">
        <w:rPr>
          <w:rFonts w:asciiTheme="majorBidi" w:eastAsia="Times New Roman" w:hAnsiTheme="majorBidi" w:cstheme="majorBidi"/>
        </w:rPr>
        <w:t xml:space="preserve">. </w:t>
      </w:r>
      <w:r w:rsidR="00D473C9" w:rsidRPr="00C14D70">
        <w:rPr>
          <w:rFonts w:asciiTheme="majorBidi" w:eastAsia="Times New Roman" w:hAnsiTheme="majorBidi" w:cstheme="majorBidi"/>
        </w:rPr>
        <w:t xml:space="preserve"> </w:t>
      </w:r>
      <w:r w:rsidR="00364757" w:rsidRPr="00C14D70">
        <w:rPr>
          <w:rFonts w:asciiTheme="majorBidi" w:eastAsia="Times New Roman" w:hAnsiTheme="majorBidi" w:cstheme="majorBidi"/>
        </w:rPr>
        <w:t xml:space="preserve">Almost </w:t>
      </w:r>
      <w:r w:rsidR="00D473C9" w:rsidRPr="00C14D70">
        <w:rPr>
          <w:rFonts w:asciiTheme="majorBidi" w:eastAsia="Times New Roman" w:hAnsiTheme="majorBidi" w:cstheme="majorBidi"/>
        </w:rPr>
        <w:t xml:space="preserve">half </w:t>
      </w:r>
      <w:r w:rsidR="00364757" w:rsidRPr="00C14D70">
        <w:rPr>
          <w:rFonts w:asciiTheme="majorBidi" w:eastAsia="Times New Roman" w:hAnsiTheme="majorBidi" w:cstheme="majorBidi"/>
        </w:rPr>
        <w:t xml:space="preserve">the group had completed </w:t>
      </w:r>
      <w:r w:rsidR="00D473C9" w:rsidRPr="00C14D70">
        <w:rPr>
          <w:rFonts w:asciiTheme="majorBidi" w:eastAsia="Times New Roman" w:hAnsiTheme="majorBidi" w:cstheme="majorBidi"/>
        </w:rPr>
        <w:t xml:space="preserve">high school </w:t>
      </w:r>
      <w:r w:rsidR="00D473C9" w:rsidRPr="00C14D70">
        <w:rPr>
          <w:rFonts w:asciiTheme="majorBidi" w:eastAsia="Times New Roman" w:hAnsiTheme="majorBidi" w:cstheme="majorBidi"/>
          <w:rtl/>
        </w:rPr>
        <w:t>(48.1%)</w:t>
      </w:r>
      <w:r w:rsidR="00D473C9" w:rsidRPr="00C14D70">
        <w:rPr>
          <w:rFonts w:asciiTheme="majorBidi" w:eastAsia="Times New Roman" w:hAnsiTheme="majorBidi" w:cstheme="majorBidi"/>
        </w:rPr>
        <w:t xml:space="preserve"> and 22% </w:t>
      </w:r>
      <w:r w:rsidR="005E478F">
        <w:rPr>
          <w:rFonts w:asciiTheme="majorBidi" w:eastAsia="Times New Roman" w:hAnsiTheme="majorBidi" w:cstheme="majorBidi"/>
        </w:rPr>
        <w:t xml:space="preserve">had </w:t>
      </w:r>
      <w:r w:rsidR="00364757" w:rsidRPr="00C14D70">
        <w:rPr>
          <w:rFonts w:asciiTheme="majorBidi" w:eastAsia="Times New Roman" w:hAnsiTheme="majorBidi" w:cstheme="majorBidi"/>
        </w:rPr>
        <w:t xml:space="preserve">an </w:t>
      </w:r>
      <w:r w:rsidR="00D473C9" w:rsidRPr="00C14D70">
        <w:rPr>
          <w:rFonts w:asciiTheme="majorBidi" w:eastAsia="Times New Roman" w:hAnsiTheme="majorBidi" w:cstheme="majorBidi"/>
        </w:rPr>
        <w:t xml:space="preserve">academic </w:t>
      </w:r>
      <w:r w:rsidR="00364757" w:rsidRPr="00C14D70">
        <w:rPr>
          <w:rFonts w:asciiTheme="majorBidi" w:eastAsia="Times New Roman" w:hAnsiTheme="majorBidi" w:cstheme="majorBidi"/>
        </w:rPr>
        <w:t>degree</w:t>
      </w:r>
      <w:r w:rsidR="0056062E" w:rsidRPr="00C14D70">
        <w:rPr>
          <w:rFonts w:asciiTheme="majorBidi" w:eastAsia="Times New Roman" w:hAnsiTheme="majorBidi" w:cstheme="majorBidi"/>
        </w:rPr>
        <w:t xml:space="preserve"> (Table 1). </w:t>
      </w:r>
      <w:r w:rsidR="00364757" w:rsidRPr="00C14D70">
        <w:rPr>
          <w:rFonts w:asciiTheme="majorBidi" w:eastAsia="Times New Roman" w:hAnsiTheme="majorBidi" w:cstheme="majorBidi"/>
        </w:rPr>
        <w:t xml:space="preserve">Home assessments were </w:t>
      </w:r>
      <w:r w:rsidR="00364757" w:rsidRPr="00FF086E">
        <w:rPr>
          <w:rFonts w:asciiTheme="majorBidi" w:eastAsia="Times New Roman" w:hAnsiTheme="majorBidi" w:cstheme="majorBidi"/>
        </w:rPr>
        <w:t xml:space="preserve">conducted </w:t>
      </w:r>
      <w:r w:rsidR="00230C2C" w:rsidRPr="00FF086E">
        <w:rPr>
          <w:rFonts w:asciiTheme="majorBidi" w:eastAsia="Times New Roman" w:hAnsiTheme="majorBidi" w:cstheme="majorBidi"/>
        </w:rPr>
        <w:t xml:space="preserve">on </w:t>
      </w:r>
      <w:r w:rsidR="00364757" w:rsidRPr="00FF086E">
        <w:rPr>
          <w:rFonts w:asciiTheme="majorBidi" w:eastAsia="Times New Roman" w:hAnsiTheme="majorBidi" w:cstheme="majorBidi"/>
        </w:rPr>
        <w:t xml:space="preserve">64 of the 77 participants (83%).  </w:t>
      </w:r>
      <w:r w:rsidR="00AD6C9D" w:rsidRPr="00FF086E">
        <w:rPr>
          <w:rFonts w:asciiTheme="majorBidi" w:hAnsiTheme="majorBidi" w:cstheme="majorBidi"/>
        </w:rPr>
        <w:t>Participants were hospitalized for five weeks on average</w:t>
      </w:r>
      <w:r w:rsidR="003402C3" w:rsidRPr="00FF086E">
        <w:rPr>
          <w:rFonts w:asciiTheme="majorBidi" w:hAnsiTheme="majorBidi" w:cstheme="majorBidi"/>
        </w:rPr>
        <w:t xml:space="preserve"> </w:t>
      </w:r>
      <w:r w:rsidR="00614447" w:rsidRPr="00FF086E">
        <w:rPr>
          <w:rFonts w:asciiTheme="majorBidi" w:eastAsia="Times New Roman" w:hAnsiTheme="majorBidi" w:cstheme="majorBidi"/>
        </w:rPr>
        <w:t xml:space="preserve">with </w:t>
      </w:r>
      <w:r w:rsidR="003402C3" w:rsidRPr="00FF086E">
        <w:rPr>
          <w:rFonts w:asciiTheme="majorBidi" w:hAnsiTheme="majorBidi" w:cstheme="majorBidi"/>
        </w:rPr>
        <w:t>vari</w:t>
      </w:r>
      <w:r w:rsidR="00614447" w:rsidRPr="00FF086E">
        <w:rPr>
          <w:rFonts w:asciiTheme="majorBidi" w:hAnsiTheme="majorBidi" w:cstheme="majorBidi"/>
        </w:rPr>
        <w:t>ous</w:t>
      </w:r>
      <w:r w:rsidR="00484B86" w:rsidRPr="00FF086E">
        <w:rPr>
          <w:rFonts w:asciiTheme="majorBidi" w:hAnsiTheme="majorBidi" w:cstheme="majorBidi"/>
        </w:rPr>
        <w:t xml:space="preserve"> diagnoses </w:t>
      </w:r>
      <w:r w:rsidR="003402C3" w:rsidRPr="00FF086E">
        <w:rPr>
          <w:rFonts w:asciiTheme="majorBidi" w:hAnsiTheme="majorBidi" w:cstheme="majorBidi"/>
        </w:rPr>
        <w:t>(Table 1)</w:t>
      </w:r>
      <w:r w:rsidR="00484B86" w:rsidRPr="00FF086E">
        <w:rPr>
          <w:rFonts w:asciiTheme="majorBidi" w:hAnsiTheme="majorBidi" w:cstheme="majorBidi"/>
        </w:rPr>
        <w:t>.</w:t>
      </w:r>
      <w:r w:rsidR="00614447" w:rsidRPr="00FF086E">
        <w:rPr>
          <w:rFonts w:asciiTheme="majorBidi" w:eastAsia="Times New Roman" w:hAnsiTheme="majorBidi" w:cstheme="majorBidi"/>
        </w:rPr>
        <w:t xml:space="preserve"> </w:t>
      </w:r>
      <w:r w:rsidR="000B0F11" w:rsidRPr="00FF086E">
        <w:rPr>
          <w:rFonts w:asciiTheme="majorBidi" w:hAnsiTheme="majorBidi" w:cstheme="majorBidi"/>
        </w:rPr>
        <w:t xml:space="preserve">Mean </w:t>
      </w:r>
      <w:r w:rsidRPr="00FF086E">
        <w:rPr>
          <w:rFonts w:asciiTheme="majorBidi" w:hAnsiTheme="majorBidi" w:cstheme="majorBidi"/>
        </w:rPr>
        <w:t xml:space="preserve">MMSE </w:t>
      </w:r>
      <w:r w:rsidR="00424888" w:rsidRPr="00FF086E">
        <w:rPr>
          <w:rFonts w:asciiTheme="majorBidi" w:hAnsiTheme="majorBidi" w:cstheme="majorBidi"/>
        </w:rPr>
        <w:t>score</w:t>
      </w:r>
      <w:r w:rsidR="000B0F11" w:rsidRPr="00FF086E">
        <w:rPr>
          <w:rFonts w:asciiTheme="majorBidi" w:hAnsiTheme="majorBidi" w:cstheme="majorBidi"/>
        </w:rPr>
        <w:t xml:space="preserve"> </w:t>
      </w:r>
      <w:r w:rsidR="00714347" w:rsidRPr="00FF086E">
        <w:rPr>
          <w:rFonts w:asciiTheme="majorBidi" w:hAnsiTheme="majorBidi" w:cstheme="majorBidi"/>
        </w:rPr>
        <w:t>at</w:t>
      </w:r>
      <w:r w:rsidR="000B0F11" w:rsidRPr="00FF086E">
        <w:rPr>
          <w:rFonts w:asciiTheme="majorBidi" w:hAnsiTheme="majorBidi" w:cstheme="majorBidi"/>
        </w:rPr>
        <w:t xml:space="preserve"> admission </w:t>
      </w:r>
      <w:r w:rsidRPr="00FF086E">
        <w:rPr>
          <w:rFonts w:asciiTheme="majorBidi" w:hAnsiTheme="majorBidi" w:cstheme="majorBidi"/>
        </w:rPr>
        <w:t>was</w:t>
      </w:r>
      <w:r w:rsidR="000B0F11" w:rsidRPr="00FF086E">
        <w:rPr>
          <w:rFonts w:asciiTheme="majorBidi" w:hAnsiTheme="majorBidi" w:cstheme="majorBidi"/>
        </w:rPr>
        <w:t xml:space="preserve"> </w:t>
      </w:r>
      <w:r w:rsidR="0056062E" w:rsidRPr="00FF086E">
        <w:rPr>
          <w:rFonts w:asciiTheme="majorBidi" w:hAnsiTheme="majorBidi" w:cstheme="majorBidi"/>
          <w:rtl/>
        </w:rPr>
        <w:t>24.26</w:t>
      </w:r>
      <w:r w:rsidR="000B0F11" w:rsidRPr="00FF086E">
        <w:rPr>
          <w:rFonts w:asciiTheme="majorBidi" w:hAnsiTheme="majorBidi" w:cstheme="majorBidi"/>
        </w:rPr>
        <w:t xml:space="preserve">, and mean FIM was </w:t>
      </w:r>
      <w:r w:rsidR="00714347" w:rsidRPr="00FF086E">
        <w:rPr>
          <w:rFonts w:asciiTheme="majorBidi" w:hAnsiTheme="majorBidi" w:cstheme="majorBidi"/>
          <w:rtl/>
        </w:rPr>
        <w:t>4.54</w:t>
      </w:r>
      <w:r w:rsidR="000B0F11" w:rsidRPr="00FF086E">
        <w:rPr>
          <w:rFonts w:asciiTheme="majorBidi" w:hAnsiTheme="majorBidi" w:cstheme="majorBidi"/>
        </w:rPr>
        <w:t xml:space="preserve">. </w:t>
      </w:r>
      <w:r w:rsidR="000B0F11" w:rsidRPr="00C14D70">
        <w:rPr>
          <w:rFonts w:asciiTheme="majorBidi" w:hAnsiTheme="majorBidi" w:cstheme="majorBidi"/>
        </w:rPr>
        <w:t>Mobility during hospitalization was mainly with a</w:t>
      </w:r>
      <w:r w:rsidRPr="00C14D70">
        <w:rPr>
          <w:rFonts w:asciiTheme="majorBidi" w:hAnsiTheme="majorBidi" w:cstheme="majorBidi"/>
        </w:rPr>
        <w:t xml:space="preserve"> </w:t>
      </w:r>
      <w:r w:rsidR="00714347" w:rsidRPr="00C14D70">
        <w:rPr>
          <w:rFonts w:asciiTheme="majorBidi" w:hAnsiTheme="majorBidi" w:cstheme="majorBidi"/>
        </w:rPr>
        <w:t>walking aid</w:t>
      </w:r>
      <w:r w:rsidR="000B0F11" w:rsidRPr="00C14D70">
        <w:rPr>
          <w:rFonts w:asciiTheme="majorBidi" w:hAnsiTheme="majorBidi" w:cstheme="majorBidi"/>
        </w:rPr>
        <w:t xml:space="preserve"> or </w:t>
      </w:r>
      <w:r w:rsidR="00614447">
        <w:rPr>
          <w:rFonts w:asciiTheme="majorBidi" w:hAnsiTheme="majorBidi" w:cstheme="majorBidi"/>
        </w:rPr>
        <w:t xml:space="preserve">a </w:t>
      </w:r>
      <w:r w:rsidR="000B0F11" w:rsidRPr="00C14D70">
        <w:rPr>
          <w:rFonts w:asciiTheme="majorBidi" w:hAnsiTheme="majorBidi" w:cstheme="majorBidi"/>
        </w:rPr>
        <w:t xml:space="preserve">wheelchair, while at home it was expected to be mainly with </w:t>
      </w:r>
      <w:r w:rsidR="00714347" w:rsidRPr="00C14D70">
        <w:rPr>
          <w:rFonts w:asciiTheme="majorBidi" w:hAnsiTheme="majorBidi" w:cstheme="majorBidi"/>
        </w:rPr>
        <w:t>a walking aid</w:t>
      </w:r>
      <w:r w:rsidR="000B0F11" w:rsidRPr="00C14D70">
        <w:rPr>
          <w:rFonts w:asciiTheme="majorBidi" w:hAnsiTheme="majorBidi" w:cstheme="majorBidi"/>
        </w:rPr>
        <w:t>. Mobility outside the home was expected to be mainly with a wheelchair or companion</w:t>
      </w:r>
      <w:r w:rsidR="005E478F">
        <w:rPr>
          <w:rFonts w:asciiTheme="majorBidi" w:hAnsiTheme="majorBidi" w:cstheme="majorBidi"/>
        </w:rPr>
        <w:t xml:space="preserve"> (Table 1)</w:t>
      </w:r>
      <w:r w:rsidR="000B0F11" w:rsidRPr="00C14D70">
        <w:rPr>
          <w:rFonts w:asciiTheme="majorBidi" w:hAnsiTheme="majorBidi" w:cstheme="majorBidi"/>
        </w:rPr>
        <w:t xml:space="preserve">. </w:t>
      </w:r>
    </w:p>
    <w:p w14:paraId="73CC11C4" w14:textId="264A0738" w:rsidR="00852F84" w:rsidRPr="00852F84" w:rsidRDefault="00852F84" w:rsidP="00565650">
      <w:pPr>
        <w:autoSpaceDE w:val="0"/>
        <w:autoSpaceDN w:val="0"/>
        <w:adjustRightInd w:val="0"/>
        <w:spacing w:after="120" w:line="480" w:lineRule="auto"/>
        <w:rPr>
          <w:rFonts w:asciiTheme="majorBidi" w:hAnsiTheme="majorBidi" w:cstheme="majorBidi"/>
          <w:b/>
          <w:bCs/>
          <w:i/>
          <w:iCs/>
        </w:rPr>
      </w:pPr>
      <w:bookmarkStart w:id="2" w:name="_Hlk49161237"/>
      <w:r>
        <w:rPr>
          <w:rFonts w:asciiTheme="majorBidi" w:hAnsiTheme="majorBidi" w:cstheme="majorBidi"/>
          <w:b/>
          <w:bCs/>
          <w:i/>
          <w:iCs/>
        </w:rPr>
        <w:t>E</w:t>
      </w:r>
      <w:r w:rsidR="00740E3A" w:rsidRPr="00852F84">
        <w:rPr>
          <w:rFonts w:asciiTheme="majorBidi" w:hAnsiTheme="majorBidi" w:cstheme="majorBidi"/>
          <w:b/>
          <w:bCs/>
          <w:i/>
          <w:iCs/>
        </w:rPr>
        <w:t xml:space="preserve">lements of the </w:t>
      </w:r>
      <w:r w:rsidR="00DC45A2" w:rsidRPr="00852F84">
        <w:rPr>
          <w:rFonts w:asciiTheme="majorBidi" w:hAnsiTheme="majorBidi" w:cstheme="majorBidi"/>
          <w:b/>
          <w:bCs/>
          <w:i/>
          <w:iCs/>
        </w:rPr>
        <w:t>COFEE-H</w:t>
      </w:r>
      <w:r w:rsidR="00B15D80" w:rsidRPr="00852F84">
        <w:rPr>
          <w:rFonts w:asciiTheme="majorBidi" w:hAnsiTheme="majorBidi" w:cstheme="majorBidi"/>
          <w:b/>
          <w:bCs/>
          <w:i/>
          <w:iCs/>
        </w:rPr>
        <w:t>D</w:t>
      </w:r>
      <w:r w:rsidR="00DC45A2" w:rsidRPr="00852F84">
        <w:rPr>
          <w:rFonts w:asciiTheme="majorBidi" w:hAnsiTheme="majorBidi" w:cstheme="majorBidi"/>
          <w:b/>
          <w:bCs/>
          <w:i/>
          <w:iCs/>
        </w:rPr>
        <w:t xml:space="preserve"> found to be </w:t>
      </w:r>
      <w:r w:rsidR="00DC45A2" w:rsidRPr="00FF086E">
        <w:rPr>
          <w:rFonts w:asciiTheme="majorBidi" w:hAnsiTheme="majorBidi" w:cstheme="majorBidi"/>
          <w:b/>
          <w:bCs/>
          <w:i/>
          <w:iCs/>
        </w:rPr>
        <w:t xml:space="preserve">significantly related with </w:t>
      </w:r>
      <w:r w:rsidR="00DC45A2" w:rsidRPr="00852F84">
        <w:rPr>
          <w:rFonts w:asciiTheme="majorBidi" w:hAnsiTheme="majorBidi" w:cstheme="majorBidi"/>
          <w:b/>
          <w:bCs/>
          <w:i/>
          <w:iCs/>
        </w:rPr>
        <w:t>standard measurements at discharge</w:t>
      </w:r>
    </w:p>
    <w:p w14:paraId="5CA0E150" w14:textId="3F6DE240" w:rsidR="00331AD8" w:rsidRPr="00FF086E" w:rsidRDefault="00A17205" w:rsidP="00FF086E">
      <w:pPr>
        <w:autoSpaceDE w:val="0"/>
        <w:autoSpaceDN w:val="0"/>
        <w:bidi/>
        <w:adjustRightInd w:val="0"/>
        <w:spacing w:after="120" w:line="480" w:lineRule="auto"/>
        <w:jc w:val="right"/>
        <w:rPr>
          <w:rFonts w:asciiTheme="majorBidi" w:hAnsiTheme="majorBidi" w:cstheme="majorBidi"/>
          <w:rtl/>
        </w:rPr>
      </w:pPr>
      <w:r w:rsidRPr="00FF086E">
        <w:rPr>
          <w:rFonts w:asciiTheme="majorBidi" w:hAnsiTheme="majorBidi" w:cstheme="majorBidi"/>
        </w:rPr>
        <w:t>Within the physical functioning</w:t>
      </w:r>
      <w:r w:rsidR="00412FEE" w:rsidRPr="00FF086E">
        <w:rPr>
          <w:rFonts w:asciiTheme="majorBidi" w:hAnsiTheme="majorBidi" w:cstheme="majorBidi"/>
        </w:rPr>
        <w:t xml:space="preserve"> realm</w:t>
      </w:r>
      <w:r w:rsidRPr="00FF086E">
        <w:rPr>
          <w:rFonts w:asciiTheme="majorBidi" w:hAnsiTheme="majorBidi" w:cstheme="majorBidi"/>
        </w:rPr>
        <w:t xml:space="preserve">, both the mobility score and </w:t>
      </w:r>
      <w:r w:rsidR="00AB14E6" w:rsidRPr="00FF086E">
        <w:rPr>
          <w:rFonts w:asciiTheme="majorBidi" w:hAnsiTheme="majorBidi" w:cstheme="majorBidi"/>
        </w:rPr>
        <w:t>B</w:t>
      </w:r>
      <w:r w:rsidRPr="00FF086E">
        <w:rPr>
          <w:rFonts w:asciiTheme="majorBidi" w:hAnsiTheme="majorBidi" w:cstheme="majorBidi"/>
        </w:rPr>
        <w:t xml:space="preserve">ADL measurements were positively correlated with the FIM score. </w:t>
      </w:r>
      <w:r w:rsidR="00AB14E6" w:rsidRPr="00FF086E">
        <w:rPr>
          <w:rFonts w:asciiTheme="majorBidi" w:hAnsiTheme="majorBidi" w:cstheme="majorBidi"/>
        </w:rPr>
        <w:t>The</w:t>
      </w:r>
      <w:r w:rsidR="00024273" w:rsidRPr="00FF086E">
        <w:rPr>
          <w:rFonts w:asciiTheme="majorBidi" w:hAnsiTheme="majorBidi" w:cstheme="majorBidi"/>
        </w:rPr>
        <w:t xml:space="preserve"> </w:t>
      </w:r>
      <w:r w:rsidR="00412FEE" w:rsidRPr="00FF086E">
        <w:rPr>
          <w:rFonts w:asciiTheme="majorBidi" w:hAnsiTheme="majorBidi" w:cstheme="majorBidi"/>
        </w:rPr>
        <w:t>domain</w:t>
      </w:r>
      <w:r w:rsidR="003402C3" w:rsidRPr="00FF086E">
        <w:rPr>
          <w:rFonts w:asciiTheme="majorBidi" w:hAnsiTheme="majorBidi" w:cstheme="majorBidi"/>
        </w:rPr>
        <w:t xml:space="preserve"> of</w:t>
      </w:r>
      <w:r w:rsidR="00024273" w:rsidRPr="00FF086E">
        <w:rPr>
          <w:rFonts w:asciiTheme="majorBidi" w:hAnsiTheme="majorBidi" w:cstheme="majorBidi"/>
        </w:rPr>
        <w:t xml:space="preserve"> </w:t>
      </w:r>
      <w:r w:rsidR="003402C3" w:rsidRPr="00FF086E">
        <w:rPr>
          <w:rFonts w:asciiTheme="majorBidi" w:hAnsiTheme="majorBidi" w:cstheme="majorBidi"/>
        </w:rPr>
        <w:t xml:space="preserve">environmental and physical safety within </w:t>
      </w:r>
      <w:r w:rsidR="00024273" w:rsidRPr="00FF086E">
        <w:rPr>
          <w:rFonts w:asciiTheme="majorBidi" w:hAnsiTheme="majorBidi" w:cstheme="majorBidi"/>
        </w:rPr>
        <w:t>the COFEE</w:t>
      </w:r>
      <w:r w:rsidR="00852F84" w:rsidRPr="00FF086E">
        <w:rPr>
          <w:rFonts w:asciiTheme="majorBidi" w:hAnsiTheme="majorBidi" w:cstheme="majorBidi"/>
        </w:rPr>
        <w:t>-</w:t>
      </w:r>
      <w:r w:rsidR="00024273" w:rsidRPr="00FF086E">
        <w:rPr>
          <w:rFonts w:asciiTheme="majorBidi" w:hAnsiTheme="majorBidi" w:cstheme="majorBidi"/>
        </w:rPr>
        <w:t xml:space="preserve">HD </w:t>
      </w:r>
      <w:r w:rsidR="003402C3" w:rsidRPr="00FF086E">
        <w:rPr>
          <w:rFonts w:asciiTheme="majorBidi" w:hAnsiTheme="majorBidi" w:cstheme="majorBidi"/>
        </w:rPr>
        <w:t>was</w:t>
      </w:r>
      <w:r w:rsidR="00024273" w:rsidRPr="00FF086E">
        <w:rPr>
          <w:rFonts w:asciiTheme="majorBidi" w:hAnsiTheme="majorBidi" w:cstheme="majorBidi"/>
        </w:rPr>
        <w:t xml:space="preserve"> significantly correlated with the FIM </w:t>
      </w:r>
      <w:r w:rsidR="00852F84" w:rsidRPr="00FF086E">
        <w:rPr>
          <w:rFonts w:asciiTheme="majorBidi" w:hAnsiTheme="majorBidi" w:cstheme="majorBidi"/>
        </w:rPr>
        <w:t>evaluation as well</w:t>
      </w:r>
      <w:r w:rsidR="00024273" w:rsidRPr="00FF086E">
        <w:rPr>
          <w:rFonts w:asciiTheme="majorBidi" w:hAnsiTheme="majorBidi" w:cstheme="majorBidi"/>
        </w:rPr>
        <w:t xml:space="preserve">. </w:t>
      </w:r>
      <w:r w:rsidR="005F29A7" w:rsidRPr="00FF086E">
        <w:rPr>
          <w:rFonts w:asciiTheme="majorBidi" w:hAnsiTheme="majorBidi" w:cstheme="majorBidi"/>
        </w:rPr>
        <w:t xml:space="preserve">As for the metacognitive functioning in COFEE-HD, the adequacy in cognitive IADL, </w:t>
      </w:r>
      <w:proofErr w:type="spellStart"/>
      <w:r w:rsidR="005F29A7" w:rsidRPr="00FF086E">
        <w:rPr>
          <w:rFonts w:asciiTheme="majorBidi" w:hAnsiTheme="majorBidi" w:cstheme="majorBidi"/>
        </w:rPr>
        <w:t>aEFPT</w:t>
      </w:r>
      <w:proofErr w:type="spellEnd"/>
      <w:r w:rsidR="005F29A7" w:rsidRPr="00FF086E">
        <w:rPr>
          <w:rFonts w:asciiTheme="majorBidi" w:hAnsiTheme="majorBidi" w:cstheme="majorBidi"/>
        </w:rPr>
        <w:t xml:space="preserve"> (medication), and awareness (after IADL shopping task), were </w:t>
      </w:r>
      <w:r w:rsidR="00412FEE" w:rsidRPr="00FF086E">
        <w:rPr>
          <w:rFonts w:asciiTheme="majorBidi" w:hAnsiTheme="majorBidi" w:cstheme="majorBidi"/>
        </w:rPr>
        <w:t xml:space="preserve">all </w:t>
      </w:r>
      <w:r w:rsidR="00852F84" w:rsidRPr="00FF086E">
        <w:rPr>
          <w:rFonts w:asciiTheme="majorBidi" w:hAnsiTheme="majorBidi" w:cstheme="majorBidi"/>
        </w:rPr>
        <w:t>significantly</w:t>
      </w:r>
      <w:r w:rsidR="00A03C6E" w:rsidRPr="00FF086E">
        <w:rPr>
          <w:rFonts w:asciiTheme="majorBidi" w:hAnsiTheme="majorBidi" w:cstheme="majorBidi"/>
        </w:rPr>
        <w:t xml:space="preserve"> correlated with the</w:t>
      </w:r>
      <w:r w:rsidR="005F29A7" w:rsidRPr="00FF086E">
        <w:rPr>
          <w:rFonts w:asciiTheme="majorBidi" w:hAnsiTheme="majorBidi" w:cstheme="majorBidi"/>
        </w:rPr>
        <w:t xml:space="preserve"> MMSE and the KPT. The EFPT cooking task, awareness, predictive and evaluative (before and after EFPT</w:t>
      </w:r>
      <w:r w:rsidR="00484B86" w:rsidRPr="00FF086E">
        <w:rPr>
          <w:rFonts w:asciiTheme="majorBidi" w:hAnsiTheme="majorBidi" w:cstheme="majorBidi"/>
        </w:rPr>
        <w:t xml:space="preserve"> </w:t>
      </w:r>
      <w:r w:rsidR="005F29A7" w:rsidRPr="00FF086E">
        <w:rPr>
          <w:rFonts w:asciiTheme="majorBidi" w:hAnsiTheme="majorBidi" w:cstheme="majorBidi"/>
        </w:rPr>
        <w:t xml:space="preserve">cooking task), were also correlated with the KPT. The awareness predictive </w:t>
      </w:r>
      <w:r w:rsidR="00412FEE" w:rsidRPr="00FF086E">
        <w:rPr>
          <w:rFonts w:asciiTheme="majorBidi" w:hAnsiTheme="majorBidi" w:cstheme="majorBidi"/>
        </w:rPr>
        <w:t xml:space="preserve">measure </w:t>
      </w:r>
      <w:r w:rsidR="005F29A7" w:rsidRPr="00FF086E">
        <w:rPr>
          <w:rFonts w:asciiTheme="majorBidi" w:hAnsiTheme="majorBidi" w:cstheme="majorBidi"/>
        </w:rPr>
        <w:t xml:space="preserve">(IADL shopping task) was </w:t>
      </w:r>
      <w:r w:rsidR="005F29A7" w:rsidRPr="00FF086E">
        <w:rPr>
          <w:rFonts w:asciiTheme="majorBidi" w:hAnsiTheme="majorBidi" w:cstheme="majorBidi"/>
          <w:strike/>
        </w:rPr>
        <w:t>also</w:t>
      </w:r>
      <w:r w:rsidR="005F29A7" w:rsidRPr="00FF086E">
        <w:rPr>
          <w:rFonts w:asciiTheme="majorBidi" w:hAnsiTheme="majorBidi" w:cstheme="majorBidi"/>
        </w:rPr>
        <w:t xml:space="preserve"> significantly correlated with the MMSE </w:t>
      </w:r>
      <w:r w:rsidR="00412FEE" w:rsidRPr="00FF086E">
        <w:rPr>
          <w:rFonts w:asciiTheme="majorBidi" w:hAnsiTheme="majorBidi" w:cstheme="majorBidi"/>
        </w:rPr>
        <w:t xml:space="preserve">as well </w:t>
      </w:r>
      <w:r w:rsidR="00852F84" w:rsidRPr="00FF086E">
        <w:rPr>
          <w:rFonts w:asciiTheme="majorBidi" w:hAnsiTheme="majorBidi" w:cstheme="majorBidi"/>
        </w:rPr>
        <w:t xml:space="preserve">(Table </w:t>
      </w:r>
      <w:r w:rsidR="00852F84" w:rsidRPr="00FF086E">
        <w:rPr>
          <w:rFonts w:asciiTheme="majorBidi" w:hAnsiTheme="majorBidi" w:cstheme="majorBidi"/>
        </w:rPr>
        <w:lastRenderedPageBreak/>
        <w:t>2)</w:t>
      </w:r>
      <w:r w:rsidR="00A03C6E" w:rsidRPr="00FF086E">
        <w:rPr>
          <w:rFonts w:asciiTheme="majorBidi" w:hAnsiTheme="majorBidi" w:cstheme="majorBidi"/>
        </w:rPr>
        <w:t xml:space="preserve">. </w:t>
      </w:r>
      <w:r w:rsidR="00412FEE" w:rsidRPr="00FF086E">
        <w:rPr>
          <w:rFonts w:asciiTheme="majorBidi" w:hAnsiTheme="majorBidi" w:cstheme="majorBidi"/>
        </w:rPr>
        <w:t xml:space="preserve">That is, </w:t>
      </w:r>
      <w:r w:rsidR="00410140" w:rsidRPr="00FF086E">
        <w:rPr>
          <w:rFonts w:asciiTheme="majorBidi" w:hAnsiTheme="majorBidi" w:cstheme="majorBidi"/>
        </w:rPr>
        <w:t>higher physical functioning at discharge, as measured with the sta</w:t>
      </w:r>
      <w:r w:rsidR="00331AD8" w:rsidRPr="00FF086E">
        <w:rPr>
          <w:rFonts w:asciiTheme="majorBidi" w:hAnsiTheme="majorBidi" w:cstheme="majorBidi"/>
        </w:rPr>
        <w:t>ndard hospital tool (FIM), was related with higher COFEE-HD physical functioning and personal and environmental safety at the time. Likewise, higher cognitive functioning at discharge, as measured with the standard hospital tools (MMSE, KPT), was related with higher COFEE-HD cognitive functioning.</w:t>
      </w:r>
    </w:p>
    <w:bookmarkEnd w:id="2"/>
    <w:p w14:paraId="0229219F" w14:textId="5DF3C0C6" w:rsidR="000B0F11" w:rsidRPr="00C14D70" w:rsidRDefault="000B0F11" w:rsidP="00D61F07">
      <w:pPr>
        <w:spacing w:line="480" w:lineRule="auto"/>
        <w:rPr>
          <w:rFonts w:asciiTheme="majorBidi" w:hAnsiTheme="majorBidi" w:cstheme="majorBidi"/>
          <w:color w:val="0070C0"/>
        </w:rPr>
      </w:pPr>
      <w:r w:rsidRPr="00C14D70">
        <w:rPr>
          <w:rFonts w:asciiTheme="majorBidi" w:eastAsia="Times New Roman" w:hAnsiTheme="majorBidi" w:cstheme="majorBidi"/>
          <w:b/>
          <w:bCs/>
        </w:rPr>
        <w:t>Home assessment after discharge</w:t>
      </w:r>
    </w:p>
    <w:p w14:paraId="1A5DA035" w14:textId="144515D7" w:rsidR="00B601C5" w:rsidRPr="00FF086E" w:rsidRDefault="00071135" w:rsidP="00071135">
      <w:pPr>
        <w:spacing w:line="480" w:lineRule="auto"/>
        <w:rPr>
          <w:rFonts w:asciiTheme="majorBidi" w:hAnsiTheme="majorBidi" w:cstheme="majorBidi"/>
        </w:rPr>
      </w:pPr>
      <w:r w:rsidRPr="00FF086E">
        <w:rPr>
          <w:rFonts w:asciiTheme="majorBidi" w:eastAsia="Times New Roman" w:hAnsiTheme="majorBidi" w:cstheme="majorBidi"/>
        </w:rPr>
        <w:t xml:space="preserve">By the time of the home visit, four participants had passed away, two </w:t>
      </w:r>
      <w:r w:rsidR="00B601C5" w:rsidRPr="00FF086E">
        <w:rPr>
          <w:rFonts w:asciiTheme="majorBidi" w:eastAsia="Times New Roman" w:hAnsiTheme="majorBidi" w:cstheme="majorBidi"/>
        </w:rPr>
        <w:t xml:space="preserve">participants </w:t>
      </w:r>
      <w:r w:rsidRPr="00FF086E">
        <w:rPr>
          <w:rFonts w:asciiTheme="majorBidi" w:eastAsia="Times New Roman" w:hAnsiTheme="majorBidi" w:cstheme="majorBidi"/>
        </w:rPr>
        <w:t xml:space="preserve">required complicated nursing care and seven </w:t>
      </w:r>
      <w:r w:rsidR="00B601C5" w:rsidRPr="00FF086E">
        <w:rPr>
          <w:rFonts w:asciiTheme="majorBidi" w:eastAsia="Times New Roman" w:hAnsiTheme="majorBidi" w:cstheme="majorBidi"/>
        </w:rPr>
        <w:t>participants terminated consent</w:t>
      </w:r>
      <w:r w:rsidRPr="00FF086E">
        <w:rPr>
          <w:rFonts w:asciiTheme="majorBidi" w:eastAsia="Times New Roman" w:hAnsiTheme="majorBidi" w:cstheme="majorBidi"/>
        </w:rPr>
        <w:t>.</w:t>
      </w:r>
      <w:r w:rsidR="00D51235" w:rsidRPr="00FF086E">
        <w:rPr>
          <w:rFonts w:asciiTheme="majorBidi" w:hAnsiTheme="majorBidi" w:cstheme="majorBidi"/>
        </w:rPr>
        <w:t xml:space="preserve"> </w:t>
      </w:r>
      <w:r w:rsidR="00230C2C" w:rsidRPr="00FF086E">
        <w:rPr>
          <w:rFonts w:asciiTheme="majorBidi" w:hAnsiTheme="majorBidi" w:cstheme="majorBidi"/>
        </w:rPr>
        <w:t>Therefore, home assessment was conducted with 64 patients (83%), four to six months after discharge, (M = 108 days, SD = 48.66)</w:t>
      </w:r>
    </w:p>
    <w:p w14:paraId="0F6C481A" w14:textId="39639426" w:rsidR="000B0F11" w:rsidRDefault="00230C2C" w:rsidP="00B601C5">
      <w:pPr>
        <w:spacing w:line="480" w:lineRule="auto"/>
        <w:rPr>
          <w:rFonts w:asciiTheme="majorBidi" w:hAnsiTheme="majorBidi" w:cstheme="majorBidi"/>
        </w:rPr>
      </w:pPr>
      <w:r w:rsidRPr="00FF086E">
        <w:rPr>
          <w:rFonts w:asciiTheme="majorBidi" w:hAnsiTheme="majorBidi" w:cstheme="majorBidi"/>
        </w:rPr>
        <w:t>Almost</w:t>
      </w:r>
      <w:r w:rsidR="00B601C5" w:rsidRPr="00FF086E">
        <w:rPr>
          <w:rFonts w:asciiTheme="majorBidi" w:hAnsiTheme="majorBidi" w:cstheme="majorBidi"/>
        </w:rPr>
        <w:t xml:space="preserve"> </w:t>
      </w:r>
      <w:r w:rsidR="00071135" w:rsidRPr="00FF086E">
        <w:rPr>
          <w:rFonts w:asciiTheme="majorBidi" w:hAnsiTheme="majorBidi" w:cstheme="majorBidi"/>
        </w:rPr>
        <w:t>half were married (46.8%) and 46</w:t>
      </w:r>
      <w:r w:rsidR="00071135" w:rsidRPr="00C14D70">
        <w:rPr>
          <w:rFonts w:asciiTheme="majorBidi" w:hAnsiTheme="majorBidi" w:cstheme="majorBidi"/>
        </w:rPr>
        <w:t xml:space="preserve">.8% lived </w:t>
      </w:r>
      <w:r w:rsidR="00071135" w:rsidRPr="00FF086E">
        <w:rPr>
          <w:rFonts w:asciiTheme="majorBidi" w:hAnsiTheme="majorBidi" w:cstheme="majorBidi"/>
        </w:rPr>
        <w:t>alone</w:t>
      </w:r>
      <w:r w:rsidRPr="00FF086E">
        <w:rPr>
          <w:rFonts w:asciiTheme="majorBidi" w:hAnsiTheme="majorBidi" w:cstheme="majorBidi"/>
        </w:rPr>
        <w:t>;</w:t>
      </w:r>
      <w:r w:rsidR="00FF086E" w:rsidRPr="00FF086E">
        <w:rPr>
          <w:rFonts w:asciiTheme="majorBidi" w:hAnsiTheme="majorBidi" w:cstheme="majorBidi"/>
        </w:rPr>
        <w:t xml:space="preserve"> </w:t>
      </w:r>
      <w:r w:rsidR="000B0F11" w:rsidRPr="00FF086E">
        <w:rPr>
          <w:rFonts w:asciiTheme="majorBidi" w:eastAsia="Times New Roman" w:hAnsiTheme="majorBidi" w:cstheme="majorBidi"/>
        </w:rPr>
        <w:t>9</w:t>
      </w:r>
      <w:r w:rsidR="00B601C5" w:rsidRPr="00FF086E">
        <w:rPr>
          <w:rFonts w:asciiTheme="majorBidi" w:eastAsia="Times New Roman" w:hAnsiTheme="majorBidi" w:cstheme="majorBidi"/>
        </w:rPr>
        <w:t>1</w:t>
      </w:r>
      <w:r w:rsidR="000B0F11" w:rsidRPr="00FF086E">
        <w:rPr>
          <w:rFonts w:asciiTheme="majorBidi" w:eastAsia="Times New Roman" w:hAnsiTheme="majorBidi" w:cstheme="majorBidi"/>
        </w:rPr>
        <w:t xml:space="preserve">% </w:t>
      </w:r>
      <w:r w:rsidR="00097845" w:rsidRPr="00FF086E">
        <w:rPr>
          <w:rFonts w:asciiTheme="majorBidi" w:eastAsia="Times New Roman" w:hAnsiTheme="majorBidi" w:cstheme="majorBidi"/>
        </w:rPr>
        <w:t xml:space="preserve">had </w:t>
      </w:r>
      <w:r w:rsidR="000B0F11" w:rsidRPr="00C14D70">
        <w:rPr>
          <w:rFonts w:asciiTheme="majorBidi" w:eastAsia="Times New Roman" w:hAnsiTheme="majorBidi" w:cstheme="majorBidi"/>
        </w:rPr>
        <w:t xml:space="preserve">received </w:t>
      </w:r>
      <w:r w:rsidR="00097845" w:rsidRPr="00C14D70">
        <w:rPr>
          <w:rFonts w:asciiTheme="majorBidi" w:eastAsia="Times New Roman" w:hAnsiTheme="majorBidi" w:cstheme="majorBidi"/>
        </w:rPr>
        <w:t xml:space="preserve">some type of </w:t>
      </w:r>
      <w:r w:rsidR="00097845" w:rsidRPr="00C14D70">
        <w:rPr>
          <w:rFonts w:asciiTheme="majorBidi" w:hAnsiTheme="majorBidi" w:cstheme="majorBidi"/>
        </w:rPr>
        <w:t xml:space="preserve">rehabilitative </w:t>
      </w:r>
      <w:r w:rsidR="000B0F11" w:rsidRPr="00C14D70">
        <w:rPr>
          <w:rFonts w:asciiTheme="majorBidi" w:eastAsia="Times New Roman" w:hAnsiTheme="majorBidi" w:cstheme="majorBidi"/>
        </w:rPr>
        <w:t>t</w:t>
      </w:r>
      <w:r w:rsidR="000B0F11" w:rsidRPr="00C14D70">
        <w:rPr>
          <w:rFonts w:asciiTheme="majorBidi" w:hAnsiTheme="majorBidi" w:cstheme="majorBidi"/>
        </w:rPr>
        <w:t>reatment</w:t>
      </w:r>
      <w:r w:rsidR="00CF6DB9" w:rsidRPr="00C14D70">
        <w:rPr>
          <w:rFonts w:asciiTheme="majorBidi" w:hAnsiTheme="majorBidi" w:cstheme="majorBidi"/>
        </w:rPr>
        <w:t xml:space="preserve">. </w:t>
      </w:r>
      <w:r w:rsidR="00B1360D" w:rsidRPr="00C14D70">
        <w:rPr>
          <w:rFonts w:asciiTheme="majorBidi" w:hAnsiTheme="majorBidi" w:cstheme="majorBidi"/>
        </w:rPr>
        <w:t>Only 6.3% of the participants had not</w:t>
      </w:r>
      <w:r w:rsidR="000B0F11" w:rsidRPr="00C14D70">
        <w:rPr>
          <w:rFonts w:asciiTheme="majorBidi" w:hAnsiTheme="majorBidi" w:cstheme="majorBidi"/>
        </w:rPr>
        <w:t xml:space="preserve"> applied </w:t>
      </w:r>
      <w:r w:rsidR="00B1360D" w:rsidRPr="00C14D70">
        <w:rPr>
          <w:rFonts w:asciiTheme="majorBidi" w:hAnsiTheme="majorBidi" w:cstheme="majorBidi"/>
        </w:rPr>
        <w:t xml:space="preserve">any of the recommendations offered during the discharge evaluation, and more than half (53.1%) had partially implemented </w:t>
      </w:r>
      <w:r w:rsidR="000B0F11" w:rsidRPr="00C14D70">
        <w:rPr>
          <w:rFonts w:asciiTheme="majorBidi" w:hAnsiTheme="majorBidi" w:cstheme="majorBidi"/>
        </w:rPr>
        <w:t>the recommendations</w:t>
      </w:r>
      <w:r w:rsidR="00FC710D" w:rsidRPr="00C14D70">
        <w:rPr>
          <w:rFonts w:asciiTheme="majorBidi" w:hAnsiTheme="majorBidi" w:cstheme="majorBidi"/>
        </w:rPr>
        <w:t xml:space="preserve"> (Table </w:t>
      </w:r>
      <w:r w:rsidR="00852F84">
        <w:rPr>
          <w:rFonts w:asciiTheme="majorBidi" w:hAnsiTheme="majorBidi" w:cstheme="majorBidi"/>
        </w:rPr>
        <w:t>3</w:t>
      </w:r>
      <w:r w:rsidR="00FC710D" w:rsidRPr="00C14D70">
        <w:rPr>
          <w:rFonts w:asciiTheme="majorBidi" w:hAnsiTheme="majorBidi" w:cstheme="majorBidi"/>
        </w:rPr>
        <w:t xml:space="preserve">). </w:t>
      </w:r>
    </w:p>
    <w:p w14:paraId="09849310" w14:textId="62DE06FD" w:rsidR="00593C2F" w:rsidRPr="00FF086E" w:rsidRDefault="00CE2542" w:rsidP="001D6F67">
      <w:pPr>
        <w:autoSpaceDE w:val="0"/>
        <w:autoSpaceDN w:val="0"/>
        <w:adjustRightInd w:val="0"/>
        <w:spacing w:after="120" w:line="480" w:lineRule="auto"/>
        <w:rPr>
          <w:rFonts w:asciiTheme="majorBidi" w:hAnsiTheme="majorBidi" w:cstheme="majorBidi"/>
        </w:rPr>
      </w:pPr>
      <w:r w:rsidRPr="00FF086E">
        <w:rPr>
          <w:rFonts w:asciiTheme="majorBidi" w:hAnsiTheme="majorBidi" w:cstheme="majorBidi"/>
        </w:rPr>
        <w:t>Table</w:t>
      </w:r>
      <w:r w:rsidR="00B601C5" w:rsidRPr="00FF086E">
        <w:rPr>
          <w:rFonts w:asciiTheme="majorBidi" w:hAnsiTheme="majorBidi" w:cstheme="majorBidi"/>
        </w:rPr>
        <w:t>s</w:t>
      </w:r>
      <w:r w:rsidRPr="00FF086E">
        <w:rPr>
          <w:rFonts w:asciiTheme="majorBidi" w:hAnsiTheme="majorBidi" w:cstheme="majorBidi"/>
        </w:rPr>
        <w:t xml:space="preserve"> </w:t>
      </w:r>
      <w:r w:rsidR="002B0C12" w:rsidRPr="00FF086E">
        <w:rPr>
          <w:rFonts w:asciiTheme="majorBidi" w:hAnsiTheme="majorBidi" w:cstheme="majorBidi"/>
        </w:rPr>
        <w:t>4</w:t>
      </w:r>
      <w:r w:rsidRPr="00FF086E">
        <w:rPr>
          <w:rFonts w:asciiTheme="majorBidi" w:hAnsiTheme="majorBidi" w:cstheme="majorBidi"/>
        </w:rPr>
        <w:t xml:space="preserve"> </w:t>
      </w:r>
      <w:r w:rsidR="00B601C5" w:rsidRPr="00FF086E">
        <w:rPr>
          <w:rFonts w:asciiTheme="majorBidi" w:hAnsiTheme="majorBidi" w:cstheme="majorBidi"/>
        </w:rPr>
        <w:t xml:space="preserve">and 5 </w:t>
      </w:r>
      <w:r w:rsidRPr="00FF086E">
        <w:rPr>
          <w:rFonts w:asciiTheme="majorBidi" w:hAnsiTheme="majorBidi" w:cstheme="majorBidi"/>
        </w:rPr>
        <w:t>present the correlations between the COFEE-HD evaluation for everyday functioning and cognitive functioning</w:t>
      </w:r>
      <w:r w:rsidR="00B601C5" w:rsidRPr="00FF086E">
        <w:rPr>
          <w:rFonts w:asciiTheme="majorBidi" w:hAnsiTheme="majorBidi" w:cstheme="majorBidi"/>
        </w:rPr>
        <w:t xml:space="preserve"> at discharge</w:t>
      </w:r>
      <w:r w:rsidRPr="00FF086E">
        <w:rPr>
          <w:rFonts w:asciiTheme="majorBidi" w:hAnsiTheme="majorBidi" w:cstheme="majorBidi"/>
        </w:rPr>
        <w:t xml:space="preserve">, </w:t>
      </w:r>
      <w:r w:rsidR="00B601C5" w:rsidRPr="00FF086E">
        <w:rPr>
          <w:rFonts w:asciiTheme="majorBidi" w:hAnsiTheme="majorBidi" w:cstheme="majorBidi"/>
        </w:rPr>
        <w:t xml:space="preserve">and </w:t>
      </w:r>
      <w:r w:rsidRPr="00FF086E">
        <w:rPr>
          <w:rFonts w:asciiTheme="majorBidi" w:hAnsiTheme="majorBidi" w:cstheme="majorBidi"/>
        </w:rPr>
        <w:t xml:space="preserve">the functional evaluation in the </w:t>
      </w:r>
      <w:r w:rsidR="00B72411" w:rsidRPr="00FF086E">
        <w:rPr>
          <w:rFonts w:asciiTheme="majorBidi" w:hAnsiTheme="majorBidi" w:cstheme="majorBidi"/>
        </w:rPr>
        <w:t xml:space="preserve">post discharge </w:t>
      </w:r>
      <w:r w:rsidRPr="00FF086E">
        <w:rPr>
          <w:rFonts w:asciiTheme="majorBidi" w:hAnsiTheme="majorBidi" w:cstheme="majorBidi"/>
        </w:rPr>
        <w:t>home visit</w:t>
      </w:r>
      <w:r w:rsidR="00B72411" w:rsidRPr="00FF086E">
        <w:rPr>
          <w:rFonts w:asciiTheme="majorBidi" w:hAnsiTheme="majorBidi" w:cstheme="majorBidi"/>
        </w:rPr>
        <w:t>.</w:t>
      </w:r>
      <w:bookmarkStart w:id="3" w:name="_Hlk49161607"/>
      <w:r w:rsidR="002B0C12" w:rsidRPr="00FF086E">
        <w:rPr>
          <w:rFonts w:asciiTheme="majorBidi" w:hAnsiTheme="majorBidi" w:cstheme="majorBidi"/>
        </w:rPr>
        <w:t xml:space="preserve"> </w:t>
      </w:r>
      <w:r w:rsidR="00740E3A" w:rsidRPr="00FF086E">
        <w:rPr>
          <w:rFonts w:asciiTheme="majorBidi" w:hAnsiTheme="majorBidi" w:cstheme="majorBidi"/>
        </w:rPr>
        <w:t>During the home assessment, basic and instrumental functioning, and personal and environmental safety</w:t>
      </w:r>
      <w:r w:rsidR="00B601C5" w:rsidRPr="00FF086E">
        <w:rPr>
          <w:rFonts w:asciiTheme="majorBidi" w:hAnsiTheme="majorBidi" w:cstheme="majorBidi"/>
        </w:rPr>
        <w:t xml:space="preserve"> were assessed</w:t>
      </w:r>
      <w:r w:rsidR="00484A68" w:rsidRPr="00FF086E">
        <w:rPr>
          <w:rFonts w:asciiTheme="majorBidi" w:hAnsiTheme="majorBidi" w:cstheme="majorBidi"/>
        </w:rPr>
        <w:t xml:space="preserve"> (as </w:t>
      </w:r>
      <w:r w:rsidR="00B72411" w:rsidRPr="00FF086E">
        <w:rPr>
          <w:rFonts w:asciiTheme="majorBidi" w:hAnsiTheme="majorBidi" w:cstheme="majorBidi"/>
        </w:rPr>
        <w:t>commonly</w:t>
      </w:r>
      <w:r w:rsidR="00484A68" w:rsidRPr="00FF086E">
        <w:rPr>
          <w:rFonts w:asciiTheme="majorBidi" w:hAnsiTheme="majorBidi" w:cstheme="majorBidi"/>
        </w:rPr>
        <w:t xml:space="preserve"> </w:t>
      </w:r>
      <w:r w:rsidR="00B72411" w:rsidRPr="00FF086E">
        <w:rPr>
          <w:rFonts w:asciiTheme="majorBidi" w:hAnsiTheme="majorBidi" w:cstheme="majorBidi"/>
        </w:rPr>
        <w:t>conducted during home visits</w:t>
      </w:r>
      <w:r w:rsidR="00484A68" w:rsidRPr="00FF086E">
        <w:rPr>
          <w:rFonts w:asciiTheme="majorBidi" w:hAnsiTheme="majorBidi" w:cstheme="majorBidi"/>
        </w:rPr>
        <w:t xml:space="preserve"> by occupational therapists)</w:t>
      </w:r>
      <w:r w:rsidR="00740E3A" w:rsidRPr="00FF086E">
        <w:rPr>
          <w:rFonts w:asciiTheme="majorBidi" w:hAnsiTheme="majorBidi" w:cstheme="majorBidi"/>
        </w:rPr>
        <w:t xml:space="preserve">, </w:t>
      </w:r>
      <w:r w:rsidR="00852F84" w:rsidRPr="00FF086E">
        <w:rPr>
          <w:rFonts w:asciiTheme="majorBidi" w:hAnsiTheme="majorBidi" w:cstheme="majorBidi"/>
        </w:rPr>
        <w:t xml:space="preserve">and </w:t>
      </w:r>
      <w:r w:rsidR="00740E3A" w:rsidRPr="00FF086E">
        <w:rPr>
          <w:rFonts w:asciiTheme="majorBidi" w:hAnsiTheme="majorBidi" w:cstheme="majorBidi"/>
        </w:rPr>
        <w:t>compar</w:t>
      </w:r>
      <w:r w:rsidR="00852F84" w:rsidRPr="00FF086E">
        <w:rPr>
          <w:rFonts w:asciiTheme="majorBidi" w:hAnsiTheme="majorBidi" w:cstheme="majorBidi"/>
        </w:rPr>
        <w:t>ed</w:t>
      </w:r>
      <w:r w:rsidR="00740E3A" w:rsidRPr="00FF086E">
        <w:rPr>
          <w:rFonts w:asciiTheme="majorBidi" w:hAnsiTheme="majorBidi" w:cstheme="majorBidi"/>
        </w:rPr>
        <w:t xml:space="preserve"> </w:t>
      </w:r>
      <w:r w:rsidR="00B601C5" w:rsidRPr="00FF086E">
        <w:rPr>
          <w:rFonts w:asciiTheme="majorBidi" w:hAnsiTheme="majorBidi" w:cstheme="majorBidi"/>
        </w:rPr>
        <w:t xml:space="preserve">with </w:t>
      </w:r>
      <w:r w:rsidR="00740E3A" w:rsidRPr="00FF086E">
        <w:rPr>
          <w:rFonts w:asciiTheme="majorBidi" w:hAnsiTheme="majorBidi" w:cstheme="majorBidi"/>
        </w:rPr>
        <w:t xml:space="preserve">the </w:t>
      </w:r>
      <w:r w:rsidR="00493FB7" w:rsidRPr="00FF086E">
        <w:rPr>
          <w:rFonts w:asciiTheme="majorBidi" w:hAnsiTheme="majorBidi" w:cstheme="majorBidi"/>
        </w:rPr>
        <w:t>COFEE</w:t>
      </w:r>
      <w:r w:rsidR="00DD1CEB" w:rsidRPr="00FF086E">
        <w:rPr>
          <w:rFonts w:asciiTheme="majorBidi" w:hAnsiTheme="majorBidi" w:cstheme="majorBidi"/>
        </w:rPr>
        <w:t>-H</w:t>
      </w:r>
      <w:r w:rsidR="006075C2" w:rsidRPr="00FF086E">
        <w:rPr>
          <w:rFonts w:asciiTheme="majorBidi" w:hAnsiTheme="majorBidi" w:cstheme="majorBidi"/>
        </w:rPr>
        <w:t>D</w:t>
      </w:r>
      <w:r w:rsidR="00493FB7" w:rsidRPr="00FF086E">
        <w:rPr>
          <w:rFonts w:asciiTheme="majorBidi" w:hAnsiTheme="majorBidi" w:cstheme="majorBidi"/>
        </w:rPr>
        <w:t xml:space="preserve"> </w:t>
      </w:r>
      <w:r w:rsidR="00484A68" w:rsidRPr="00FF086E">
        <w:rPr>
          <w:rFonts w:asciiTheme="majorBidi" w:hAnsiTheme="majorBidi" w:cstheme="majorBidi"/>
        </w:rPr>
        <w:t>evaluation at discharge.</w:t>
      </w:r>
      <w:r w:rsidR="00740E3A" w:rsidRPr="00FF086E">
        <w:rPr>
          <w:rFonts w:asciiTheme="majorBidi" w:hAnsiTheme="majorBidi" w:cstheme="majorBidi"/>
        </w:rPr>
        <w:t xml:space="preserve"> In </w:t>
      </w:r>
      <w:r w:rsidR="00AB374F" w:rsidRPr="00FF086E">
        <w:rPr>
          <w:rFonts w:asciiTheme="majorBidi" w:hAnsiTheme="majorBidi" w:cstheme="majorBidi"/>
        </w:rPr>
        <w:t>all</w:t>
      </w:r>
      <w:r w:rsidR="00740E3A" w:rsidRPr="00FF086E">
        <w:rPr>
          <w:rFonts w:asciiTheme="majorBidi" w:hAnsiTheme="majorBidi" w:cstheme="majorBidi"/>
        </w:rPr>
        <w:t xml:space="preserve"> areas, the COFEE-HD was found to be significantly correlated with </w:t>
      </w:r>
      <w:r w:rsidR="00593C2F" w:rsidRPr="00FF086E">
        <w:rPr>
          <w:rFonts w:asciiTheme="majorBidi" w:hAnsiTheme="majorBidi" w:cstheme="majorBidi"/>
        </w:rPr>
        <w:t xml:space="preserve">the home assessment. </w:t>
      </w:r>
      <w:r w:rsidR="00AB374F" w:rsidRPr="00FF086E">
        <w:rPr>
          <w:rFonts w:asciiTheme="majorBidi" w:hAnsiTheme="majorBidi" w:cstheme="majorBidi"/>
        </w:rPr>
        <w:t xml:space="preserve">That is, </w:t>
      </w:r>
      <w:r w:rsidR="002B0C12" w:rsidRPr="00FF086E">
        <w:rPr>
          <w:rFonts w:asciiTheme="majorBidi" w:hAnsiTheme="majorBidi" w:cstheme="majorBidi"/>
        </w:rPr>
        <w:t xml:space="preserve">the </w:t>
      </w:r>
      <w:r w:rsidR="00593C2F" w:rsidRPr="00FF086E">
        <w:rPr>
          <w:rFonts w:asciiTheme="majorBidi" w:hAnsiTheme="majorBidi" w:cstheme="majorBidi"/>
        </w:rPr>
        <w:t xml:space="preserve">mobility </w:t>
      </w:r>
      <w:r w:rsidR="002B0C12" w:rsidRPr="00FF086E">
        <w:rPr>
          <w:rFonts w:asciiTheme="majorBidi" w:hAnsiTheme="majorBidi" w:cstheme="majorBidi"/>
        </w:rPr>
        <w:t xml:space="preserve">and </w:t>
      </w:r>
      <w:r w:rsidR="00593C2F" w:rsidRPr="00FF086E">
        <w:rPr>
          <w:rFonts w:asciiTheme="majorBidi" w:hAnsiTheme="majorBidi" w:cstheme="majorBidi"/>
        </w:rPr>
        <w:t>BADL</w:t>
      </w:r>
      <w:r w:rsidR="002B0C12" w:rsidRPr="00FF086E">
        <w:rPr>
          <w:rFonts w:asciiTheme="majorBidi" w:hAnsiTheme="majorBidi" w:cstheme="majorBidi"/>
        </w:rPr>
        <w:t xml:space="preserve"> elements</w:t>
      </w:r>
      <w:r w:rsidR="00593C2F" w:rsidRPr="00FF086E">
        <w:rPr>
          <w:rFonts w:asciiTheme="majorBidi" w:hAnsiTheme="majorBidi" w:cstheme="majorBidi"/>
        </w:rPr>
        <w:t xml:space="preserve"> </w:t>
      </w:r>
      <w:r w:rsidR="002B0C12" w:rsidRPr="00FF086E">
        <w:rPr>
          <w:rFonts w:asciiTheme="majorBidi" w:hAnsiTheme="majorBidi" w:cstheme="majorBidi"/>
        </w:rPr>
        <w:t>of</w:t>
      </w:r>
      <w:r w:rsidR="00593C2F" w:rsidRPr="00FF086E">
        <w:rPr>
          <w:rFonts w:asciiTheme="majorBidi" w:hAnsiTheme="majorBidi" w:cstheme="majorBidi"/>
        </w:rPr>
        <w:t xml:space="preserve"> the COFEE-HD </w:t>
      </w:r>
      <w:r w:rsidR="002B0C12" w:rsidRPr="00FF086E">
        <w:rPr>
          <w:rFonts w:asciiTheme="majorBidi" w:hAnsiTheme="majorBidi" w:cstheme="majorBidi"/>
        </w:rPr>
        <w:t>were</w:t>
      </w:r>
      <w:r w:rsidR="00593C2F" w:rsidRPr="00FF086E">
        <w:rPr>
          <w:rFonts w:asciiTheme="majorBidi" w:hAnsiTheme="majorBidi" w:cstheme="majorBidi"/>
        </w:rPr>
        <w:t xml:space="preserve"> correlated with mobility, </w:t>
      </w:r>
      <w:r w:rsidR="002F4CD1" w:rsidRPr="00FF086E">
        <w:rPr>
          <w:rFonts w:asciiTheme="majorBidi" w:hAnsiTheme="majorBidi" w:cstheme="majorBidi"/>
        </w:rPr>
        <w:t>BADL</w:t>
      </w:r>
      <w:r w:rsidR="00E23BB0" w:rsidRPr="00FF086E">
        <w:rPr>
          <w:rFonts w:asciiTheme="majorBidi" w:hAnsiTheme="majorBidi" w:cstheme="majorBidi"/>
        </w:rPr>
        <w:t xml:space="preserve"> (Barthel), and IADLs (Lawton) </w:t>
      </w:r>
      <w:r w:rsidR="00593C2F" w:rsidRPr="00FF086E">
        <w:rPr>
          <w:rFonts w:asciiTheme="majorBidi" w:hAnsiTheme="majorBidi" w:cstheme="majorBidi"/>
        </w:rPr>
        <w:t xml:space="preserve">assessments at home. The safety element within the COFEE-HD </w:t>
      </w:r>
      <w:r w:rsidR="00593C2F" w:rsidRPr="00FF086E">
        <w:rPr>
          <w:rFonts w:asciiTheme="majorBidi" w:hAnsiTheme="majorBidi" w:cstheme="majorBidi"/>
        </w:rPr>
        <w:lastRenderedPageBreak/>
        <w:t xml:space="preserve">was correlated with most </w:t>
      </w:r>
      <w:r w:rsidR="00774A19" w:rsidRPr="00FF086E">
        <w:rPr>
          <w:rFonts w:asciiTheme="majorBidi" w:hAnsiTheme="majorBidi" w:cstheme="majorBidi"/>
        </w:rPr>
        <w:t>of the measurements</w:t>
      </w:r>
      <w:r w:rsidR="00AB374F" w:rsidRPr="00FF086E">
        <w:rPr>
          <w:rFonts w:asciiTheme="majorBidi" w:hAnsiTheme="majorBidi" w:cstheme="majorBidi"/>
        </w:rPr>
        <w:t xml:space="preserve"> at home</w:t>
      </w:r>
      <w:r w:rsidR="00774A19" w:rsidRPr="00FF086E">
        <w:rPr>
          <w:rFonts w:asciiTheme="majorBidi" w:hAnsiTheme="majorBidi" w:cstheme="majorBidi"/>
        </w:rPr>
        <w:t>: mobility</w:t>
      </w:r>
      <w:r w:rsidR="00593C2F" w:rsidRPr="00FF086E">
        <w:rPr>
          <w:rFonts w:asciiTheme="majorBidi" w:hAnsiTheme="majorBidi" w:cstheme="majorBidi"/>
        </w:rPr>
        <w:t>,</w:t>
      </w:r>
      <w:r w:rsidR="00E23BB0" w:rsidRPr="00FF086E">
        <w:rPr>
          <w:rFonts w:asciiTheme="majorBidi" w:hAnsiTheme="majorBidi" w:cstheme="majorBidi"/>
        </w:rPr>
        <w:t xml:space="preserve"> </w:t>
      </w:r>
      <w:r w:rsidR="002F4CD1" w:rsidRPr="00FF086E">
        <w:rPr>
          <w:rFonts w:asciiTheme="majorBidi" w:hAnsiTheme="majorBidi" w:cstheme="majorBidi"/>
        </w:rPr>
        <w:t xml:space="preserve">BADL (Barthel) </w:t>
      </w:r>
      <w:r w:rsidR="00E23BB0" w:rsidRPr="00FF086E">
        <w:rPr>
          <w:rFonts w:asciiTheme="majorBidi" w:hAnsiTheme="majorBidi" w:cstheme="majorBidi"/>
        </w:rPr>
        <w:t>and IADLs</w:t>
      </w:r>
      <w:r w:rsidR="002F4CD1" w:rsidRPr="00FF086E">
        <w:rPr>
          <w:rFonts w:asciiTheme="majorBidi" w:hAnsiTheme="majorBidi" w:cstheme="majorBidi"/>
        </w:rPr>
        <w:t xml:space="preserve"> (Lawton) </w:t>
      </w:r>
      <w:r w:rsidR="00E23BB0" w:rsidRPr="00FF086E">
        <w:rPr>
          <w:rFonts w:asciiTheme="majorBidi" w:hAnsiTheme="majorBidi" w:cstheme="majorBidi"/>
        </w:rPr>
        <w:t>assessment</w:t>
      </w:r>
      <w:r w:rsidR="00740E3A" w:rsidRPr="00FF086E">
        <w:rPr>
          <w:rFonts w:asciiTheme="majorBidi" w:hAnsiTheme="majorBidi" w:cstheme="majorBidi"/>
        </w:rPr>
        <w:t xml:space="preserve">, and personal and environmental safety (Table </w:t>
      </w:r>
      <w:r w:rsidR="002B0C12" w:rsidRPr="00FF086E">
        <w:rPr>
          <w:rFonts w:asciiTheme="majorBidi" w:hAnsiTheme="majorBidi" w:cstheme="majorBidi"/>
        </w:rPr>
        <w:t>4</w:t>
      </w:r>
      <w:r w:rsidR="00740E3A" w:rsidRPr="00FF086E">
        <w:rPr>
          <w:rFonts w:asciiTheme="majorBidi" w:hAnsiTheme="majorBidi" w:cstheme="majorBidi"/>
        </w:rPr>
        <w:t xml:space="preserve">). </w:t>
      </w:r>
      <w:r w:rsidR="00AB374F" w:rsidRPr="00FF086E">
        <w:rPr>
          <w:rFonts w:asciiTheme="majorBidi" w:hAnsiTheme="majorBidi" w:cstheme="majorBidi"/>
        </w:rPr>
        <w:t>All c</w:t>
      </w:r>
      <w:r w:rsidR="00593C2F" w:rsidRPr="00FF086E">
        <w:rPr>
          <w:rFonts w:asciiTheme="majorBidi" w:hAnsiTheme="majorBidi" w:cstheme="majorBidi"/>
        </w:rPr>
        <w:t xml:space="preserve">ognitive elements of the COFFEE-HD (IADL tasks, EF cooking tasks and awareness) </w:t>
      </w:r>
      <w:r w:rsidR="00AB374F" w:rsidRPr="00FF086E">
        <w:rPr>
          <w:rFonts w:asciiTheme="majorBidi" w:hAnsiTheme="majorBidi" w:cstheme="majorBidi"/>
        </w:rPr>
        <w:t>c</w:t>
      </w:r>
      <w:r w:rsidR="00593C2F" w:rsidRPr="00FF086E">
        <w:rPr>
          <w:rFonts w:asciiTheme="majorBidi" w:hAnsiTheme="majorBidi" w:cstheme="majorBidi"/>
        </w:rPr>
        <w:t xml:space="preserve">orrelated with </w:t>
      </w:r>
      <w:r w:rsidR="00AB374F" w:rsidRPr="00FF086E">
        <w:rPr>
          <w:rFonts w:asciiTheme="majorBidi" w:hAnsiTheme="majorBidi" w:cstheme="majorBidi"/>
        </w:rPr>
        <w:t xml:space="preserve">the </w:t>
      </w:r>
      <w:r w:rsidR="002F4CD1" w:rsidRPr="00FF086E">
        <w:rPr>
          <w:rFonts w:asciiTheme="majorBidi" w:hAnsiTheme="majorBidi" w:cstheme="majorBidi"/>
        </w:rPr>
        <w:t>B</w:t>
      </w:r>
      <w:r w:rsidR="00E23BB0" w:rsidRPr="00FF086E">
        <w:rPr>
          <w:rFonts w:asciiTheme="majorBidi" w:hAnsiTheme="majorBidi" w:cstheme="majorBidi"/>
        </w:rPr>
        <w:t>ADL</w:t>
      </w:r>
      <w:r w:rsidR="00AB374F" w:rsidRPr="00FF086E">
        <w:rPr>
          <w:rFonts w:asciiTheme="majorBidi" w:hAnsiTheme="majorBidi" w:cstheme="majorBidi"/>
        </w:rPr>
        <w:t xml:space="preserve"> and</w:t>
      </w:r>
      <w:r w:rsidR="00E23BB0" w:rsidRPr="00FF086E">
        <w:rPr>
          <w:rFonts w:asciiTheme="majorBidi" w:hAnsiTheme="majorBidi" w:cstheme="majorBidi"/>
        </w:rPr>
        <w:t xml:space="preserve"> IADL </w:t>
      </w:r>
      <w:r w:rsidR="00593C2F" w:rsidRPr="00FF086E">
        <w:rPr>
          <w:rFonts w:asciiTheme="majorBidi" w:hAnsiTheme="majorBidi" w:cstheme="majorBidi"/>
        </w:rPr>
        <w:t>assessments</w:t>
      </w:r>
      <w:r w:rsidR="00AB374F" w:rsidRPr="00FF086E">
        <w:rPr>
          <w:rFonts w:asciiTheme="majorBidi" w:hAnsiTheme="majorBidi" w:cstheme="majorBidi"/>
        </w:rPr>
        <w:t xml:space="preserve"> (Table 5)</w:t>
      </w:r>
      <w:r w:rsidR="00593C2F" w:rsidRPr="00FF086E">
        <w:rPr>
          <w:rFonts w:asciiTheme="majorBidi" w:hAnsiTheme="majorBidi" w:cstheme="majorBidi"/>
        </w:rPr>
        <w:t xml:space="preserve">. </w:t>
      </w:r>
    </w:p>
    <w:p w14:paraId="23054F53" w14:textId="7F7CE24B" w:rsidR="00740E3A" w:rsidRPr="00FF086E" w:rsidRDefault="00AB374F" w:rsidP="00FF086E">
      <w:pPr>
        <w:spacing w:line="480" w:lineRule="auto"/>
        <w:rPr>
          <w:rFonts w:asciiTheme="majorBidi" w:hAnsiTheme="majorBidi" w:cstheme="majorBidi"/>
          <w:strike/>
        </w:rPr>
      </w:pPr>
      <w:r w:rsidRPr="00FF086E">
        <w:rPr>
          <w:rFonts w:asciiTheme="majorBidi" w:hAnsiTheme="majorBidi" w:cstheme="majorBidi"/>
        </w:rPr>
        <w:t xml:space="preserve">Next, </w:t>
      </w:r>
      <w:r w:rsidR="00740E3A" w:rsidRPr="00FF086E">
        <w:rPr>
          <w:rFonts w:asciiTheme="majorBidi" w:hAnsiTheme="majorBidi" w:cstheme="majorBidi"/>
        </w:rPr>
        <w:t xml:space="preserve">the predictive </w:t>
      </w:r>
      <w:r w:rsidR="004E6707" w:rsidRPr="00FF086E">
        <w:rPr>
          <w:rFonts w:asciiTheme="majorBidi" w:hAnsiTheme="majorBidi" w:cstheme="majorBidi"/>
        </w:rPr>
        <w:t>ability</w:t>
      </w:r>
      <w:r w:rsidR="00740E3A" w:rsidRPr="00FF086E">
        <w:rPr>
          <w:rFonts w:asciiTheme="majorBidi" w:hAnsiTheme="majorBidi" w:cstheme="majorBidi"/>
        </w:rPr>
        <w:t xml:space="preserve"> of the COFEE-HD to evaluate future performance at home</w:t>
      </w:r>
      <w:r w:rsidRPr="00FF086E">
        <w:rPr>
          <w:rFonts w:asciiTheme="majorBidi" w:hAnsiTheme="majorBidi" w:cstheme="majorBidi"/>
        </w:rPr>
        <w:t xml:space="preserve"> was examined</w:t>
      </w:r>
      <w:r w:rsidR="004E6707" w:rsidRPr="00FF086E">
        <w:rPr>
          <w:rFonts w:asciiTheme="majorBidi" w:hAnsiTheme="majorBidi" w:cstheme="majorBidi"/>
        </w:rPr>
        <w:t xml:space="preserve"> with two stepwise regressions</w:t>
      </w:r>
      <w:r w:rsidRPr="00FF086E">
        <w:rPr>
          <w:rFonts w:asciiTheme="majorBidi" w:hAnsiTheme="majorBidi" w:cstheme="majorBidi"/>
        </w:rPr>
        <w:t>.</w:t>
      </w:r>
      <w:r w:rsidR="00740E3A" w:rsidRPr="00FF086E">
        <w:rPr>
          <w:rFonts w:asciiTheme="majorBidi" w:hAnsiTheme="majorBidi" w:cstheme="majorBidi"/>
        </w:rPr>
        <w:t xml:space="preserve"> </w:t>
      </w:r>
      <w:r w:rsidR="00493FB7" w:rsidRPr="00FF086E">
        <w:rPr>
          <w:rFonts w:asciiTheme="majorBidi" w:hAnsiTheme="majorBidi" w:cstheme="majorBidi"/>
        </w:rPr>
        <w:t>Function</w:t>
      </w:r>
      <w:r w:rsidR="004E6707" w:rsidRPr="00FF086E">
        <w:rPr>
          <w:rFonts w:asciiTheme="majorBidi" w:hAnsiTheme="majorBidi" w:cstheme="majorBidi"/>
        </w:rPr>
        <w:t>ing</w:t>
      </w:r>
      <w:r w:rsidR="00493FB7" w:rsidRPr="00FF086E">
        <w:rPr>
          <w:rFonts w:asciiTheme="majorBidi" w:hAnsiTheme="majorBidi" w:cstheme="majorBidi"/>
        </w:rPr>
        <w:t xml:space="preserve"> indices </w:t>
      </w:r>
      <w:r w:rsidR="004E6707" w:rsidRPr="00FF086E">
        <w:rPr>
          <w:rFonts w:asciiTheme="majorBidi" w:hAnsiTheme="majorBidi" w:cstheme="majorBidi"/>
        </w:rPr>
        <w:t xml:space="preserve">that </w:t>
      </w:r>
      <w:r w:rsidR="00493FB7" w:rsidRPr="00FF086E">
        <w:rPr>
          <w:rFonts w:asciiTheme="majorBidi" w:hAnsiTheme="majorBidi" w:cstheme="majorBidi"/>
        </w:rPr>
        <w:t xml:space="preserve">were found to predict performance </w:t>
      </w:r>
      <w:r w:rsidR="004E6707" w:rsidRPr="00FF086E">
        <w:rPr>
          <w:rFonts w:asciiTheme="majorBidi" w:hAnsiTheme="majorBidi" w:cstheme="majorBidi"/>
        </w:rPr>
        <w:t xml:space="preserve">at home </w:t>
      </w:r>
      <w:r w:rsidR="00493FB7" w:rsidRPr="00FF086E">
        <w:rPr>
          <w:rFonts w:asciiTheme="majorBidi" w:hAnsiTheme="majorBidi" w:cstheme="majorBidi"/>
        </w:rPr>
        <w:t xml:space="preserve">after discharge </w:t>
      </w:r>
      <w:r w:rsidR="00F0513C" w:rsidRPr="00FF086E">
        <w:rPr>
          <w:rFonts w:asciiTheme="majorBidi" w:hAnsiTheme="majorBidi" w:cstheme="majorBidi"/>
        </w:rPr>
        <w:t xml:space="preserve">were </w:t>
      </w:r>
      <w:r w:rsidR="00493FB7" w:rsidRPr="00FF086E">
        <w:rPr>
          <w:rFonts w:asciiTheme="majorBidi" w:hAnsiTheme="majorBidi" w:cstheme="majorBidi"/>
        </w:rPr>
        <w:t xml:space="preserve">the overall </w:t>
      </w:r>
      <w:r w:rsidR="00B72411" w:rsidRPr="00FF086E">
        <w:rPr>
          <w:rFonts w:asciiTheme="majorBidi" w:hAnsiTheme="majorBidi" w:cstheme="majorBidi"/>
        </w:rPr>
        <w:t xml:space="preserve">mobility </w:t>
      </w:r>
      <w:r w:rsidR="00493FB7" w:rsidRPr="00FF086E">
        <w:rPr>
          <w:rFonts w:asciiTheme="majorBidi" w:hAnsiTheme="majorBidi" w:cstheme="majorBidi"/>
        </w:rPr>
        <w:t>score</w:t>
      </w:r>
      <w:r w:rsidR="002F4CD1" w:rsidRPr="00FF086E">
        <w:rPr>
          <w:rFonts w:asciiTheme="majorBidi" w:hAnsiTheme="majorBidi" w:cstheme="majorBidi"/>
        </w:rPr>
        <w:t>, B</w:t>
      </w:r>
      <w:r w:rsidR="00AD6C9D" w:rsidRPr="00FF086E">
        <w:rPr>
          <w:rFonts w:asciiTheme="majorBidi" w:hAnsiTheme="majorBidi" w:cstheme="majorBidi"/>
        </w:rPr>
        <w:t>ADLs</w:t>
      </w:r>
      <w:r w:rsidR="00E23BB0" w:rsidRPr="00FF086E">
        <w:rPr>
          <w:rFonts w:asciiTheme="majorBidi" w:hAnsiTheme="majorBidi" w:cstheme="majorBidi"/>
        </w:rPr>
        <w:t xml:space="preserve"> and </w:t>
      </w:r>
      <w:r w:rsidR="00493FB7" w:rsidRPr="00FF086E">
        <w:rPr>
          <w:rFonts w:asciiTheme="majorBidi" w:hAnsiTheme="majorBidi" w:cstheme="majorBidi"/>
        </w:rPr>
        <w:t>IADL</w:t>
      </w:r>
      <w:r w:rsidR="00E16D77" w:rsidRPr="00FF086E">
        <w:rPr>
          <w:rFonts w:asciiTheme="majorBidi" w:hAnsiTheme="majorBidi" w:cstheme="majorBidi"/>
        </w:rPr>
        <w:t>s</w:t>
      </w:r>
      <w:r w:rsidR="00493FB7" w:rsidRPr="00FF086E">
        <w:rPr>
          <w:rFonts w:asciiTheme="majorBidi" w:hAnsiTheme="majorBidi" w:cstheme="majorBidi"/>
        </w:rPr>
        <w:t xml:space="preserve"> </w:t>
      </w:r>
      <w:r w:rsidR="00E23BB0" w:rsidRPr="00FF086E">
        <w:rPr>
          <w:rFonts w:asciiTheme="majorBidi" w:hAnsiTheme="majorBidi" w:cstheme="majorBidi"/>
        </w:rPr>
        <w:t>assessment</w:t>
      </w:r>
      <w:r w:rsidR="00F0513C" w:rsidRPr="00FF086E">
        <w:rPr>
          <w:rFonts w:asciiTheme="majorBidi" w:hAnsiTheme="majorBidi" w:cstheme="majorBidi"/>
        </w:rPr>
        <w:t xml:space="preserve">s, and the participant’s report of home safety </w:t>
      </w:r>
      <w:r w:rsidR="000E103A" w:rsidRPr="00FF086E">
        <w:rPr>
          <w:rFonts w:asciiTheme="majorBidi" w:hAnsiTheme="majorBidi" w:cstheme="majorBidi"/>
        </w:rPr>
        <w:t xml:space="preserve">(Table </w:t>
      </w:r>
      <w:r w:rsidR="004E6707" w:rsidRPr="00FF086E">
        <w:rPr>
          <w:rFonts w:asciiTheme="majorBidi" w:hAnsiTheme="majorBidi" w:cstheme="majorBidi"/>
        </w:rPr>
        <w:t>6</w:t>
      </w:r>
      <w:r w:rsidR="000E103A" w:rsidRPr="00FF086E">
        <w:rPr>
          <w:rFonts w:asciiTheme="majorBidi" w:hAnsiTheme="majorBidi" w:cstheme="majorBidi"/>
        </w:rPr>
        <w:t>)</w:t>
      </w:r>
      <w:r w:rsidR="00493FB7" w:rsidRPr="00FF086E">
        <w:rPr>
          <w:rFonts w:asciiTheme="majorBidi" w:hAnsiTheme="majorBidi" w:cstheme="majorBidi"/>
        </w:rPr>
        <w:t>.</w:t>
      </w:r>
      <w:r w:rsidR="002F4CD1" w:rsidRPr="00FF086E">
        <w:rPr>
          <w:rFonts w:asciiTheme="majorBidi" w:hAnsiTheme="majorBidi" w:cstheme="majorBidi"/>
        </w:rPr>
        <w:t xml:space="preserve"> </w:t>
      </w:r>
      <w:r w:rsidR="00CE2542" w:rsidRPr="00FF086E">
        <w:rPr>
          <w:rFonts w:asciiTheme="majorBidi" w:hAnsiTheme="majorBidi" w:cstheme="majorBidi"/>
        </w:rPr>
        <w:t>BADL (p&lt;0.0</w:t>
      </w:r>
      <w:r w:rsidR="00F0513C" w:rsidRPr="00FF086E">
        <w:rPr>
          <w:rFonts w:asciiTheme="majorBidi" w:hAnsiTheme="majorBidi" w:cstheme="majorBidi"/>
        </w:rPr>
        <w:t>0</w:t>
      </w:r>
      <w:r w:rsidR="00CE2542" w:rsidRPr="00FF086E">
        <w:rPr>
          <w:rFonts w:asciiTheme="majorBidi" w:hAnsiTheme="majorBidi" w:cstheme="majorBidi"/>
        </w:rPr>
        <w:t xml:space="preserve">1), home safety </w:t>
      </w:r>
      <w:r w:rsidR="005E478F" w:rsidRPr="00FF086E">
        <w:rPr>
          <w:rFonts w:asciiTheme="majorBidi" w:hAnsiTheme="majorBidi" w:cstheme="majorBidi"/>
        </w:rPr>
        <w:t>self-report</w:t>
      </w:r>
      <w:r w:rsidR="00CE2542" w:rsidRPr="00FF086E">
        <w:rPr>
          <w:rFonts w:asciiTheme="majorBidi" w:hAnsiTheme="majorBidi" w:cstheme="majorBidi"/>
        </w:rPr>
        <w:t xml:space="preserve"> (p=0.037) and </w:t>
      </w:r>
      <w:r w:rsidR="00E23BB0" w:rsidRPr="00FF086E">
        <w:rPr>
          <w:rFonts w:asciiTheme="majorBidi" w:hAnsiTheme="majorBidi" w:cstheme="majorBidi"/>
        </w:rPr>
        <w:t>Awareness (evaluative) after IADL shopping task</w:t>
      </w:r>
      <w:r w:rsidR="00E23BB0" w:rsidRPr="00FF086E">
        <w:rPr>
          <w:rFonts w:asciiTheme="majorBidi" w:hAnsiTheme="majorBidi" w:cstheme="majorBidi"/>
          <w:sz w:val="20"/>
          <w:szCs w:val="20"/>
        </w:rPr>
        <w:t xml:space="preserve"> </w:t>
      </w:r>
      <w:r w:rsidR="00CE2542" w:rsidRPr="00FF086E">
        <w:rPr>
          <w:rFonts w:asciiTheme="majorBidi" w:hAnsiTheme="majorBidi" w:cstheme="majorBidi"/>
        </w:rPr>
        <w:t>tasks (p</w:t>
      </w:r>
      <w:r w:rsidR="00D04789" w:rsidRPr="00FF086E">
        <w:rPr>
          <w:rFonts w:asciiTheme="majorBidi" w:hAnsiTheme="majorBidi" w:cstheme="majorBidi"/>
        </w:rPr>
        <w:t>=</w:t>
      </w:r>
      <w:r w:rsidR="00CE2542" w:rsidRPr="00FF086E">
        <w:rPr>
          <w:rFonts w:asciiTheme="majorBidi" w:hAnsiTheme="majorBidi" w:cstheme="majorBidi"/>
        </w:rPr>
        <w:t xml:space="preserve">0.043), </w:t>
      </w:r>
      <w:r w:rsidR="00B72411" w:rsidRPr="00FF086E">
        <w:rPr>
          <w:rFonts w:asciiTheme="majorBidi" w:hAnsiTheme="majorBidi" w:cstheme="majorBidi"/>
        </w:rPr>
        <w:t>all</w:t>
      </w:r>
      <w:r w:rsidR="00A81D4D" w:rsidRPr="00FF086E">
        <w:rPr>
          <w:rFonts w:asciiTheme="majorBidi" w:hAnsiTheme="majorBidi" w:cstheme="majorBidi"/>
        </w:rPr>
        <w:t xml:space="preserve"> </w:t>
      </w:r>
      <w:r w:rsidR="00CE2542" w:rsidRPr="00FF086E">
        <w:rPr>
          <w:rFonts w:asciiTheme="majorBidi" w:hAnsiTheme="majorBidi" w:cstheme="majorBidi"/>
        </w:rPr>
        <w:t xml:space="preserve">elements of the COFFEE-HD, were able to predict </w:t>
      </w:r>
      <w:r w:rsidR="002F4CD1" w:rsidRPr="00FF086E">
        <w:rPr>
          <w:rFonts w:asciiTheme="majorBidi" w:hAnsiTheme="majorBidi" w:cstheme="majorBidi"/>
        </w:rPr>
        <w:t>BADL (Barthel)</w:t>
      </w:r>
      <w:r w:rsidR="00F0513C" w:rsidRPr="00FF086E">
        <w:rPr>
          <w:rFonts w:asciiTheme="majorBidi" w:hAnsiTheme="majorBidi" w:cstheme="majorBidi"/>
        </w:rPr>
        <w:t xml:space="preserve"> </w:t>
      </w:r>
      <w:r w:rsidR="00CE2542" w:rsidRPr="00FF086E">
        <w:rPr>
          <w:rFonts w:asciiTheme="majorBidi" w:hAnsiTheme="majorBidi" w:cstheme="majorBidi"/>
        </w:rPr>
        <w:t>functioning at home. BADL</w:t>
      </w:r>
      <w:r w:rsidR="004136F7" w:rsidRPr="00FF086E">
        <w:rPr>
          <w:rFonts w:asciiTheme="majorBidi" w:hAnsiTheme="majorBidi" w:cstheme="majorBidi"/>
        </w:rPr>
        <w:t>s</w:t>
      </w:r>
      <w:r w:rsidR="00CE2542" w:rsidRPr="00FF086E">
        <w:rPr>
          <w:rFonts w:asciiTheme="majorBidi" w:hAnsiTheme="majorBidi" w:cstheme="majorBidi"/>
        </w:rPr>
        <w:t xml:space="preserve"> (p=0.006)</w:t>
      </w:r>
      <w:r w:rsidR="00F0513C" w:rsidRPr="00FF086E">
        <w:rPr>
          <w:rFonts w:asciiTheme="majorBidi" w:hAnsiTheme="majorBidi" w:cstheme="majorBidi"/>
        </w:rPr>
        <w:t>,</w:t>
      </w:r>
      <w:r w:rsidR="00CE2542" w:rsidRPr="00FF086E">
        <w:rPr>
          <w:rFonts w:asciiTheme="majorBidi" w:hAnsiTheme="majorBidi" w:cstheme="majorBidi"/>
        </w:rPr>
        <w:t xml:space="preserve"> home safety (</w:t>
      </w:r>
      <w:r w:rsidR="00D04789" w:rsidRPr="00FF086E">
        <w:rPr>
          <w:rFonts w:asciiTheme="majorBidi" w:hAnsiTheme="majorBidi" w:cstheme="majorBidi"/>
        </w:rPr>
        <w:t>p=</w:t>
      </w:r>
      <w:r w:rsidR="00CE2542" w:rsidRPr="00FF086E">
        <w:rPr>
          <w:rFonts w:asciiTheme="majorBidi" w:hAnsiTheme="majorBidi" w:cstheme="majorBidi"/>
        </w:rPr>
        <w:t>0.038)</w:t>
      </w:r>
      <w:r w:rsidR="00F0513C" w:rsidRPr="00FF086E">
        <w:rPr>
          <w:rFonts w:asciiTheme="majorBidi" w:hAnsiTheme="majorBidi" w:cstheme="majorBidi"/>
        </w:rPr>
        <w:t xml:space="preserve">, and mobility (p=0.006) predicted IADL at home.  </w:t>
      </w:r>
      <w:bookmarkEnd w:id="3"/>
    </w:p>
    <w:p w14:paraId="28C8DB05" w14:textId="259BB110" w:rsidR="00FE2D37" w:rsidRDefault="00FE2D37" w:rsidP="00E16D77">
      <w:pPr>
        <w:spacing w:line="480" w:lineRule="auto"/>
        <w:rPr>
          <w:rFonts w:asciiTheme="majorBidi" w:hAnsiTheme="majorBidi" w:cstheme="majorBidi"/>
          <w:b/>
          <w:bCs/>
        </w:rPr>
      </w:pPr>
      <w:r w:rsidRPr="00C14D70">
        <w:rPr>
          <w:rFonts w:asciiTheme="majorBidi" w:hAnsiTheme="majorBidi" w:cstheme="majorBidi"/>
          <w:b/>
          <w:bCs/>
        </w:rPr>
        <w:t>Discussion</w:t>
      </w:r>
    </w:p>
    <w:p w14:paraId="357CD353" w14:textId="6F6E26AD" w:rsidR="0033516D" w:rsidRDefault="0033516D" w:rsidP="0033516D">
      <w:pPr>
        <w:spacing w:after="0" w:line="480" w:lineRule="auto"/>
        <w:ind w:firstLine="720"/>
        <w:rPr>
          <w:rFonts w:asciiTheme="majorBidi" w:hAnsiTheme="majorBidi" w:cstheme="majorBidi"/>
        </w:rPr>
      </w:pPr>
      <w:r w:rsidRPr="00C14D70">
        <w:rPr>
          <w:rFonts w:asciiTheme="majorBidi" w:hAnsiTheme="majorBidi" w:cstheme="majorBidi"/>
        </w:rPr>
        <w:t xml:space="preserve">There has been continued emphasis on aging in place over the past two decades, and </w:t>
      </w:r>
      <w:r>
        <w:rPr>
          <w:rFonts w:asciiTheme="majorBidi" w:hAnsiTheme="majorBidi" w:cstheme="majorBidi"/>
        </w:rPr>
        <w:t xml:space="preserve">it is important to </w:t>
      </w:r>
      <w:r w:rsidRPr="00C14D70">
        <w:rPr>
          <w:rFonts w:asciiTheme="majorBidi" w:hAnsiTheme="majorBidi" w:cstheme="majorBidi"/>
        </w:rPr>
        <w:t>encourag</w:t>
      </w:r>
      <w:r>
        <w:rPr>
          <w:rFonts w:asciiTheme="majorBidi" w:hAnsiTheme="majorBidi" w:cstheme="majorBidi"/>
        </w:rPr>
        <w:t xml:space="preserve">e </w:t>
      </w:r>
      <w:r w:rsidRPr="00C14D70">
        <w:rPr>
          <w:rFonts w:asciiTheme="majorBidi" w:hAnsiTheme="majorBidi" w:cstheme="majorBidi"/>
        </w:rPr>
        <w:t>aging patients to continue to live independently</w:t>
      </w:r>
      <w:r>
        <w:rPr>
          <w:rFonts w:asciiTheme="majorBidi" w:hAnsiTheme="majorBidi" w:cstheme="majorBidi"/>
        </w:rPr>
        <w:t xml:space="preserve"> and </w:t>
      </w:r>
      <w:r w:rsidRPr="0033516D">
        <w:rPr>
          <w:rFonts w:asciiTheme="majorBidi" w:hAnsiTheme="majorBidi" w:cstheme="majorBidi"/>
        </w:rPr>
        <w:t>safely (</w:t>
      </w:r>
      <w:r w:rsidRPr="003A75A1">
        <w:rPr>
          <w:rFonts w:asciiTheme="majorBidi" w:hAnsiTheme="majorBidi" w:cstheme="majorBidi"/>
        </w:rPr>
        <w:t xml:space="preserve">Skelton </w:t>
      </w:r>
      <w:r w:rsidR="00D51235">
        <w:rPr>
          <w:rFonts w:asciiTheme="majorBidi" w:hAnsiTheme="majorBidi" w:cstheme="majorBidi"/>
        </w:rPr>
        <w:t>et al.</w:t>
      </w:r>
      <w:r w:rsidRPr="003A75A1">
        <w:rPr>
          <w:rFonts w:asciiTheme="majorBidi" w:hAnsiTheme="majorBidi" w:cstheme="majorBidi"/>
        </w:rPr>
        <w:t>, 2010</w:t>
      </w:r>
      <w:r w:rsidRPr="0033516D">
        <w:rPr>
          <w:rFonts w:asciiTheme="majorBidi" w:hAnsiTheme="majorBidi" w:cstheme="majorBidi"/>
        </w:rPr>
        <w:t>). In</w:t>
      </w:r>
      <w:r w:rsidRPr="00C14D70">
        <w:rPr>
          <w:rFonts w:asciiTheme="majorBidi" w:hAnsiTheme="majorBidi" w:cstheme="majorBidi"/>
        </w:rPr>
        <w:t xml:space="preserve"> the face of physiological changes</w:t>
      </w:r>
      <w:r>
        <w:rPr>
          <w:rFonts w:asciiTheme="majorBidi" w:hAnsiTheme="majorBidi" w:cstheme="majorBidi"/>
        </w:rPr>
        <w:t xml:space="preserve"> and the increase in chronic illness </w:t>
      </w:r>
      <w:r w:rsidRPr="00C14D70">
        <w:rPr>
          <w:rFonts w:asciiTheme="majorBidi" w:hAnsiTheme="majorBidi" w:cstheme="majorBidi"/>
        </w:rPr>
        <w:t>that develop with age</w:t>
      </w:r>
      <w:r w:rsidR="00B72411">
        <w:rPr>
          <w:rFonts w:asciiTheme="majorBidi" w:hAnsiTheme="majorBidi" w:cstheme="majorBidi"/>
        </w:rPr>
        <w:t xml:space="preserve"> and</w:t>
      </w:r>
      <w:r w:rsidR="00B72411" w:rsidRPr="00C14D70">
        <w:rPr>
          <w:rFonts w:asciiTheme="majorBidi" w:hAnsiTheme="majorBidi" w:cstheme="majorBidi"/>
        </w:rPr>
        <w:t xml:space="preserve"> </w:t>
      </w:r>
      <w:r w:rsidRPr="00C14D70">
        <w:rPr>
          <w:rFonts w:asciiTheme="majorBidi" w:hAnsiTheme="majorBidi" w:cstheme="majorBidi"/>
        </w:rPr>
        <w:t xml:space="preserve">may affect the ability of </w:t>
      </w:r>
      <w:r>
        <w:rPr>
          <w:rFonts w:asciiTheme="majorBidi" w:hAnsiTheme="majorBidi" w:cstheme="majorBidi"/>
        </w:rPr>
        <w:t>older adults</w:t>
      </w:r>
      <w:r w:rsidRPr="00C14D70">
        <w:rPr>
          <w:rFonts w:asciiTheme="majorBidi" w:hAnsiTheme="majorBidi" w:cstheme="majorBidi"/>
        </w:rPr>
        <w:t xml:space="preserve"> to lead an independent life in the community</w:t>
      </w:r>
      <w:r>
        <w:rPr>
          <w:rFonts w:asciiTheme="majorBidi" w:hAnsiTheme="majorBidi" w:cstheme="majorBidi"/>
        </w:rPr>
        <w:t xml:space="preserve"> (</w:t>
      </w:r>
      <w:r w:rsidRPr="003A75A1">
        <w:rPr>
          <w:rFonts w:asciiTheme="majorBidi" w:hAnsiTheme="majorBidi" w:cstheme="majorBidi"/>
        </w:rPr>
        <w:t>Bonder</w:t>
      </w:r>
      <w:r w:rsidR="00D51235">
        <w:rPr>
          <w:rFonts w:asciiTheme="majorBidi" w:hAnsiTheme="majorBidi" w:cstheme="majorBidi"/>
        </w:rPr>
        <w:t xml:space="preserve"> </w:t>
      </w:r>
      <w:r w:rsidR="00D51235" w:rsidRPr="0033516D">
        <w:rPr>
          <w:rFonts w:asciiTheme="majorBidi" w:hAnsiTheme="majorBidi" w:cstheme="majorBidi"/>
        </w:rPr>
        <w:t>&amp; Dal Bello-Haas</w:t>
      </w:r>
      <w:r w:rsidRPr="003A75A1">
        <w:rPr>
          <w:rFonts w:asciiTheme="majorBidi" w:hAnsiTheme="majorBidi" w:cstheme="majorBidi"/>
        </w:rPr>
        <w:t>,</w:t>
      </w:r>
      <w:r w:rsidR="00D51235">
        <w:rPr>
          <w:rFonts w:asciiTheme="majorBidi" w:hAnsiTheme="majorBidi" w:cstheme="majorBidi"/>
        </w:rPr>
        <w:t xml:space="preserve"> </w:t>
      </w:r>
      <w:r w:rsidRPr="003A75A1">
        <w:rPr>
          <w:rFonts w:asciiTheme="majorBidi" w:hAnsiTheme="majorBidi" w:cstheme="majorBidi"/>
        </w:rPr>
        <w:t>2018</w:t>
      </w:r>
      <w:r>
        <w:rPr>
          <w:rFonts w:asciiTheme="majorBidi" w:hAnsiTheme="majorBidi" w:cstheme="majorBidi"/>
        </w:rPr>
        <w:t>)</w:t>
      </w:r>
      <w:r w:rsidRPr="00C14D70">
        <w:rPr>
          <w:rFonts w:asciiTheme="majorBidi" w:hAnsiTheme="majorBidi" w:cstheme="majorBidi"/>
        </w:rPr>
        <w:t>,</w:t>
      </w:r>
      <w:r>
        <w:rPr>
          <w:rFonts w:asciiTheme="majorBidi" w:hAnsiTheme="majorBidi" w:cstheme="majorBidi"/>
        </w:rPr>
        <w:t xml:space="preserve"> </w:t>
      </w:r>
      <w:r w:rsidRPr="00C14D70">
        <w:rPr>
          <w:rFonts w:asciiTheme="majorBidi" w:hAnsiTheme="majorBidi" w:cstheme="majorBidi"/>
        </w:rPr>
        <w:t>the</w:t>
      </w:r>
      <w:r>
        <w:rPr>
          <w:rFonts w:asciiTheme="majorBidi" w:hAnsiTheme="majorBidi" w:cstheme="majorBidi"/>
        </w:rPr>
        <w:t xml:space="preserve">re is a </w:t>
      </w:r>
      <w:r w:rsidRPr="00C14D70">
        <w:rPr>
          <w:rFonts w:asciiTheme="majorBidi" w:hAnsiTheme="majorBidi" w:cstheme="majorBidi"/>
        </w:rPr>
        <w:t>need for a comprehensive functional</w:t>
      </w:r>
      <w:r>
        <w:rPr>
          <w:rFonts w:asciiTheme="majorBidi" w:hAnsiTheme="majorBidi" w:cstheme="majorBidi"/>
        </w:rPr>
        <w:t>-cognitive</w:t>
      </w:r>
      <w:r w:rsidRPr="00C14D70">
        <w:rPr>
          <w:rFonts w:asciiTheme="majorBidi" w:hAnsiTheme="majorBidi" w:cstheme="majorBidi"/>
        </w:rPr>
        <w:t xml:space="preserve"> </w:t>
      </w:r>
      <w:r>
        <w:rPr>
          <w:rFonts w:asciiTheme="majorBidi" w:hAnsiTheme="majorBidi" w:cstheme="majorBidi"/>
        </w:rPr>
        <w:t>evaluation</w:t>
      </w:r>
      <w:r w:rsidRPr="00C14D70">
        <w:rPr>
          <w:rFonts w:asciiTheme="majorBidi" w:hAnsiTheme="majorBidi" w:cstheme="majorBidi"/>
        </w:rPr>
        <w:t xml:space="preserve"> (Moor</w:t>
      </w:r>
      <w:r w:rsidR="003F3C83">
        <w:rPr>
          <w:rFonts w:asciiTheme="majorBidi" w:hAnsiTheme="majorBidi" w:cstheme="majorBidi"/>
        </w:rPr>
        <w:t>e</w:t>
      </w:r>
      <w:r w:rsidR="00FF086E">
        <w:rPr>
          <w:rFonts w:asciiTheme="majorBidi" w:hAnsiTheme="majorBidi" w:cstheme="majorBidi"/>
        </w:rPr>
        <w:t xml:space="preserve"> et al.</w:t>
      </w:r>
      <w:r>
        <w:rPr>
          <w:rFonts w:asciiTheme="majorBidi" w:hAnsiTheme="majorBidi" w:cstheme="majorBidi"/>
        </w:rPr>
        <w:t>, 2008)</w:t>
      </w:r>
      <w:r w:rsidR="00B72411">
        <w:rPr>
          <w:rFonts w:asciiTheme="majorBidi" w:hAnsiTheme="majorBidi" w:cstheme="majorBidi"/>
        </w:rPr>
        <w:t xml:space="preserve"> </w:t>
      </w:r>
      <w:r w:rsidR="00B72411" w:rsidRPr="00A81D4D">
        <w:rPr>
          <w:rFonts w:asciiTheme="majorBidi" w:hAnsiTheme="majorBidi" w:cstheme="majorBidi"/>
        </w:rPr>
        <w:t>to foresee possible negative events</w:t>
      </w:r>
      <w:r w:rsidR="00FF086E">
        <w:rPr>
          <w:rFonts w:asciiTheme="majorBidi" w:hAnsiTheme="majorBidi" w:cstheme="majorBidi"/>
        </w:rPr>
        <w:t xml:space="preserve">. </w:t>
      </w:r>
      <w:r w:rsidRPr="00C14D70">
        <w:rPr>
          <w:rFonts w:asciiTheme="majorBidi" w:hAnsiTheme="majorBidi" w:cstheme="majorBidi"/>
        </w:rPr>
        <w:t xml:space="preserve">Hence, </w:t>
      </w:r>
      <w:r w:rsidR="003F3C83">
        <w:rPr>
          <w:rFonts w:asciiTheme="majorBidi" w:hAnsiTheme="majorBidi" w:cstheme="majorBidi"/>
        </w:rPr>
        <w:t>it is important to construct</w:t>
      </w:r>
      <w:r w:rsidRPr="00C14D70">
        <w:rPr>
          <w:rFonts w:asciiTheme="majorBidi" w:hAnsiTheme="majorBidi" w:cstheme="majorBidi"/>
        </w:rPr>
        <w:t xml:space="preserve"> a treatment plan</w:t>
      </w:r>
      <w:r w:rsidR="00C11C5E">
        <w:rPr>
          <w:rFonts w:asciiTheme="majorBidi" w:hAnsiTheme="majorBidi" w:cstheme="majorBidi"/>
        </w:rPr>
        <w:t xml:space="preserve"> and recommendations</w:t>
      </w:r>
      <w:r w:rsidRPr="00C14D70">
        <w:rPr>
          <w:rFonts w:asciiTheme="majorBidi" w:hAnsiTheme="majorBidi" w:cstheme="majorBidi"/>
        </w:rPr>
        <w:t xml:space="preserve"> that </w:t>
      </w:r>
      <w:r w:rsidR="00C11C5E">
        <w:rPr>
          <w:rFonts w:asciiTheme="majorBidi" w:hAnsiTheme="majorBidi" w:cstheme="majorBidi"/>
        </w:rPr>
        <w:t>are</w:t>
      </w:r>
      <w:r w:rsidRPr="00C14D70">
        <w:rPr>
          <w:rFonts w:asciiTheme="majorBidi" w:hAnsiTheme="majorBidi" w:cstheme="majorBidi"/>
        </w:rPr>
        <w:t xml:space="preserve"> observation based</w:t>
      </w:r>
      <w:r>
        <w:rPr>
          <w:rFonts w:asciiTheme="majorBidi" w:hAnsiTheme="majorBidi" w:cstheme="majorBidi"/>
        </w:rPr>
        <w:t xml:space="preserve"> </w:t>
      </w:r>
      <w:r w:rsidRPr="00C14D70">
        <w:rPr>
          <w:rFonts w:asciiTheme="majorBidi" w:hAnsiTheme="majorBidi" w:cstheme="majorBidi"/>
        </w:rPr>
        <w:t>and incorporate tailored strategies to both maintain and improve functioning and quality of life at home.</w:t>
      </w:r>
      <w:r w:rsidR="00C11C5E">
        <w:rPr>
          <w:rFonts w:asciiTheme="majorBidi" w:hAnsiTheme="majorBidi" w:cstheme="majorBidi"/>
        </w:rPr>
        <w:t xml:space="preserve"> </w:t>
      </w:r>
    </w:p>
    <w:p w14:paraId="43FEE01D" w14:textId="1F62269B" w:rsidR="0033516D" w:rsidRDefault="0033516D" w:rsidP="0033516D">
      <w:pPr>
        <w:spacing w:after="0" w:line="480" w:lineRule="auto"/>
        <w:rPr>
          <w:rFonts w:asciiTheme="majorBidi" w:hAnsiTheme="majorBidi" w:cstheme="majorBidi"/>
        </w:rPr>
      </w:pPr>
      <w:r w:rsidRPr="00C14D70">
        <w:rPr>
          <w:rFonts w:asciiTheme="majorBidi" w:hAnsiTheme="majorBidi" w:cstheme="majorBidi"/>
        </w:rPr>
        <w:t xml:space="preserve">For these reasons, </w:t>
      </w:r>
      <w:r>
        <w:rPr>
          <w:rFonts w:asciiTheme="majorBidi" w:hAnsiTheme="majorBidi" w:cstheme="majorBidi"/>
        </w:rPr>
        <w:t xml:space="preserve">the COFEE-HD was developed to include </w:t>
      </w:r>
      <w:r w:rsidRPr="00C14D70">
        <w:rPr>
          <w:rFonts w:asciiTheme="majorBidi" w:hAnsiTheme="majorBidi" w:cstheme="majorBidi"/>
        </w:rPr>
        <w:t xml:space="preserve">functioning, </w:t>
      </w:r>
      <w:r>
        <w:rPr>
          <w:rFonts w:asciiTheme="majorBidi" w:hAnsiTheme="majorBidi" w:cstheme="majorBidi"/>
        </w:rPr>
        <w:t>safety</w:t>
      </w:r>
      <w:r w:rsidRPr="00C14D70">
        <w:rPr>
          <w:rFonts w:asciiTheme="majorBidi" w:hAnsiTheme="majorBidi" w:cstheme="majorBidi"/>
        </w:rPr>
        <w:t xml:space="preserve">, and </w:t>
      </w:r>
      <w:r>
        <w:rPr>
          <w:rFonts w:asciiTheme="majorBidi" w:hAnsiTheme="majorBidi" w:cstheme="majorBidi"/>
        </w:rPr>
        <w:t>cognition</w:t>
      </w:r>
      <w:r w:rsidR="00C11C5E">
        <w:rPr>
          <w:rFonts w:asciiTheme="majorBidi" w:hAnsiTheme="majorBidi" w:cstheme="majorBidi"/>
        </w:rPr>
        <w:t xml:space="preserve">, and include a written summary of the evaluation that provide specific recommendations. </w:t>
      </w:r>
      <w:r w:rsidRPr="00C14D70">
        <w:rPr>
          <w:rFonts w:asciiTheme="majorBidi" w:hAnsiTheme="majorBidi" w:cstheme="majorBidi"/>
        </w:rPr>
        <w:t xml:space="preserve"> </w:t>
      </w:r>
      <w:r w:rsidR="00C11C5E">
        <w:rPr>
          <w:rFonts w:asciiTheme="majorBidi" w:hAnsiTheme="majorBidi" w:cstheme="majorBidi"/>
        </w:rPr>
        <w:lastRenderedPageBreak/>
        <w:t>Maintaining</w:t>
      </w:r>
      <w:r w:rsidRPr="00C14D70">
        <w:rPr>
          <w:rFonts w:asciiTheme="majorBidi" w:hAnsiTheme="majorBidi" w:cstheme="majorBidi"/>
        </w:rPr>
        <w:t xml:space="preserve"> </w:t>
      </w:r>
      <w:r w:rsidR="003A6DDB">
        <w:rPr>
          <w:rFonts w:asciiTheme="majorBidi" w:hAnsiTheme="majorBidi" w:cstheme="majorBidi"/>
        </w:rPr>
        <w:t xml:space="preserve">these </w:t>
      </w:r>
      <w:r w:rsidRPr="00C14D70">
        <w:rPr>
          <w:rFonts w:asciiTheme="majorBidi" w:hAnsiTheme="majorBidi" w:cstheme="majorBidi"/>
        </w:rPr>
        <w:t xml:space="preserve">three areas </w:t>
      </w:r>
      <w:r w:rsidR="003A6DDB">
        <w:rPr>
          <w:rFonts w:asciiTheme="majorBidi" w:hAnsiTheme="majorBidi" w:cstheme="majorBidi"/>
        </w:rPr>
        <w:t>is</w:t>
      </w:r>
      <w:r w:rsidRPr="00C14D70">
        <w:rPr>
          <w:rFonts w:asciiTheme="majorBidi" w:hAnsiTheme="majorBidi" w:cstheme="majorBidi"/>
        </w:rPr>
        <w:t xml:space="preserve"> essential </w:t>
      </w:r>
      <w:r w:rsidR="003A6DDB">
        <w:rPr>
          <w:rFonts w:asciiTheme="majorBidi" w:hAnsiTheme="majorBidi" w:cstheme="majorBidi"/>
        </w:rPr>
        <w:t xml:space="preserve">to </w:t>
      </w:r>
      <w:r w:rsidR="00B72411">
        <w:rPr>
          <w:rFonts w:asciiTheme="majorBidi" w:hAnsiTheme="majorBidi" w:cstheme="majorBidi"/>
        </w:rPr>
        <w:t>assist an</w:t>
      </w:r>
      <w:r w:rsidRPr="00C14D70">
        <w:rPr>
          <w:rFonts w:asciiTheme="majorBidi" w:hAnsiTheme="majorBidi" w:cstheme="majorBidi"/>
        </w:rPr>
        <w:t xml:space="preserve"> older person </w:t>
      </w:r>
      <w:r w:rsidR="00C11C5E">
        <w:rPr>
          <w:rFonts w:asciiTheme="majorBidi" w:hAnsiTheme="majorBidi" w:cstheme="majorBidi"/>
        </w:rPr>
        <w:t>continue</w:t>
      </w:r>
      <w:r w:rsidR="003A6DDB">
        <w:rPr>
          <w:rFonts w:asciiTheme="majorBidi" w:hAnsiTheme="majorBidi" w:cstheme="majorBidi"/>
        </w:rPr>
        <w:t xml:space="preserve"> to live</w:t>
      </w:r>
      <w:r w:rsidRPr="00C14D70">
        <w:rPr>
          <w:rFonts w:asciiTheme="majorBidi" w:hAnsiTheme="majorBidi" w:cstheme="majorBidi"/>
        </w:rPr>
        <w:t xml:space="preserve"> a safe and satisfying life at home (Stark</w:t>
      </w:r>
      <w:r w:rsidR="00D51235">
        <w:rPr>
          <w:rFonts w:asciiTheme="majorBidi" w:hAnsiTheme="majorBidi" w:cstheme="majorBidi"/>
        </w:rPr>
        <w:t xml:space="preserve"> et al.,</w:t>
      </w:r>
      <w:r w:rsidRPr="00C14D70">
        <w:rPr>
          <w:rFonts w:asciiTheme="majorBidi" w:hAnsiTheme="majorBidi" w:cstheme="majorBidi"/>
        </w:rPr>
        <w:t xml:space="preserve"> 2017; Provencher</w:t>
      </w:r>
      <w:r w:rsidR="003A75A1">
        <w:rPr>
          <w:rFonts w:asciiTheme="majorBidi" w:hAnsiTheme="majorBidi" w:cstheme="majorBidi"/>
        </w:rPr>
        <w:t xml:space="preserve"> et al.</w:t>
      </w:r>
      <w:r w:rsidRPr="00C14D70">
        <w:rPr>
          <w:rFonts w:asciiTheme="majorBidi" w:hAnsiTheme="majorBidi" w:cstheme="majorBidi"/>
        </w:rPr>
        <w:t>, 2020). A recent study in Australia found that when OTs evaluated patients in hospital and planned a post discharge intervention for older adults that incorporated goal-setting, equipment prescription, home visits and telephone follow-up</w:t>
      </w:r>
      <w:r w:rsidR="00E23BB0">
        <w:rPr>
          <w:rFonts w:asciiTheme="majorBidi" w:hAnsiTheme="majorBidi" w:cstheme="majorBidi"/>
        </w:rPr>
        <w:t xml:space="preserve">, </w:t>
      </w:r>
      <w:r w:rsidRPr="00C14D70">
        <w:rPr>
          <w:rFonts w:asciiTheme="majorBidi" w:hAnsiTheme="majorBidi" w:cstheme="majorBidi"/>
        </w:rPr>
        <w:t xml:space="preserve">those patients with mild cognitive impairment had significantly fewer rehospitalizations after </w:t>
      </w:r>
      <w:r>
        <w:rPr>
          <w:rFonts w:asciiTheme="majorBidi" w:hAnsiTheme="majorBidi" w:cstheme="majorBidi"/>
        </w:rPr>
        <w:t>three</w:t>
      </w:r>
      <w:r w:rsidRPr="00C14D70">
        <w:rPr>
          <w:rFonts w:asciiTheme="majorBidi" w:hAnsiTheme="majorBidi" w:cstheme="majorBidi"/>
        </w:rPr>
        <w:t xml:space="preserve"> months, then the rest of the study group (Provencher</w:t>
      </w:r>
      <w:r w:rsidR="00D51235">
        <w:rPr>
          <w:rFonts w:asciiTheme="majorBidi" w:hAnsiTheme="majorBidi" w:cstheme="majorBidi"/>
        </w:rPr>
        <w:t xml:space="preserve"> et al.</w:t>
      </w:r>
      <w:r w:rsidRPr="00C14D70">
        <w:rPr>
          <w:rFonts w:asciiTheme="majorBidi" w:hAnsiTheme="majorBidi" w:cstheme="majorBidi"/>
        </w:rPr>
        <w:t xml:space="preserve">, 2020). </w:t>
      </w:r>
    </w:p>
    <w:p w14:paraId="5F6FFAB0" w14:textId="77777777" w:rsidR="00E23BB0" w:rsidRDefault="000D5F31" w:rsidP="00E23BB0">
      <w:pPr>
        <w:spacing w:line="480" w:lineRule="auto"/>
        <w:ind w:firstLine="720"/>
      </w:pPr>
      <w:r>
        <w:t xml:space="preserve">In order to validate this evaluation in the hospital, we </w:t>
      </w:r>
      <w:r w:rsidR="001D6F67">
        <w:t>e</w:t>
      </w:r>
      <w:r w:rsidR="00E16D77">
        <w:t>xamin</w:t>
      </w:r>
      <w:r w:rsidR="001D6F67">
        <w:t xml:space="preserve">ed </w:t>
      </w:r>
      <w:r w:rsidR="00E16D77">
        <w:t xml:space="preserve">the </w:t>
      </w:r>
      <w:r w:rsidR="001D6F67">
        <w:t xml:space="preserve">correlation </w:t>
      </w:r>
      <w:r w:rsidR="00E16D77">
        <w:t xml:space="preserve">between the COFEE-HD and the standard hospital assessments </w:t>
      </w:r>
      <w:r w:rsidR="001D6F67">
        <w:t>(</w:t>
      </w:r>
      <w:proofErr w:type="spellStart"/>
      <w:r w:rsidR="001D6F67">
        <w:t>Zilbershag</w:t>
      </w:r>
      <w:proofErr w:type="spellEnd"/>
      <w:r w:rsidR="001D6F67">
        <w:t xml:space="preserve"> &amp; </w:t>
      </w:r>
      <w:proofErr w:type="spellStart"/>
      <w:r w:rsidR="00774A19">
        <w:t>Josman</w:t>
      </w:r>
      <w:proofErr w:type="spellEnd"/>
      <w:r w:rsidR="001D6F67">
        <w:t>, 2019)</w:t>
      </w:r>
      <w:r w:rsidR="00E16D77">
        <w:t xml:space="preserve">. </w:t>
      </w:r>
      <w:r w:rsidR="001D6F67">
        <w:t xml:space="preserve">There was a </w:t>
      </w:r>
      <w:r w:rsidR="002B0C12">
        <w:t>significant</w:t>
      </w:r>
      <w:r w:rsidR="001D6F67">
        <w:t xml:space="preserve"> relationship between the mobility, BADL function, and safety elements of the COFEE-HD to the FIM, which means that</w:t>
      </w:r>
      <w:r w:rsidR="00774A19">
        <w:t>,</w:t>
      </w:r>
      <w:r w:rsidR="001D6F67">
        <w:t xml:space="preserve"> overall</w:t>
      </w:r>
      <w:r w:rsidR="00774A19">
        <w:t>,</w:t>
      </w:r>
      <w:r w:rsidR="001D6F67">
        <w:t xml:space="preserve"> there is a connection between general function and the element of safety in the COFEE-HD as it is related to the FIM.</w:t>
      </w:r>
    </w:p>
    <w:p w14:paraId="35029EC2" w14:textId="136FDDF4" w:rsidR="00AC10BA" w:rsidRPr="00E23BB0" w:rsidRDefault="00E16D77" w:rsidP="00E23BB0">
      <w:pPr>
        <w:spacing w:line="480" w:lineRule="auto"/>
        <w:ind w:firstLine="720"/>
      </w:pPr>
      <w:r w:rsidRPr="001D6F67">
        <w:rPr>
          <w:rFonts w:asciiTheme="majorBidi" w:hAnsiTheme="majorBidi" w:cstheme="majorBidi"/>
        </w:rPr>
        <w:t xml:space="preserve">It is important to note that the advantage of COFEE-HD is that it examines the issue of safety more in depth, which is known to affect </w:t>
      </w:r>
      <w:r w:rsidR="00E216CC" w:rsidRPr="001D6F67">
        <w:rPr>
          <w:rFonts w:asciiTheme="majorBidi" w:hAnsiTheme="majorBidi" w:cstheme="majorBidi"/>
        </w:rPr>
        <w:t>a person’s functioning</w:t>
      </w:r>
      <w:r w:rsidR="001D6F67">
        <w:rPr>
          <w:rFonts w:asciiTheme="majorBidi" w:hAnsiTheme="majorBidi" w:cstheme="majorBidi"/>
        </w:rPr>
        <w:t>.  Thi</w:t>
      </w:r>
      <w:r w:rsidR="001D6F67" w:rsidRPr="001D6F67">
        <w:rPr>
          <w:rFonts w:asciiTheme="majorBidi" w:hAnsiTheme="majorBidi" w:cstheme="majorBidi"/>
        </w:rPr>
        <w:t xml:space="preserve">s </w:t>
      </w:r>
      <w:r w:rsidR="001D6F67">
        <w:rPr>
          <w:rFonts w:asciiTheme="majorBidi" w:hAnsiTheme="majorBidi" w:cstheme="majorBidi"/>
        </w:rPr>
        <w:t>result highlights</w:t>
      </w:r>
      <w:r w:rsidR="001D6F67" w:rsidRPr="001D6F67">
        <w:rPr>
          <w:rFonts w:asciiTheme="majorBidi" w:hAnsiTheme="majorBidi" w:cstheme="majorBidi"/>
        </w:rPr>
        <w:t xml:space="preserve"> the important role of examining safety, since it is integral to the ability of older adults to continue to function in the community and participate in their needed and desired occupations</w:t>
      </w:r>
      <w:r w:rsidR="001D6F67">
        <w:rPr>
          <w:rFonts w:asciiTheme="majorBidi" w:hAnsiTheme="majorBidi" w:cstheme="majorBidi"/>
        </w:rPr>
        <w:t xml:space="preserve"> (Chiu &amp; Oliver, 2006)</w:t>
      </w:r>
      <w:r w:rsidR="001D6F67" w:rsidRPr="001D6F67">
        <w:rPr>
          <w:rFonts w:asciiTheme="majorBidi" w:hAnsiTheme="majorBidi" w:cstheme="majorBidi"/>
        </w:rPr>
        <w:t>.</w:t>
      </w:r>
      <w:r w:rsidR="002B0C12">
        <w:rPr>
          <w:rFonts w:asciiTheme="majorBidi" w:hAnsiTheme="majorBidi" w:cstheme="majorBidi"/>
        </w:rPr>
        <w:t xml:space="preserve"> </w:t>
      </w:r>
      <w:r w:rsidR="003A75A1">
        <w:rPr>
          <w:rFonts w:asciiTheme="majorBidi" w:hAnsiTheme="majorBidi" w:cstheme="majorBidi"/>
        </w:rPr>
        <w:t xml:space="preserve"> </w:t>
      </w:r>
      <w:r w:rsidR="00251A55">
        <w:rPr>
          <w:rFonts w:asciiTheme="majorBidi" w:hAnsiTheme="majorBidi" w:cstheme="majorBidi"/>
        </w:rPr>
        <w:t>We also found correlation between the cognitive assessments (MMSE and KPT) with most of the cognitive aspects of the COFFEE-HD</w:t>
      </w:r>
      <w:r w:rsidR="00E23BB0">
        <w:rPr>
          <w:rFonts w:asciiTheme="majorBidi" w:hAnsiTheme="majorBidi" w:cstheme="majorBidi"/>
        </w:rPr>
        <w:t>.  I</w:t>
      </w:r>
      <w:r w:rsidR="00251A55">
        <w:rPr>
          <w:rFonts w:asciiTheme="majorBidi" w:hAnsiTheme="majorBidi" w:cstheme="majorBidi"/>
        </w:rPr>
        <w:t xml:space="preserve">t is </w:t>
      </w:r>
      <w:r w:rsidR="00E23BB0">
        <w:rPr>
          <w:rFonts w:asciiTheme="majorBidi" w:hAnsiTheme="majorBidi" w:cstheme="majorBidi"/>
        </w:rPr>
        <w:t xml:space="preserve">also </w:t>
      </w:r>
      <w:r w:rsidR="00251A55">
        <w:rPr>
          <w:rFonts w:asciiTheme="majorBidi" w:hAnsiTheme="majorBidi" w:cstheme="majorBidi"/>
        </w:rPr>
        <w:t>important to note that this studied evaluation emphasizes meta cognition (EF and awareness) (</w:t>
      </w:r>
      <w:r w:rsidR="00D51235">
        <w:rPr>
          <w:rFonts w:asciiTheme="majorBidi" w:hAnsiTheme="majorBidi" w:cstheme="majorBidi"/>
        </w:rPr>
        <w:t>S</w:t>
      </w:r>
      <w:r w:rsidR="00251A55">
        <w:rPr>
          <w:rFonts w:asciiTheme="majorBidi" w:hAnsiTheme="majorBidi" w:cstheme="majorBidi"/>
        </w:rPr>
        <w:t>kelton</w:t>
      </w:r>
      <w:r w:rsidR="00D51235">
        <w:rPr>
          <w:rFonts w:asciiTheme="majorBidi" w:hAnsiTheme="majorBidi" w:cstheme="majorBidi"/>
        </w:rPr>
        <w:t xml:space="preserve"> et al.,</w:t>
      </w:r>
      <w:r w:rsidR="00251A55">
        <w:rPr>
          <w:rFonts w:asciiTheme="majorBidi" w:hAnsiTheme="majorBidi" w:cstheme="majorBidi"/>
        </w:rPr>
        <w:t xml:space="preserve"> 2010)</w:t>
      </w:r>
      <w:r w:rsidR="00227C13">
        <w:rPr>
          <w:rFonts w:asciiTheme="majorBidi" w:hAnsiTheme="majorBidi" w:cstheme="majorBidi"/>
        </w:rPr>
        <w:t>.  In addition, t</w:t>
      </w:r>
      <w:r w:rsidR="00227C13" w:rsidRPr="001D6F67">
        <w:rPr>
          <w:rFonts w:asciiTheme="majorBidi" w:hAnsiTheme="majorBidi" w:cstheme="majorBidi"/>
        </w:rPr>
        <w:t xml:space="preserve">he </w:t>
      </w:r>
      <w:r w:rsidR="006606E5">
        <w:rPr>
          <w:rFonts w:asciiTheme="majorBidi" w:hAnsiTheme="majorBidi" w:cstheme="majorBidi"/>
        </w:rPr>
        <w:t>COFEE</w:t>
      </w:r>
      <w:r w:rsidR="001D6F67" w:rsidRPr="001D6F67">
        <w:rPr>
          <w:rFonts w:asciiTheme="majorBidi" w:hAnsiTheme="majorBidi" w:cstheme="majorBidi"/>
        </w:rPr>
        <w:t xml:space="preserve">-HD not only includes these elements but also emphasizes the assessment of meta cognitive abilities through the performance of function, </w:t>
      </w:r>
      <w:r w:rsidR="00D51235">
        <w:rPr>
          <w:rFonts w:asciiTheme="majorBidi" w:hAnsiTheme="majorBidi" w:cstheme="majorBidi"/>
        </w:rPr>
        <w:t xml:space="preserve">like, </w:t>
      </w:r>
      <w:r w:rsidR="001D6F67" w:rsidRPr="001D6F67">
        <w:rPr>
          <w:rFonts w:asciiTheme="majorBidi" w:hAnsiTheme="majorBidi" w:cstheme="majorBidi"/>
        </w:rPr>
        <w:t>for example, what occurs during the cooking, medication usage,</w:t>
      </w:r>
      <w:r w:rsidR="002B0C12">
        <w:rPr>
          <w:rFonts w:asciiTheme="majorBidi" w:hAnsiTheme="majorBidi" w:cstheme="majorBidi"/>
        </w:rPr>
        <w:t xml:space="preserve"> and</w:t>
      </w:r>
      <w:r w:rsidR="001D6F67" w:rsidRPr="001D6F67">
        <w:rPr>
          <w:rFonts w:asciiTheme="majorBidi" w:hAnsiTheme="majorBidi" w:cstheme="majorBidi"/>
        </w:rPr>
        <w:t xml:space="preserve"> IADL shopping tasks</w:t>
      </w:r>
      <w:r w:rsidR="002B0C12">
        <w:rPr>
          <w:rFonts w:asciiTheme="majorBidi" w:hAnsiTheme="majorBidi" w:cstheme="majorBidi"/>
        </w:rPr>
        <w:t>.</w:t>
      </w:r>
      <w:r w:rsidR="00F1731F" w:rsidRPr="001D6F67">
        <w:rPr>
          <w:rFonts w:asciiTheme="majorBidi" w:hAnsiTheme="majorBidi" w:cstheme="majorBidi"/>
        </w:rPr>
        <w:t xml:space="preserve">  </w:t>
      </w:r>
    </w:p>
    <w:p w14:paraId="62808905" w14:textId="21D550CC" w:rsidR="00DD6E2C" w:rsidRDefault="00E23BB0" w:rsidP="00E23BB0">
      <w:pPr>
        <w:spacing w:line="480" w:lineRule="auto"/>
        <w:ind w:firstLine="720"/>
        <w:rPr>
          <w:rFonts w:asciiTheme="majorBidi" w:hAnsiTheme="majorBidi" w:cstheme="majorBidi"/>
        </w:rPr>
      </w:pPr>
      <w:r>
        <w:rPr>
          <w:rFonts w:asciiTheme="majorBidi" w:hAnsiTheme="majorBidi" w:cstheme="majorBidi"/>
        </w:rPr>
        <w:t>Furthermore, o</w:t>
      </w:r>
      <w:r w:rsidR="00873125" w:rsidRPr="001D6F67">
        <w:rPr>
          <w:rFonts w:asciiTheme="majorBidi" w:hAnsiTheme="majorBidi" w:cstheme="majorBidi"/>
        </w:rPr>
        <w:t xml:space="preserve">ur </w:t>
      </w:r>
      <w:r w:rsidR="00852F84" w:rsidRPr="001D6F67">
        <w:rPr>
          <w:rFonts w:asciiTheme="majorBidi" w:hAnsiTheme="majorBidi" w:cstheme="majorBidi"/>
        </w:rPr>
        <w:t xml:space="preserve">evaluation </w:t>
      </w:r>
      <w:r w:rsidR="00873125" w:rsidRPr="001D6F67">
        <w:rPr>
          <w:rFonts w:asciiTheme="majorBidi" w:hAnsiTheme="majorBidi" w:cstheme="majorBidi"/>
        </w:rPr>
        <w:t xml:space="preserve">was </w:t>
      </w:r>
      <w:r w:rsidR="00873125" w:rsidRPr="00C14D70">
        <w:rPr>
          <w:rFonts w:asciiTheme="majorBidi" w:hAnsiTheme="majorBidi" w:cstheme="majorBidi"/>
        </w:rPr>
        <w:t>based</w:t>
      </w:r>
      <w:r w:rsidR="00D5251A" w:rsidRPr="00C14D70">
        <w:rPr>
          <w:rFonts w:asciiTheme="majorBidi" w:hAnsiTheme="majorBidi" w:cstheme="majorBidi"/>
        </w:rPr>
        <w:t xml:space="preserve"> on observing the </w:t>
      </w:r>
      <w:r w:rsidR="00873125" w:rsidRPr="00C14D70">
        <w:rPr>
          <w:rFonts w:asciiTheme="majorBidi" w:hAnsiTheme="majorBidi" w:cstheme="majorBidi"/>
        </w:rPr>
        <w:t>patient in hospital, a vital element of assessing a patient’s true level of functioning (Chisholm</w:t>
      </w:r>
      <w:r w:rsidR="00D51235">
        <w:rPr>
          <w:rFonts w:asciiTheme="majorBidi" w:hAnsiTheme="majorBidi" w:cstheme="majorBidi"/>
        </w:rPr>
        <w:t xml:space="preserve"> et al.,</w:t>
      </w:r>
      <w:r w:rsidR="00873125" w:rsidRPr="00C14D70">
        <w:rPr>
          <w:rFonts w:asciiTheme="majorBidi" w:hAnsiTheme="majorBidi" w:cstheme="majorBidi"/>
        </w:rPr>
        <w:t xml:space="preserve"> 2014) and often </w:t>
      </w:r>
      <w:r w:rsidR="00873125" w:rsidRPr="00C14D70">
        <w:rPr>
          <w:rFonts w:asciiTheme="majorBidi" w:hAnsiTheme="majorBidi" w:cstheme="majorBidi"/>
        </w:rPr>
        <w:lastRenderedPageBreak/>
        <w:t>missing from</w:t>
      </w:r>
      <w:r w:rsidR="00D847E7" w:rsidRPr="00C14D70">
        <w:rPr>
          <w:rFonts w:asciiTheme="majorBidi" w:hAnsiTheme="majorBidi" w:cstheme="majorBidi"/>
        </w:rPr>
        <w:t xml:space="preserve"> two dimensional</w:t>
      </w:r>
      <w:r w:rsidR="00740E3A" w:rsidRPr="00C14D70">
        <w:rPr>
          <w:rFonts w:asciiTheme="majorBidi" w:hAnsiTheme="majorBidi" w:cstheme="majorBidi"/>
        </w:rPr>
        <w:t xml:space="preserve"> questionnaires or patient </w:t>
      </w:r>
      <w:r w:rsidR="00426B24" w:rsidRPr="00C14D70">
        <w:rPr>
          <w:rFonts w:asciiTheme="majorBidi" w:hAnsiTheme="majorBidi" w:cstheme="majorBidi"/>
        </w:rPr>
        <w:t>self-report</w:t>
      </w:r>
      <w:r w:rsidR="00740E3A" w:rsidRPr="00C14D70">
        <w:rPr>
          <w:rFonts w:asciiTheme="majorBidi" w:hAnsiTheme="majorBidi" w:cstheme="majorBidi"/>
        </w:rPr>
        <w:t xml:space="preserve"> </w:t>
      </w:r>
      <w:r w:rsidR="00D847E7" w:rsidRPr="00C14D70">
        <w:rPr>
          <w:rFonts w:asciiTheme="majorBidi" w:hAnsiTheme="majorBidi" w:cstheme="majorBidi"/>
        </w:rPr>
        <w:t>(</w:t>
      </w:r>
      <w:proofErr w:type="spellStart"/>
      <w:r w:rsidR="00D847E7" w:rsidRPr="00C14D70">
        <w:rPr>
          <w:rFonts w:asciiTheme="majorBidi" w:hAnsiTheme="majorBidi" w:cstheme="majorBidi"/>
        </w:rPr>
        <w:t>Zilbershlag</w:t>
      </w:r>
      <w:proofErr w:type="spellEnd"/>
      <w:r w:rsidR="00D847E7" w:rsidRPr="00C14D70">
        <w:rPr>
          <w:rFonts w:asciiTheme="majorBidi" w:hAnsiTheme="majorBidi" w:cstheme="majorBidi"/>
        </w:rPr>
        <w:t xml:space="preserve"> &amp; </w:t>
      </w:r>
      <w:proofErr w:type="spellStart"/>
      <w:r w:rsidR="00D32052">
        <w:rPr>
          <w:rFonts w:asciiTheme="majorBidi" w:hAnsiTheme="majorBidi" w:cstheme="majorBidi"/>
        </w:rPr>
        <w:t>J</w:t>
      </w:r>
      <w:r w:rsidR="00D847E7" w:rsidRPr="00C14D70">
        <w:rPr>
          <w:rFonts w:asciiTheme="majorBidi" w:hAnsiTheme="majorBidi" w:cstheme="majorBidi"/>
        </w:rPr>
        <w:t>osman</w:t>
      </w:r>
      <w:proofErr w:type="spellEnd"/>
      <w:r w:rsidR="00D847E7" w:rsidRPr="00C14D70">
        <w:rPr>
          <w:rFonts w:asciiTheme="majorBidi" w:hAnsiTheme="majorBidi" w:cstheme="majorBidi"/>
        </w:rPr>
        <w:t xml:space="preserve">, 2019). </w:t>
      </w:r>
      <w:r w:rsidR="00B6478E" w:rsidRPr="00C14D70">
        <w:rPr>
          <w:rFonts w:asciiTheme="majorBidi" w:hAnsiTheme="majorBidi" w:cstheme="majorBidi"/>
        </w:rPr>
        <w:t xml:space="preserve"> </w:t>
      </w:r>
      <w:r w:rsidR="00740E3A" w:rsidRPr="00C14D70">
        <w:rPr>
          <w:rFonts w:asciiTheme="majorBidi" w:hAnsiTheme="majorBidi" w:cstheme="majorBidi"/>
        </w:rPr>
        <w:t xml:space="preserve"> </w:t>
      </w:r>
      <w:r w:rsidR="004C7107" w:rsidRPr="00C14D70">
        <w:rPr>
          <w:rFonts w:asciiTheme="majorBidi" w:hAnsiTheme="majorBidi" w:cstheme="majorBidi"/>
        </w:rPr>
        <w:t xml:space="preserve">Although evaluations based on observation can be influenced by patient motivation, </w:t>
      </w:r>
      <w:r w:rsidR="00AC10BA" w:rsidRPr="00C14D70">
        <w:rPr>
          <w:rFonts w:asciiTheme="majorBidi" w:hAnsiTheme="majorBidi" w:cstheme="majorBidi"/>
        </w:rPr>
        <w:t>behavior,</w:t>
      </w:r>
      <w:r w:rsidR="004C7107" w:rsidRPr="00C14D70">
        <w:rPr>
          <w:rFonts w:asciiTheme="majorBidi" w:hAnsiTheme="majorBidi" w:cstheme="majorBidi"/>
        </w:rPr>
        <w:t xml:space="preserve"> and cognition at the moment of observation, the</w:t>
      </w:r>
      <w:r w:rsidR="001A1B42" w:rsidRPr="00C14D70">
        <w:rPr>
          <w:rFonts w:asciiTheme="majorBidi" w:hAnsiTheme="majorBidi" w:cstheme="majorBidi"/>
        </w:rPr>
        <w:t>y</w:t>
      </w:r>
      <w:r w:rsidR="004C7107" w:rsidRPr="00C14D70">
        <w:rPr>
          <w:rFonts w:asciiTheme="majorBidi" w:hAnsiTheme="majorBidi" w:cstheme="majorBidi"/>
        </w:rPr>
        <w:t xml:space="preserve"> do</w:t>
      </w:r>
      <w:r w:rsidR="00FF086E">
        <w:rPr>
          <w:rFonts w:asciiTheme="majorBidi" w:hAnsiTheme="majorBidi" w:cstheme="majorBidi"/>
        </w:rPr>
        <w:t xml:space="preserve"> </w:t>
      </w:r>
      <w:r w:rsidR="002B0C12" w:rsidRPr="00C14D70">
        <w:rPr>
          <w:rFonts w:asciiTheme="majorBidi" w:hAnsiTheme="majorBidi" w:cstheme="majorBidi"/>
        </w:rPr>
        <w:t xml:space="preserve">have </w:t>
      </w:r>
      <w:r w:rsidR="004C7107" w:rsidRPr="00C14D70">
        <w:rPr>
          <w:rFonts w:asciiTheme="majorBidi" w:hAnsiTheme="majorBidi" w:cstheme="majorBidi"/>
        </w:rPr>
        <w:t>advantages</w:t>
      </w:r>
      <w:r w:rsidR="00B72411">
        <w:rPr>
          <w:rFonts w:asciiTheme="majorBidi" w:hAnsiTheme="majorBidi" w:cstheme="majorBidi"/>
        </w:rPr>
        <w:t>,</w:t>
      </w:r>
      <w:r w:rsidR="004C7107" w:rsidRPr="00C14D70">
        <w:rPr>
          <w:rFonts w:asciiTheme="majorBidi" w:hAnsiTheme="majorBidi" w:cstheme="majorBidi"/>
        </w:rPr>
        <w:t xml:space="preserve"> since they are objective, measurable, standardized, and can reconstruct and address functional contexts (</w:t>
      </w:r>
      <w:r w:rsidR="000D5F31">
        <w:rPr>
          <w:rFonts w:asciiTheme="majorBidi" w:hAnsiTheme="majorBidi" w:cstheme="majorBidi"/>
        </w:rPr>
        <w:t xml:space="preserve">Wesson </w:t>
      </w:r>
      <w:r w:rsidR="00D51235">
        <w:rPr>
          <w:rFonts w:asciiTheme="majorBidi" w:hAnsiTheme="majorBidi" w:cstheme="majorBidi"/>
        </w:rPr>
        <w:t xml:space="preserve">et al., </w:t>
      </w:r>
      <w:r w:rsidR="000D5F31">
        <w:rPr>
          <w:rFonts w:asciiTheme="majorBidi" w:hAnsiTheme="majorBidi" w:cstheme="majorBidi"/>
        </w:rPr>
        <w:t>2016</w:t>
      </w:r>
      <w:r w:rsidR="004C7107" w:rsidRPr="00C14D70">
        <w:rPr>
          <w:rFonts w:asciiTheme="majorBidi" w:hAnsiTheme="majorBidi" w:cstheme="majorBidi"/>
        </w:rPr>
        <w:t xml:space="preserve">). </w:t>
      </w:r>
      <w:r w:rsidR="00DD6E2C">
        <w:rPr>
          <w:rFonts w:asciiTheme="majorBidi" w:hAnsiTheme="majorBidi" w:cstheme="majorBidi"/>
        </w:rPr>
        <w:t>In addition, i</w:t>
      </w:r>
      <w:r w:rsidR="00DD6E2C" w:rsidRPr="00C14D70">
        <w:rPr>
          <w:rFonts w:asciiTheme="majorBidi" w:hAnsiTheme="majorBidi" w:cstheme="majorBidi"/>
        </w:rPr>
        <w:t>f</w:t>
      </w:r>
      <w:r w:rsidR="00227C13" w:rsidRPr="00C14D70">
        <w:rPr>
          <w:rFonts w:asciiTheme="majorBidi" w:hAnsiTheme="majorBidi" w:cstheme="majorBidi"/>
        </w:rPr>
        <w:t xml:space="preserve"> occupational therapists are going to be able to effectively evaluate whether a person is able to live independently and safely at home, there needs to be an </w:t>
      </w:r>
      <w:r w:rsidR="003F3C83">
        <w:rPr>
          <w:rFonts w:asciiTheme="majorBidi" w:hAnsiTheme="majorBidi" w:cstheme="majorBidi"/>
        </w:rPr>
        <w:t>emphasis</w:t>
      </w:r>
      <w:r w:rsidR="00DD6E2C">
        <w:rPr>
          <w:rFonts w:asciiTheme="majorBidi" w:hAnsiTheme="majorBidi" w:cstheme="majorBidi"/>
        </w:rPr>
        <w:t xml:space="preserve"> on evaluating </w:t>
      </w:r>
      <w:r w:rsidR="00227C13" w:rsidRPr="00C14D70">
        <w:rPr>
          <w:rFonts w:asciiTheme="majorBidi" w:hAnsiTheme="majorBidi" w:cstheme="majorBidi"/>
        </w:rPr>
        <w:t>functional cognition</w:t>
      </w:r>
      <w:r w:rsidR="003F3C83">
        <w:rPr>
          <w:rFonts w:asciiTheme="majorBidi" w:hAnsiTheme="majorBidi" w:cstheme="majorBidi"/>
        </w:rPr>
        <w:t>,</w:t>
      </w:r>
      <w:r w:rsidR="00227C13">
        <w:rPr>
          <w:rFonts w:asciiTheme="majorBidi" w:hAnsiTheme="majorBidi" w:cstheme="majorBidi"/>
        </w:rPr>
        <w:t xml:space="preserve"> </w:t>
      </w:r>
      <w:r w:rsidR="00227C13" w:rsidRPr="00C14D70">
        <w:rPr>
          <w:rFonts w:asciiTheme="majorBidi" w:hAnsiTheme="majorBidi" w:cstheme="majorBidi"/>
        </w:rPr>
        <w:t xml:space="preserve">which </w:t>
      </w:r>
      <w:r w:rsidR="00227C13">
        <w:rPr>
          <w:rFonts w:asciiTheme="majorBidi" w:hAnsiTheme="majorBidi" w:cstheme="majorBidi"/>
        </w:rPr>
        <w:t xml:space="preserve">responds to the </w:t>
      </w:r>
      <w:r w:rsidR="00227C13" w:rsidRPr="00C14D70">
        <w:rPr>
          <w:rFonts w:asciiTheme="majorBidi" w:hAnsiTheme="majorBidi" w:cstheme="majorBidi"/>
        </w:rPr>
        <w:t>dynamic interaction between motor</w:t>
      </w:r>
      <w:r w:rsidR="00227C13">
        <w:rPr>
          <w:rFonts w:asciiTheme="majorBidi" w:hAnsiTheme="majorBidi" w:cstheme="majorBidi"/>
        </w:rPr>
        <w:t>ic</w:t>
      </w:r>
      <w:r w:rsidR="00227C13" w:rsidRPr="00C14D70">
        <w:rPr>
          <w:rFonts w:asciiTheme="majorBidi" w:hAnsiTheme="majorBidi" w:cstheme="majorBidi"/>
        </w:rPr>
        <w:t xml:space="preserve"> abilities</w:t>
      </w:r>
      <w:r w:rsidR="00227C13">
        <w:rPr>
          <w:rFonts w:asciiTheme="majorBidi" w:hAnsiTheme="majorBidi" w:cstheme="majorBidi"/>
        </w:rPr>
        <w:t>, activity</w:t>
      </w:r>
      <w:r w:rsidR="00227C13" w:rsidRPr="00C14D70">
        <w:rPr>
          <w:rFonts w:asciiTheme="majorBidi" w:hAnsiTheme="majorBidi" w:cstheme="majorBidi"/>
        </w:rPr>
        <w:t xml:space="preserve"> requirements </w:t>
      </w:r>
      <w:r w:rsidR="00227C13">
        <w:rPr>
          <w:rFonts w:asciiTheme="majorBidi" w:hAnsiTheme="majorBidi" w:cstheme="majorBidi"/>
        </w:rPr>
        <w:t xml:space="preserve">of </w:t>
      </w:r>
      <w:r w:rsidR="00227C13" w:rsidRPr="00C14D70">
        <w:rPr>
          <w:rFonts w:asciiTheme="majorBidi" w:hAnsiTheme="majorBidi" w:cstheme="majorBidi"/>
        </w:rPr>
        <w:t>the task environment</w:t>
      </w:r>
      <w:r w:rsidR="003F3C83">
        <w:rPr>
          <w:rFonts w:asciiTheme="majorBidi" w:hAnsiTheme="majorBidi" w:cstheme="majorBidi"/>
        </w:rPr>
        <w:t xml:space="preserve">; this all </w:t>
      </w:r>
      <w:r w:rsidR="00227C13">
        <w:rPr>
          <w:rFonts w:asciiTheme="majorBidi" w:hAnsiTheme="majorBidi" w:cstheme="majorBidi"/>
        </w:rPr>
        <w:t>rest</w:t>
      </w:r>
      <w:r w:rsidR="003F3C83">
        <w:rPr>
          <w:rFonts w:asciiTheme="majorBidi" w:hAnsiTheme="majorBidi" w:cstheme="majorBidi"/>
        </w:rPr>
        <w:t>s</w:t>
      </w:r>
      <w:r w:rsidR="00227C13">
        <w:rPr>
          <w:rFonts w:asciiTheme="majorBidi" w:hAnsiTheme="majorBidi" w:cstheme="majorBidi" w:hint="cs"/>
          <w:rtl/>
        </w:rPr>
        <w:t xml:space="preserve"> </w:t>
      </w:r>
      <w:r w:rsidR="00227C13">
        <w:rPr>
          <w:rFonts w:asciiTheme="majorBidi" w:hAnsiTheme="majorBidi" w:cstheme="majorBidi"/>
        </w:rPr>
        <w:t xml:space="preserve">on the foundation of cognitive ability (Wesson </w:t>
      </w:r>
      <w:r w:rsidR="00D51235">
        <w:rPr>
          <w:rFonts w:asciiTheme="majorBidi" w:hAnsiTheme="majorBidi" w:cstheme="majorBidi"/>
        </w:rPr>
        <w:t xml:space="preserve">et al., </w:t>
      </w:r>
      <w:r w:rsidR="00227C13">
        <w:rPr>
          <w:rFonts w:asciiTheme="majorBidi" w:hAnsiTheme="majorBidi" w:cstheme="majorBidi"/>
        </w:rPr>
        <w:t>2016).</w:t>
      </w:r>
      <w:r w:rsidR="00DD6E2C">
        <w:rPr>
          <w:rFonts w:asciiTheme="majorBidi" w:hAnsiTheme="majorBidi" w:cstheme="majorBidi"/>
        </w:rPr>
        <w:t xml:space="preserve"> </w:t>
      </w:r>
    </w:p>
    <w:p w14:paraId="54524A81" w14:textId="40AE1D6F" w:rsidR="00C14D70" w:rsidRPr="00C14D70" w:rsidRDefault="00C14D70" w:rsidP="00C14D70">
      <w:pPr>
        <w:spacing w:after="0" w:line="480" w:lineRule="auto"/>
        <w:rPr>
          <w:rFonts w:asciiTheme="majorBidi" w:hAnsiTheme="majorBidi" w:cstheme="majorBidi"/>
          <w:i/>
          <w:iCs/>
        </w:rPr>
      </w:pPr>
      <w:r w:rsidRPr="00C14D70">
        <w:rPr>
          <w:rFonts w:asciiTheme="majorBidi" w:hAnsiTheme="majorBidi" w:cstheme="majorBidi"/>
          <w:i/>
          <w:iCs/>
        </w:rPr>
        <w:t>Limitations</w:t>
      </w:r>
    </w:p>
    <w:p w14:paraId="675DC166" w14:textId="24FC18C2" w:rsidR="00C14D70" w:rsidRPr="00C14D70" w:rsidRDefault="00C14D70" w:rsidP="00227C13">
      <w:pPr>
        <w:spacing w:after="0" w:line="480" w:lineRule="auto"/>
        <w:jc w:val="both"/>
        <w:rPr>
          <w:rFonts w:asciiTheme="majorBidi" w:hAnsiTheme="majorBidi" w:cstheme="majorBidi"/>
        </w:rPr>
      </w:pPr>
      <w:r w:rsidRPr="00C14D70">
        <w:rPr>
          <w:rFonts w:asciiTheme="majorBidi" w:hAnsiTheme="majorBidi" w:cstheme="majorBidi"/>
        </w:rPr>
        <w:t xml:space="preserve">Since this was a field-based study, </w:t>
      </w:r>
      <w:r w:rsidR="00227C13">
        <w:rPr>
          <w:rFonts w:asciiTheme="majorBidi" w:hAnsiTheme="majorBidi" w:cstheme="majorBidi"/>
        </w:rPr>
        <w:t>it is difficult</w:t>
      </w:r>
      <w:r w:rsidRPr="00C14D70">
        <w:rPr>
          <w:rFonts w:asciiTheme="majorBidi" w:hAnsiTheme="majorBidi" w:cstheme="majorBidi"/>
        </w:rPr>
        <w:t xml:space="preserve"> to control for variables that would interfere with patients' lives after discharge. The assumption is that the treatments they received represent the distribution in the population and received according to </w:t>
      </w:r>
      <w:r w:rsidR="00B72411">
        <w:rPr>
          <w:rFonts w:asciiTheme="majorBidi" w:hAnsiTheme="majorBidi" w:cstheme="majorBidi"/>
        </w:rPr>
        <w:t>individual</w:t>
      </w:r>
      <w:r w:rsidR="00B72411" w:rsidRPr="00C14D70">
        <w:rPr>
          <w:rFonts w:asciiTheme="majorBidi" w:hAnsiTheme="majorBidi" w:cstheme="majorBidi"/>
        </w:rPr>
        <w:t xml:space="preserve"> </w:t>
      </w:r>
      <w:r w:rsidRPr="00C14D70">
        <w:rPr>
          <w:rFonts w:asciiTheme="majorBidi" w:hAnsiTheme="majorBidi" w:cstheme="majorBidi"/>
        </w:rPr>
        <w:t>need. Under these assumptions, the relationship between COFEE-HD assessment and home functioning was examined. Of course, more research needs to be conducted on subpopulations</w:t>
      </w:r>
      <w:r w:rsidR="00227C13">
        <w:rPr>
          <w:rFonts w:asciiTheme="majorBidi" w:hAnsiTheme="majorBidi" w:cstheme="majorBidi"/>
        </w:rPr>
        <w:t>.</w:t>
      </w:r>
      <w:r w:rsidR="00D51235">
        <w:rPr>
          <w:rFonts w:asciiTheme="majorBidi" w:hAnsiTheme="majorBidi" w:cstheme="majorBidi"/>
        </w:rPr>
        <w:t xml:space="preserve"> Even </w:t>
      </w:r>
      <w:r w:rsidR="00D51235">
        <w:rPr>
          <w:rFonts w:asciiTheme="majorBidi" w:hAnsiTheme="majorBidi" w:cstheme="majorBidi"/>
          <w:color w:val="222222"/>
          <w:shd w:val="clear" w:color="auto" w:fill="FFFFFF"/>
        </w:rPr>
        <w:t>w</w:t>
      </w:r>
      <w:r w:rsidR="00227C13">
        <w:rPr>
          <w:rFonts w:asciiTheme="majorBidi" w:hAnsiTheme="majorBidi" w:cstheme="majorBidi"/>
          <w:color w:val="222222"/>
          <w:shd w:val="clear" w:color="auto" w:fill="FFFFFF"/>
        </w:rPr>
        <w:t>ith our small sample and single center</w:t>
      </w:r>
      <w:r w:rsidR="00D51235">
        <w:rPr>
          <w:rFonts w:asciiTheme="majorBidi" w:hAnsiTheme="majorBidi" w:cstheme="majorBidi"/>
          <w:color w:val="222222"/>
          <w:shd w:val="clear" w:color="auto" w:fill="FFFFFF"/>
        </w:rPr>
        <w:t xml:space="preserve"> focus</w:t>
      </w:r>
      <w:r w:rsidR="00227C13">
        <w:rPr>
          <w:rFonts w:asciiTheme="majorBidi" w:hAnsiTheme="majorBidi" w:cstheme="majorBidi"/>
          <w:color w:val="222222"/>
          <w:shd w:val="clear" w:color="auto" w:fill="FFFFFF"/>
        </w:rPr>
        <w:t>, the</w:t>
      </w:r>
      <w:r w:rsidR="00475554">
        <w:rPr>
          <w:rFonts w:asciiTheme="majorBidi" w:hAnsiTheme="majorBidi" w:cstheme="majorBidi"/>
          <w:color w:val="222222"/>
          <w:shd w:val="clear" w:color="auto" w:fill="FFFFFF"/>
        </w:rPr>
        <w:t xml:space="preserve"> COFEE-HD were predictive of</w:t>
      </w:r>
      <w:r w:rsidR="00227C13">
        <w:rPr>
          <w:rFonts w:asciiTheme="majorBidi" w:hAnsiTheme="majorBidi" w:cstheme="majorBidi"/>
          <w:color w:val="222222"/>
          <w:shd w:val="clear" w:color="auto" w:fill="FFFFFF"/>
        </w:rPr>
        <w:t xml:space="preserve"> several </w:t>
      </w:r>
      <w:r w:rsidR="00227C13" w:rsidRPr="00FF086E">
        <w:rPr>
          <w:rFonts w:asciiTheme="majorBidi" w:hAnsiTheme="majorBidi" w:cstheme="majorBidi"/>
          <w:shd w:val="clear" w:color="auto" w:fill="FFFFFF"/>
        </w:rPr>
        <w:t>aspects</w:t>
      </w:r>
      <w:r w:rsidR="00475554" w:rsidRPr="00FF086E">
        <w:rPr>
          <w:rFonts w:asciiTheme="majorBidi" w:hAnsiTheme="majorBidi" w:cstheme="majorBidi"/>
          <w:shd w:val="clear" w:color="auto" w:fill="FFFFFF"/>
        </w:rPr>
        <w:t xml:space="preserve"> </w:t>
      </w:r>
      <w:r w:rsidR="00626752" w:rsidRPr="00FF086E">
        <w:rPr>
          <w:rFonts w:asciiTheme="majorBidi" w:hAnsiTheme="majorBidi" w:cstheme="majorBidi"/>
          <w:shd w:val="clear" w:color="auto" w:fill="FFFFFF"/>
        </w:rPr>
        <w:t xml:space="preserve">of </w:t>
      </w:r>
      <w:r w:rsidR="00475554" w:rsidRPr="00FF086E">
        <w:rPr>
          <w:rFonts w:asciiTheme="majorBidi" w:hAnsiTheme="majorBidi" w:cstheme="majorBidi"/>
          <w:shd w:val="clear" w:color="auto" w:fill="FFFFFF"/>
        </w:rPr>
        <w:t xml:space="preserve">future functioning </w:t>
      </w:r>
      <w:r w:rsidR="00475554">
        <w:rPr>
          <w:rFonts w:asciiTheme="majorBidi" w:hAnsiTheme="majorBidi" w:cstheme="majorBidi"/>
          <w:color w:val="222222"/>
          <w:shd w:val="clear" w:color="auto" w:fill="FFFFFF"/>
        </w:rPr>
        <w:t>and safety at home</w:t>
      </w:r>
      <w:r w:rsidR="00B72411">
        <w:rPr>
          <w:rFonts w:asciiTheme="majorBidi" w:hAnsiTheme="majorBidi" w:cstheme="majorBidi"/>
          <w:color w:val="222222"/>
          <w:shd w:val="clear" w:color="auto" w:fill="FFFFFF"/>
        </w:rPr>
        <w:t>, however,</w:t>
      </w:r>
      <w:r w:rsidR="00FF086E">
        <w:rPr>
          <w:rFonts w:asciiTheme="majorBidi" w:hAnsiTheme="majorBidi" w:cstheme="majorBidi"/>
          <w:color w:val="222222"/>
          <w:shd w:val="clear" w:color="auto" w:fill="FFFFFF"/>
        </w:rPr>
        <w:t xml:space="preserve"> </w:t>
      </w:r>
      <w:r w:rsidR="00B72411">
        <w:rPr>
          <w:rFonts w:asciiTheme="majorBidi" w:hAnsiTheme="majorBidi" w:cstheme="majorBidi"/>
          <w:color w:val="222222"/>
          <w:shd w:val="clear" w:color="auto" w:fill="FFFFFF"/>
        </w:rPr>
        <w:t>l</w:t>
      </w:r>
      <w:r w:rsidR="00227C13">
        <w:rPr>
          <w:rFonts w:asciiTheme="majorBidi" w:hAnsiTheme="majorBidi" w:cstheme="majorBidi"/>
          <w:color w:val="222222"/>
          <w:shd w:val="clear" w:color="auto" w:fill="FFFFFF"/>
        </w:rPr>
        <w:t xml:space="preserve">arger studies may be able to provide more robust calculations for prediction. </w:t>
      </w:r>
    </w:p>
    <w:p w14:paraId="1485955B" w14:textId="63E67338" w:rsidR="000A5346" w:rsidRPr="00C14D70" w:rsidRDefault="000A5346" w:rsidP="00C14D70">
      <w:pPr>
        <w:spacing w:after="0" w:line="480" w:lineRule="auto"/>
        <w:jc w:val="both"/>
        <w:rPr>
          <w:rFonts w:asciiTheme="majorBidi" w:hAnsiTheme="majorBidi" w:cstheme="majorBidi"/>
          <w:b/>
          <w:bCs/>
        </w:rPr>
      </w:pPr>
      <w:r w:rsidRPr="00C14D70">
        <w:rPr>
          <w:rFonts w:asciiTheme="majorBidi" w:hAnsiTheme="majorBidi" w:cstheme="majorBidi"/>
          <w:b/>
          <w:bCs/>
        </w:rPr>
        <w:t xml:space="preserve">Conclusion </w:t>
      </w:r>
      <w:r w:rsidR="00475554">
        <w:rPr>
          <w:rFonts w:asciiTheme="majorBidi" w:hAnsiTheme="majorBidi" w:cstheme="majorBidi"/>
          <w:b/>
          <w:bCs/>
        </w:rPr>
        <w:t>and recommendations</w:t>
      </w:r>
    </w:p>
    <w:p w14:paraId="6B8A7EF7" w14:textId="2445FA6A" w:rsidR="003F3C83" w:rsidRDefault="00575077" w:rsidP="003F3C83">
      <w:pPr>
        <w:spacing w:after="0" w:line="480" w:lineRule="auto"/>
        <w:rPr>
          <w:rFonts w:asciiTheme="majorBidi" w:hAnsiTheme="majorBidi" w:cstheme="majorBidi"/>
          <w:rtl/>
        </w:rPr>
      </w:pPr>
      <w:r w:rsidRPr="00C14D70">
        <w:rPr>
          <w:rFonts w:asciiTheme="majorBidi" w:hAnsiTheme="majorBidi" w:cstheme="majorBidi"/>
        </w:rPr>
        <w:t xml:space="preserve">The findings of this study could assist occupational therapists in their evaluations of older adults at time of discharge to function safely upon returning home. </w:t>
      </w:r>
      <w:r w:rsidR="0023135F" w:rsidRPr="00C14D70">
        <w:rPr>
          <w:rFonts w:asciiTheme="majorBidi" w:hAnsiTheme="majorBidi" w:cstheme="majorBidi"/>
        </w:rPr>
        <w:t xml:space="preserve">OT recommendations </w:t>
      </w:r>
      <w:r w:rsidRPr="00C14D70">
        <w:rPr>
          <w:rFonts w:asciiTheme="majorBidi" w:hAnsiTheme="majorBidi" w:cstheme="majorBidi"/>
        </w:rPr>
        <w:t xml:space="preserve">provided to the patient and family at discharge that includes on function, safety, and meta-cognitive functions for continued independence at home, is a unique, but crucial element to incorporate within the discharge protocol. </w:t>
      </w:r>
      <w:r w:rsidR="00C14D70" w:rsidRPr="00C14D70">
        <w:rPr>
          <w:rFonts w:asciiTheme="majorBidi" w:hAnsiTheme="majorBidi" w:cstheme="majorBidi"/>
        </w:rPr>
        <w:t xml:space="preserve"> Predicting if an older person will be able to live safely and </w:t>
      </w:r>
      <w:r w:rsidR="00C14D70" w:rsidRPr="00C14D70">
        <w:rPr>
          <w:rFonts w:asciiTheme="majorBidi" w:hAnsiTheme="majorBidi" w:cstheme="majorBidi"/>
        </w:rPr>
        <w:lastRenderedPageBreak/>
        <w:t xml:space="preserve">successfully in their home environment after hospital discharge, </w:t>
      </w:r>
      <w:r w:rsidR="00C14D70" w:rsidRPr="00C14D70">
        <w:rPr>
          <w:rFonts w:asciiTheme="majorBidi" w:hAnsiTheme="majorBidi" w:cstheme="majorBidi"/>
          <w:color w:val="212529"/>
          <w:shd w:val="clear" w:color="auto" w:fill="FFFFFF"/>
        </w:rPr>
        <w:t xml:space="preserve">is an important tool for an occupational </w:t>
      </w:r>
      <w:r w:rsidR="00C14D70" w:rsidRPr="003A6DDB">
        <w:rPr>
          <w:rFonts w:asciiTheme="majorBidi" w:hAnsiTheme="majorBidi" w:cstheme="majorBidi"/>
        </w:rPr>
        <w:t>therapist</w:t>
      </w:r>
      <w:r w:rsidR="00227C13" w:rsidRPr="003A6DDB">
        <w:rPr>
          <w:rFonts w:asciiTheme="majorBidi" w:hAnsiTheme="majorBidi" w:cstheme="majorBidi"/>
        </w:rPr>
        <w:t>.</w:t>
      </w:r>
      <w:r w:rsidR="00D51235" w:rsidRPr="003A6DDB">
        <w:rPr>
          <w:rFonts w:asciiTheme="majorBidi" w:hAnsiTheme="majorBidi" w:cstheme="majorBidi"/>
        </w:rPr>
        <w:t xml:space="preserve"> </w:t>
      </w:r>
      <w:r w:rsidR="00C14D70" w:rsidRPr="003A6DDB">
        <w:rPr>
          <w:rFonts w:asciiTheme="majorBidi" w:hAnsiTheme="majorBidi" w:cstheme="majorBidi"/>
        </w:rPr>
        <w:t xml:space="preserve">(Inoue </w:t>
      </w:r>
      <w:r w:rsidR="00CF25E1" w:rsidRPr="003A6DDB">
        <w:rPr>
          <w:rFonts w:asciiTheme="majorBidi" w:hAnsiTheme="majorBidi" w:cstheme="majorBidi"/>
        </w:rPr>
        <w:t xml:space="preserve">et al., </w:t>
      </w:r>
      <w:r w:rsidR="00C14D70" w:rsidRPr="003A6DDB">
        <w:rPr>
          <w:rFonts w:asciiTheme="majorBidi" w:hAnsiTheme="majorBidi" w:cstheme="majorBidi"/>
        </w:rPr>
        <w:t xml:space="preserve">2017; Schaefer </w:t>
      </w:r>
      <w:r w:rsidR="00CF25E1" w:rsidRPr="003A6DDB">
        <w:rPr>
          <w:rFonts w:asciiTheme="majorBidi" w:hAnsiTheme="majorBidi" w:cstheme="majorBidi"/>
        </w:rPr>
        <w:t xml:space="preserve">et al., </w:t>
      </w:r>
      <w:r w:rsidR="00C14D70" w:rsidRPr="003A6DDB">
        <w:rPr>
          <w:rFonts w:asciiTheme="majorBidi" w:hAnsiTheme="majorBidi" w:cstheme="majorBidi"/>
        </w:rPr>
        <w:t xml:space="preserve">2021).  This demonstrates the need for us to conduct a larger, multicenter study to ascertain whether our </w:t>
      </w:r>
      <w:r w:rsidR="007E3A88" w:rsidRPr="003A6DDB">
        <w:rPr>
          <w:rFonts w:asciiTheme="majorBidi" w:hAnsiTheme="majorBidi" w:cstheme="majorBidi"/>
        </w:rPr>
        <w:t>observation-based</w:t>
      </w:r>
      <w:r w:rsidR="00C14D70" w:rsidRPr="003A6DDB">
        <w:rPr>
          <w:rFonts w:asciiTheme="majorBidi" w:hAnsiTheme="majorBidi" w:cstheme="majorBidi"/>
        </w:rPr>
        <w:t xml:space="preserve"> </w:t>
      </w:r>
      <w:r w:rsidR="00DE6655" w:rsidRPr="003A6DDB">
        <w:rPr>
          <w:rFonts w:asciiTheme="majorBidi" w:hAnsiTheme="majorBidi" w:cstheme="majorBidi"/>
        </w:rPr>
        <w:t xml:space="preserve">evaluation </w:t>
      </w:r>
      <w:r w:rsidR="00CF25E1" w:rsidRPr="003A6DDB">
        <w:rPr>
          <w:rFonts w:asciiTheme="majorBidi" w:hAnsiTheme="majorBidi" w:cstheme="majorBidi"/>
        </w:rPr>
        <w:t>would be effective among different populations.</w:t>
      </w:r>
      <w:r w:rsidR="00C14D70" w:rsidRPr="003A6DDB">
        <w:rPr>
          <w:rFonts w:asciiTheme="majorBidi" w:hAnsiTheme="majorBidi" w:cstheme="majorBidi"/>
        </w:rPr>
        <w:t xml:space="preserve">  </w:t>
      </w:r>
      <w:r w:rsidR="0023135F" w:rsidRPr="003A6DDB">
        <w:rPr>
          <w:rFonts w:asciiTheme="majorBidi" w:hAnsiTheme="majorBidi" w:cstheme="majorBidi"/>
        </w:rPr>
        <w:t xml:space="preserve">We also recommend </w:t>
      </w:r>
      <w:r w:rsidR="00CF25E1" w:rsidRPr="003A6DDB">
        <w:rPr>
          <w:rFonts w:asciiTheme="majorBidi" w:hAnsiTheme="majorBidi" w:cstheme="majorBidi"/>
        </w:rPr>
        <w:t>integrating</w:t>
      </w:r>
      <w:r w:rsidR="0023135F" w:rsidRPr="003A6DDB">
        <w:rPr>
          <w:rFonts w:asciiTheme="majorBidi" w:hAnsiTheme="majorBidi" w:cstheme="majorBidi"/>
        </w:rPr>
        <w:t xml:space="preserve"> the COFFEE-HD evaluation among OTs working in the hospital, to enable </w:t>
      </w:r>
      <w:r w:rsidR="00CF25E1" w:rsidRPr="003A6DDB">
        <w:rPr>
          <w:rFonts w:asciiTheme="majorBidi" w:hAnsiTheme="majorBidi" w:cstheme="majorBidi"/>
        </w:rPr>
        <w:t xml:space="preserve">future </w:t>
      </w:r>
      <w:r w:rsidR="0023135F" w:rsidRPr="003A6DDB">
        <w:rPr>
          <w:rFonts w:asciiTheme="majorBidi" w:hAnsiTheme="majorBidi" w:cstheme="majorBidi"/>
        </w:rPr>
        <w:t>successful aging in place, and maxim</w:t>
      </w:r>
      <w:r w:rsidR="00CF25E1" w:rsidRPr="003A6DDB">
        <w:rPr>
          <w:rFonts w:asciiTheme="majorBidi" w:hAnsiTheme="majorBidi" w:cstheme="majorBidi"/>
        </w:rPr>
        <w:t>ize</w:t>
      </w:r>
      <w:r w:rsidR="0023135F" w:rsidRPr="003A6DDB">
        <w:rPr>
          <w:rFonts w:asciiTheme="majorBidi" w:hAnsiTheme="majorBidi" w:cstheme="majorBidi"/>
        </w:rPr>
        <w:t xml:space="preserve"> functioning for the older person</w:t>
      </w:r>
      <w:r w:rsidR="00CF25E1" w:rsidRPr="003A6DDB">
        <w:rPr>
          <w:rFonts w:asciiTheme="majorBidi" w:hAnsiTheme="majorBidi" w:cstheme="majorBidi"/>
        </w:rPr>
        <w:t xml:space="preserve"> returning to live at home.</w:t>
      </w:r>
      <w:r w:rsidR="003F3C83">
        <w:rPr>
          <w:rFonts w:asciiTheme="majorBidi" w:hAnsiTheme="majorBidi" w:cstheme="majorBidi"/>
        </w:rPr>
        <w:t xml:space="preserve"> The COFEE-HD is a comprehensive performance-based evaluation that examines function, safety and meta-cognition, and was found valid and feasible, to be performed prior to discharge from hospital.   </w:t>
      </w:r>
    </w:p>
    <w:p w14:paraId="37013DE0" w14:textId="77777777" w:rsidR="00481577" w:rsidRDefault="00481577" w:rsidP="00852F84">
      <w:pPr>
        <w:rPr>
          <w:rFonts w:asciiTheme="majorBidi" w:hAnsiTheme="majorBidi" w:cstheme="majorBidi"/>
        </w:rPr>
      </w:pPr>
    </w:p>
    <w:p w14:paraId="2A35E7B1" w14:textId="77777777" w:rsidR="0005146D" w:rsidRDefault="0005146D" w:rsidP="00852F84">
      <w:pPr>
        <w:rPr>
          <w:rFonts w:asciiTheme="majorBidi" w:hAnsiTheme="majorBidi" w:cstheme="majorBidi"/>
        </w:rPr>
      </w:pPr>
    </w:p>
    <w:p w14:paraId="44285CA1" w14:textId="77777777" w:rsidR="0005146D" w:rsidRDefault="0005146D" w:rsidP="00852F84">
      <w:pPr>
        <w:rPr>
          <w:rFonts w:asciiTheme="majorBidi" w:hAnsiTheme="majorBidi" w:cstheme="majorBidi"/>
        </w:rPr>
      </w:pPr>
      <w:r>
        <w:rPr>
          <w:rFonts w:asciiTheme="majorBidi" w:hAnsiTheme="majorBidi" w:cstheme="majorBidi"/>
        </w:rPr>
        <w:t>Key points</w:t>
      </w:r>
    </w:p>
    <w:p w14:paraId="658BB55A" w14:textId="77777777" w:rsidR="0005146D" w:rsidRDefault="0005146D" w:rsidP="00852F84">
      <w:pPr>
        <w:rPr>
          <w:rFonts w:asciiTheme="majorBidi" w:hAnsiTheme="majorBidi" w:cstheme="majorBidi"/>
        </w:rPr>
      </w:pPr>
    </w:p>
    <w:p w14:paraId="3813EDE0" w14:textId="0B1BD5C7" w:rsidR="0005146D" w:rsidRPr="00C47619" w:rsidRDefault="0005146D" w:rsidP="00C47619">
      <w:pPr>
        <w:pStyle w:val="ListParagraph"/>
        <w:numPr>
          <w:ilvl w:val="0"/>
          <w:numId w:val="12"/>
        </w:numPr>
        <w:rPr>
          <w:rFonts w:asciiTheme="majorBidi" w:hAnsiTheme="majorBidi" w:cstheme="majorBidi"/>
        </w:rPr>
      </w:pPr>
      <w:r w:rsidRPr="00C47619">
        <w:rPr>
          <w:rFonts w:asciiTheme="majorBidi" w:hAnsiTheme="majorBidi" w:cstheme="majorBidi"/>
        </w:rPr>
        <w:t>It is essential for clinical application for OTs to for a comprehensive functional cognitive discharge evaluation</w:t>
      </w:r>
    </w:p>
    <w:p w14:paraId="3BC67CD8" w14:textId="24D5F7E3" w:rsidR="00C47619" w:rsidRPr="00C47619" w:rsidRDefault="00C47619" w:rsidP="00C47619">
      <w:pPr>
        <w:pStyle w:val="ListParagraph"/>
        <w:numPr>
          <w:ilvl w:val="0"/>
          <w:numId w:val="12"/>
        </w:numPr>
        <w:rPr>
          <w:rFonts w:asciiTheme="majorBidi" w:hAnsiTheme="majorBidi" w:cstheme="majorBidi"/>
        </w:rPr>
      </w:pPr>
      <w:r w:rsidRPr="00C47619">
        <w:rPr>
          <w:rFonts w:asciiTheme="majorBidi" w:hAnsiTheme="majorBidi" w:cstheme="majorBidi"/>
        </w:rPr>
        <w:t>To make possible for older people to live safely at home, our model includes evaluating IADL and BADL function and meta cognition</w:t>
      </w:r>
    </w:p>
    <w:p w14:paraId="6DAC6E99" w14:textId="4D347C7C" w:rsidR="00C47619" w:rsidRPr="00C47619" w:rsidRDefault="00C47619" w:rsidP="00C47619">
      <w:pPr>
        <w:pStyle w:val="ListParagraph"/>
        <w:numPr>
          <w:ilvl w:val="0"/>
          <w:numId w:val="12"/>
        </w:numPr>
        <w:rPr>
          <w:rFonts w:asciiTheme="majorBidi" w:hAnsiTheme="majorBidi" w:cstheme="majorBidi"/>
        </w:rPr>
      </w:pPr>
      <w:r w:rsidRPr="00C47619">
        <w:rPr>
          <w:rFonts w:asciiTheme="majorBidi" w:hAnsiTheme="majorBidi" w:cstheme="majorBidi"/>
        </w:rPr>
        <w:t>OTs have unique position to evaluate patient at discharge in order to offer tailor made recommendations</w:t>
      </w:r>
    </w:p>
    <w:p w14:paraId="5B23B428" w14:textId="77777777" w:rsidR="00C47619" w:rsidRDefault="00C47619" w:rsidP="00852F84">
      <w:pPr>
        <w:rPr>
          <w:rFonts w:asciiTheme="majorBidi" w:hAnsiTheme="majorBidi" w:cstheme="majorBidi"/>
        </w:rPr>
      </w:pPr>
    </w:p>
    <w:p w14:paraId="6FD5F569" w14:textId="43CE446C" w:rsidR="00C47619" w:rsidRPr="00C14D70" w:rsidRDefault="00C47619" w:rsidP="00852F84">
      <w:pPr>
        <w:rPr>
          <w:rFonts w:asciiTheme="majorBidi" w:hAnsiTheme="majorBidi" w:cstheme="majorBidi"/>
          <w:rtl/>
        </w:rPr>
        <w:sectPr w:rsidR="00C47619" w:rsidRPr="00C14D70" w:rsidSect="003F3C83">
          <w:footerReference w:type="default" r:id="rId8"/>
          <w:pgSz w:w="12240" w:h="15840"/>
          <w:pgMar w:top="1440" w:right="1440" w:bottom="1440" w:left="1440" w:header="720" w:footer="720" w:gutter="0"/>
          <w:cols w:space="720"/>
          <w:docGrid w:linePitch="360"/>
        </w:sectPr>
      </w:pPr>
    </w:p>
    <w:p w14:paraId="19D9A349" w14:textId="039532BE" w:rsidR="00BB6DE0" w:rsidRDefault="00925428" w:rsidP="00852F84">
      <w:pPr>
        <w:spacing w:line="480" w:lineRule="auto"/>
        <w:rPr>
          <w:rFonts w:asciiTheme="majorBidi" w:hAnsiTheme="majorBidi" w:cstheme="majorBidi"/>
          <w:b/>
          <w:bCs/>
        </w:rPr>
      </w:pPr>
      <w:r w:rsidRPr="00C14D70">
        <w:rPr>
          <w:rFonts w:asciiTheme="majorBidi" w:hAnsiTheme="majorBidi" w:cstheme="majorBidi"/>
          <w:b/>
          <w:bCs/>
        </w:rPr>
        <w:lastRenderedPageBreak/>
        <w:t>References</w:t>
      </w:r>
    </w:p>
    <w:p w14:paraId="0DC85292" w14:textId="5BA807BB" w:rsidR="009A322D" w:rsidRPr="00CF25E1" w:rsidRDefault="009A322D" w:rsidP="00852F84">
      <w:pPr>
        <w:spacing w:line="480" w:lineRule="auto"/>
        <w:rPr>
          <w:rFonts w:asciiTheme="majorBidi" w:hAnsiTheme="majorBidi" w:cstheme="majorBidi"/>
        </w:rPr>
      </w:pPr>
      <w:r w:rsidRPr="00CF25E1">
        <w:rPr>
          <w:rFonts w:asciiTheme="majorBidi" w:hAnsiTheme="majorBidi" w:cstheme="majorBidi"/>
        </w:rPr>
        <w:t>AOTA, (2017).</w:t>
      </w:r>
      <w:r w:rsidR="00297A60">
        <w:rPr>
          <w:rFonts w:asciiTheme="majorBidi" w:hAnsiTheme="majorBidi" w:cstheme="majorBidi"/>
        </w:rPr>
        <w:t xml:space="preserve"> </w:t>
      </w:r>
      <w:hyperlink r:id="rId9" w:history="1">
        <w:r w:rsidR="00297A60" w:rsidRPr="00BC3354">
          <w:rPr>
            <w:rStyle w:val="Hyperlink"/>
            <w:rFonts w:asciiTheme="majorBidi" w:hAnsiTheme="majorBidi" w:cstheme="majorBidi"/>
            <w:color w:val="auto"/>
          </w:rPr>
          <w:t>https://www.aota.org//media/Corporate/Files/AboutOT/Professionals/WhatIsOT/RDP/Facts/Acute-Care.pdf</w:t>
        </w:r>
      </w:hyperlink>
      <w:r w:rsidRPr="00BC3354">
        <w:rPr>
          <w:rFonts w:asciiTheme="majorBidi" w:hAnsiTheme="majorBidi" w:cstheme="majorBidi"/>
          <w:u w:val="single"/>
        </w:rPr>
        <w:t>.</w:t>
      </w:r>
      <w:r w:rsidRPr="00CF25E1">
        <w:rPr>
          <w:rFonts w:asciiTheme="majorBidi" w:hAnsiTheme="majorBidi" w:cstheme="majorBidi"/>
        </w:rPr>
        <w:t xml:space="preserve">  Accessed on March 10, 2021</w:t>
      </w:r>
    </w:p>
    <w:p w14:paraId="4D59E6C2" w14:textId="77777777" w:rsidR="00775437" w:rsidRPr="00C14D70" w:rsidRDefault="00775437" w:rsidP="00D61F07">
      <w:pPr>
        <w:spacing w:after="0" w:line="480" w:lineRule="auto"/>
        <w:ind w:left="720" w:hanging="720"/>
        <w:rPr>
          <w:rFonts w:asciiTheme="majorBidi" w:hAnsiTheme="majorBidi" w:cstheme="majorBidi"/>
        </w:rPr>
      </w:pPr>
      <w:r w:rsidRPr="00C14D70">
        <w:rPr>
          <w:rFonts w:asciiTheme="majorBidi" w:hAnsiTheme="majorBidi" w:cstheme="majorBidi"/>
        </w:rPr>
        <w:t xml:space="preserve">Baum, C. M., Connor, L. T., Morrison, T., Hahn, M., </w:t>
      </w:r>
      <w:proofErr w:type="spellStart"/>
      <w:r w:rsidRPr="00C14D70">
        <w:rPr>
          <w:rFonts w:asciiTheme="majorBidi" w:hAnsiTheme="majorBidi" w:cstheme="majorBidi"/>
        </w:rPr>
        <w:t>Dromerick</w:t>
      </w:r>
      <w:proofErr w:type="spellEnd"/>
      <w:r w:rsidRPr="00C14D70">
        <w:rPr>
          <w:rFonts w:asciiTheme="majorBidi" w:hAnsiTheme="majorBidi" w:cstheme="majorBidi"/>
        </w:rPr>
        <w:t xml:space="preserve">, A. W., &amp; Edwards, D. F. (2008). Reliability, validity, and clinical utility of the Executive Function Performance Test: A measure of executive function in a sample of people with stroke. </w:t>
      </w:r>
      <w:r w:rsidRPr="00C14D70">
        <w:rPr>
          <w:rFonts w:asciiTheme="majorBidi" w:hAnsiTheme="majorBidi" w:cstheme="majorBidi"/>
          <w:i/>
          <w:iCs/>
        </w:rPr>
        <w:t>American Journal of Occupational Therapy</w:t>
      </w:r>
      <w:r w:rsidRPr="00C14D70">
        <w:rPr>
          <w:rFonts w:asciiTheme="majorBidi" w:hAnsiTheme="majorBidi" w:cstheme="majorBidi"/>
        </w:rPr>
        <w:t xml:space="preserve">, 62, 446–455. </w:t>
      </w:r>
    </w:p>
    <w:p w14:paraId="0CF68602" w14:textId="0F18DBDB" w:rsidR="00775437" w:rsidRDefault="00775437" w:rsidP="00D61F07">
      <w:pPr>
        <w:spacing w:after="0" w:line="480" w:lineRule="auto"/>
        <w:ind w:left="720" w:hanging="720"/>
        <w:rPr>
          <w:rFonts w:asciiTheme="majorBidi" w:hAnsiTheme="majorBidi" w:cstheme="majorBidi"/>
        </w:rPr>
      </w:pPr>
      <w:bookmarkStart w:id="4" w:name="_Hlk64546712"/>
      <w:r w:rsidRPr="00C14D70">
        <w:rPr>
          <w:rFonts w:asciiTheme="majorBidi" w:hAnsiTheme="majorBidi" w:cstheme="majorBidi"/>
        </w:rPr>
        <w:t xml:space="preserve">Baum, C. M., &amp; Edwards, D. F. (1998). </w:t>
      </w:r>
      <w:bookmarkEnd w:id="4"/>
      <w:r w:rsidRPr="00C14D70">
        <w:rPr>
          <w:rFonts w:asciiTheme="majorBidi" w:hAnsiTheme="majorBidi" w:cstheme="majorBidi"/>
        </w:rPr>
        <w:t xml:space="preserve">Home Occupational Environmental Assessment: An environmental checklist for treatment planning. Unpublished manuscript. Washington University School of Medicine, St. Louis, MO. </w:t>
      </w:r>
    </w:p>
    <w:p w14:paraId="47B72545" w14:textId="3D6C933D" w:rsidR="00CD4020" w:rsidRDefault="00CD4020" w:rsidP="00D61F07">
      <w:pPr>
        <w:spacing w:after="0" w:line="480" w:lineRule="auto"/>
        <w:ind w:left="720" w:hanging="720"/>
      </w:pPr>
      <w:r>
        <w:t>Baum</w:t>
      </w:r>
      <w:r w:rsidR="00FF086E">
        <w:t>,</w:t>
      </w:r>
      <w:r>
        <w:t xml:space="preserve"> C</w:t>
      </w:r>
      <w:r w:rsidR="00FF086E">
        <w:t>.</w:t>
      </w:r>
      <w:r>
        <w:t>T</w:t>
      </w:r>
      <w:r w:rsidR="00FF086E">
        <w:t>.</w:t>
      </w:r>
      <w:r>
        <w:t>, Morrison</w:t>
      </w:r>
      <w:r w:rsidR="00FF086E">
        <w:t>,</w:t>
      </w:r>
      <w:r>
        <w:t xml:space="preserve"> T</w:t>
      </w:r>
      <w:r w:rsidR="00FF086E">
        <w:t>.</w:t>
      </w:r>
      <w:r>
        <w:t>, Hahn</w:t>
      </w:r>
      <w:r w:rsidR="00FF086E">
        <w:t>,</w:t>
      </w:r>
      <w:r>
        <w:t xml:space="preserve"> M</w:t>
      </w:r>
      <w:r w:rsidR="00FF086E">
        <w:t>.</w:t>
      </w:r>
      <w:r>
        <w:t xml:space="preserve">, </w:t>
      </w:r>
      <w:r w:rsidR="00FF086E">
        <w:t xml:space="preserve">&amp; </w:t>
      </w:r>
      <w:r>
        <w:t>Edwards</w:t>
      </w:r>
      <w:r w:rsidR="00FF086E">
        <w:t>,</w:t>
      </w:r>
      <w:r>
        <w:t xml:space="preserve"> D. </w:t>
      </w:r>
      <w:r w:rsidR="00D27CA3">
        <w:t>(2003).</w:t>
      </w:r>
      <w:r w:rsidR="00B72411">
        <w:t xml:space="preserve"> </w:t>
      </w:r>
      <w:r>
        <w:t xml:space="preserve">Executive Function Performance Test: Test Protocol Booklet. St. Louis, MO: Washington University School of Medicine; </w:t>
      </w:r>
    </w:p>
    <w:p w14:paraId="1FBF90DC" w14:textId="31204199" w:rsidR="0033516D" w:rsidRPr="00C14D70" w:rsidRDefault="0033516D" w:rsidP="00D61F07">
      <w:pPr>
        <w:spacing w:after="0" w:line="480" w:lineRule="auto"/>
        <w:ind w:left="720" w:hanging="720"/>
        <w:rPr>
          <w:rFonts w:asciiTheme="majorBidi" w:hAnsiTheme="majorBidi" w:cstheme="majorBidi"/>
        </w:rPr>
      </w:pPr>
      <w:r w:rsidRPr="0033516D">
        <w:rPr>
          <w:rFonts w:asciiTheme="majorBidi" w:hAnsiTheme="majorBidi" w:cstheme="majorBidi"/>
        </w:rPr>
        <w:t>Bonder, B. R., &amp; Dal Bello-Haas, V. (201</w:t>
      </w:r>
      <w:r>
        <w:rPr>
          <w:rFonts w:asciiTheme="majorBidi" w:hAnsiTheme="majorBidi" w:cstheme="majorBidi"/>
        </w:rPr>
        <w:t>8</w:t>
      </w:r>
      <w:r w:rsidRPr="0033516D">
        <w:rPr>
          <w:rFonts w:asciiTheme="majorBidi" w:hAnsiTheme="majorBidi" w:cstheme="majorBidi"/>
        </w:rPr>
        <w:t>). Functional performance in older adults. FA Davis.</w:t>
      </w:r>
    </w:p>
    <w:p w14:paraId="687FB2EC" w14:textId="4D86D0A5" w:rsidR="00775437" w:rsidRDefault="00775437" w:rsidP="00D61F07">
      <w:pPr>
        <w:spacing w:after="0" w:line="480" w:lineRule="auto"/>
        <w:ind w:left="720" w:hanging="720"/>
        <w:rPr>
          <w:rFonts w:asciiTheme="majorBidi" w:hAnsiTheme="majorBidi" w:cstheme="majorBidi"/>
        </w:rPr>
      </w:pPr>
      <w:r w:rsidRPr="00C14D70">
        <w:rPr>
          <w:rFonts w:asciiTheme="majorBidi" w:hAnsiTheme="majorBidi" w:cstheme="majorBidi"/>
        </w:rPr>
        <w:t xml:space="preserve">Chang, W., Slaughter, S., Cartwright, D., &amp; Chan, C. (1997). Evaluating the FONE FIM: Construct validity. </w:t>
      </w:r>
      <w:r w:rsidRPr="00C14D70">
        <w:rPr>
          <w:rFonts w:asciiTheme="majorBidi" w:hAnsiTheme="majorBidi" w:cstheme="majorBidi"/>
          <w:i/>
          <w:iCs/>
        </w:rPr>
        <w:t>Journal of Outcome Measurement</w:t>
      </w:r>
      <w:r w:rsidRPr="00C14D70">
        <w:rPr>
          <w:rFonts w:asciiTheme="majorBidi" w:hAnsiTheme="majorBidi" w:cstheme="majorBidi"/>
        </w:rPr>
        <w:t>, 1, 192–218.</w:t>
      </w:r>
    </w:p>
    <w:p w14:paraId="58DEBF25" w14:textId="77777777" w:rsidR="00297A60" w:rsidRDefault="00D0706B" w:rsidP="00D61F07">
      <w:pPr>
        <w:spacing w:after="0" w:line="480" w:lineRule="auto"/>
        <w:ind w:left="720" w:hanging="720"/>
        <w:rPr>
          <w:rFonts w:asciiTheme="majorBidi" w:hAnsiTheme="majorBidi" w:cstheme="majorBidi"/>
        </w:rPr>
      </w:pPr>
      <w:r w:rsidRPr="00D0706B">
        <w:rPr>
          <w:rFonts w:asciiTheme="majorBidi" w:hAnsiTheme="majorBidi" w:cstheme="majorBidi"/>
        </w:rPr>
        <w:t xml:space="preserve">Chisholm, D., Toto, P., Raina, K., Holm, M., &amp; Rogers, J. (2014). Evaluating capacity to live independently and safely in the community: Performance Assessment of Self-care Skills. </w:t>
      </w:r>
      <w:r w:rsidRPr="003A75A1">
        <w:rPr>
          <w:rFonts w:asciiTheme="majorBidi" w:hAnsiTheme="majorBidi" w:cstheme="majorBidi"/>
          <w:i/>
          <w:iCs/>
        </w:rPr>
        <w:t>British Journal of Occupational Therapy</w:t>
      </w:r>
      <w:r w:rsidRPr="00D0706B">
        <w:rPr>
          <w:rFonts w:asciiTheme="majorBidi" w:hAnsiTheme="majorBidi" w:cstheme="majorBidi"/>
        </w:rPr>
        <w:t>, 77(2), 59-63.</w:t>
      </w:r>
      <w:r w:rsidRPr="00D0706B" w:rsidDel="00D0706B">
        <w:rPr>
          <w:rFonts w:asciiTheme="majorBidi" w:hAnsiTheme="majorBidi" w:cstheme="majorBidi"/>
        </w:rPr>
        <w:t xml:space="preserve"> </w:t>
      </w:r>
    </w:p>
    <w:p w14:paraId="43BEAED6" w14:textId="796966B3" w:rsidR="001D6F67" w:rsidRPr="00C14D70" w:rsidRDefault="001D6F67" w:rsidP="00D61F07">
      <w:pPr>
        <w:spacing w:after="0" w:line="480" w:lineRule="auto"/>
        <w:ind w:left="720" w:hanging="720"/>
        <w:rPr>
          <w:rFonts w:asciiTheme="majorBidi" w:hAnsiTheme="majorBidi" w:cstheme="majorBidi"/>
        </w:rPr>
      </w:pPr>
      <w:r w:rsidRPr="001D6F67">
        <w:rPr>
          <w:rFonts w:asciiTheme="majorBidi" w:hAnsiTheme="majorBidi" w:cstheme="majorBidi"/>
        </w:rPr>
        <w:t>Chiu</w:t>
      </w:r>
      <w:r w:rsidR="006607D8">
        <w:rPr>
          <w:rFonts w:asciiTheme="majorBidi" w:hAnsiTheme="majorBidi" w:cstheme="majorBidi"/>
        </w:rPr>
        <w:t>,</w:t>
      </w:r>
      <w:r w:rsidRPr="001D6F67">
        <w:rPr>
          <w:rFonts w:asciiTheme="majorBidi" w:hAnsiTheme="majorBidi" w:cstheme="majorBidi"/>
        </w:rPr>
        <w:t xml:space="preserve"> T</w:t>
      </w:r>
      <w:r w:rsidR="006607D8">
        <w:rPr>
          <w:rFonts w:asciiTheme="majorBidi" w:hAnsiTheme="majorBidi" w:cstheme="majorBidi"/>
        </w:rPr>
        <w:t>., &amp;</w:t>
      </w:r>
      <w:r w:rsidRPr="001D6F67">
        <w:rPr>
          <w:rFonts w:asciiTheme="majorBidi" w:hAnsiTheme="majorBidi" w:cstheme="majorBidi"/>
        </w:rPr>
        <w:t xml:space="preserve"> Oliver</w:t>
      </w:r>
      <w:r w:rsidR="006607D8">
        <w:rPr>
          <w:rFonts w:asciiTheme="majorBidi" w:hAnsiTheme="majorBidi" w:cstheme="majorBidi"/>
        </w:rPr>
        <w:t>,</w:t>
      </w:r>
      <w:r w:rsidRPr="001D6F67">
        <w:rPr>
          <w:rFonts w:asciiTheme="majorBidi" w:hAnsiTheme="majorBidi" w:cstheme="majorBidi"/>
        </w:rPr>
        <w:t xml:space="preserve"> R. </w:t>
      </w:r>
      <w:r w:rsidR="00FD4607">
        <w:rPr>
          <w:rFonts w:asciiTheme="majorBidi" w:hAnsiTheme="majorBidi" w:cstheme="majorBidi"/>
        </w:rPr>
        <w:t xml:space="preserve">(2006). </w:t>
      </w:r>
      <w:r w:rsidRPr="001D6F67">
        <w:rPr>
          <w:rFonts w:asciiTheme="majorBidi" w:hAnsiTheme="majorBidi" w:cstheme="majorBidi"/>
        </w:rPr>
        <w:t xml:space="preserve">Factor analysis and construct validity of the SAFER-HOME. </w:t>
      </w:r>
      <w:r w:rsidRPr="00FD4607">
        <w:rPr>
          <w:rFonts w:asciiTheme="majorBidi" w:hAnsiTheme="majorBidi" w:cstheme="majorBidi"/>
          <w:i/>
          <w:iCs/>
        </w:rPr>
        <w:t>OTJR</w:t>
      </w:r>
      <w:r w:rsidRPr="001D6F67">
        <w:rPr>
          <w:rFonts w:asciiTheme="majorBidi" w:hAnsiTheme="majorBidi" w:cstheme="majorBidi"/>
        </w:rPr>
        <w:t>;</w:t>
      </w:r>
      <w:r w:rsidR="006607D8">
        <w:rPr>
          <w:rFonts w:asciiTheme="majorBidi" w:hAnsiTheme="majorBidi" w:cstheme="majorBidi"/>
        </w:rPr>
        <w:t xml:space="preserve"> </w:t>
      </w:r>
      <w:r w:rsidRPr="001D6F67">
        <w:rPr>
          <w:rFonts w:asciiTheme="majorBidi" w:hAnsiTheme="majorBidi" w:cstheme="majorBidi"/>
        </w:rPr>
        <w:t>26(4):132–142. doi:10.1177%2F153944920602600403.</w:t>
      </w:r>
    </w:p>
    <w:p w14:paraId="05FFEA6B" w14:textId="3F541D07" w:rsidR="00891527" w:rsidRDefault="00891527" w:rsidP="003A6DDB">
      <w:pPr>
        <w:spacing w:after="0" w:line="480" w:lineRule="auto"/>
        <w:ind w:left="720" w:hanging="720"/>
        <w:rPr>
          <w:rFonts w:asciiTheme="majorBidi" w:hAnsiTheme="majorBidi" w:cstheme="majorBidi"/>
        </w:rPr>
      </w:pPr>
      <w:r w:rsidRPr="00C14D70">
        <w:rPr>
          <w:rFonts w:asciiTheme="majorBidi" w:hAnsiTheme="majorBidi" w:cstheme="majorBidi"/>
        </w:rPr>
        <w:t xml:space="preserve">Clemson, L., </w:t>
      </w:r>
      <w:proofErr w:type="spellStart"/>
      <w:r w:rsidRPr="00C14D70">
        <w:rPr>
          <w:rFonts w:asciiTheme="majorBidi" w:hAnsiTheme="majorBidi" w:cstheme="majorBidi"/>
        </w:rPr>
        <w:t>Lannin</w:t>
      </w:r>
      <w:proofErr w:type="spellEnd"/>
      <w:r w:rsidRPr="00C14D70">
        <w:rPr>
          <w:rFonts w:asciiTheme="majorBidi" w:hAnsiTheme="majorBidi" w:cstheme="majorBidi"/>
        </w:rPr>
        <w:t xml:space="preserve">, N. A., Wales, K., </w:t>
      </w:r>
      <w:proofErr w:type="spellStart"/>
      <w:r w:rsidRPr="00C14D70">
        <w:rPr>
          <w:rFonts w:asciiTheme="majorBidi" w:hAnsiTheme="majorBidi" w:cstheme="majorBidi"/>
        </w:rPr>
        <w:t>Salkeld</w:t>
      </w:r>
      <w:proofErr w:type="spellEnd"/>
      <w:r w:rsidRPr="00C14D70">
        <w:rPr>
          <w:rFonts w:asciiTheme="majorBidi" w:hAnsiTheme="majorBidi" w:cstheme="majorBidi"/>
        </w:rPr>
        <w:t xml:space="preserve">, G., Rubenstein, L., Gitlin, L., </w:t>
      </w:r>
      <w:proofErr w:type="spellStart"/>
      <w:r w:rsidRPr="00C14D70">
        <w:rPr>
          <w:rFonts w:asciiTheme="majorBidi" w:hAnsiTheme="majorBidi" w:cstheme="majorBidi"/>
        </w:rPr>
        <w:t>Barris</w:t>
      </w:r>
      <w:proofErr w:type="spellEnd"/>
      <w:r w:rsidRPr="00C14D70">
        <w:rPr>
          <w:rFonts w:asciiTheme="majorBidi" w:hAnsiTheme="majorBidi" w:cstheme="majorBidi"/>
        </w:rPr>
        <w:t xml:space="preserve">, S., Mackenzie, L., &amp; Cameron, I. D. (2016). </w:t>
      </w:r>
      <w:r w:rsidR="003A75A1">
        <w:rPr>
          <w:rFonts w:asciiTheme="majorBidi" w:hAnsiTheme="majorBidi" w:cstheme="majorBidi"/>
        </w:rPr>
        <w:t>O</w:t>
      </w:r>
      <w:r w:rsidR="003A75A1" w:rsidRPr="00C14D70">
        <w:rPr>
          <w:rFonts w:asciiTheme="majorBidi" w:hAnsiTheme="majorBidi" w:cstheme="majorBidi"/>
        </w:rPr>
        <w:t xml:space="preserve">ccupational therapy predischarge home visits </w:t>
      </w:r>
      <w:r w:rsidR="003A75A1" w:rsidRPr="00C14D70">
        <w:rPr>
          <w:rFonts w:asciiTheme="majorBidi" w:hAnsiTheme="majorBidi" w:cstheme="majorBidi"/>
        </w:rPr>
        <w:lastRenderedPageBreak/>
        <w:t>in acute hospital care</w:t>
      </w:r>
      <w:r w:rsidRPr="00C14D70">
        <w:rPr>
          <w:rFonts w:asciiTheme="majorBidi" w:hAnsiTheme="majorBidi" w:cstheme="majorBidi"/>
        </w:rPr>
        <w:t xml:space="preserve">: A </w:t>
      </w:r>
      <w:r w:rsidR="003A75A1">
        <w:rPr>
          <w:rFonts w:asciiTheme="majorBidi" w:hAnsiTheme="majorBidi" w:cstheme="majorBidi"/>
        </w:rPr>
        <w:t>r</w:t>
      </w:r>
      <w:r w:rsidRPr="00C14D70">
        <w:rPr>
          <w:rFonts w:asciiTheme="majorBidi" w:hAnsiTheme="majorBidi" w:cstheme="majorBidi"/>
        </w:rPr>
        <w:t xml:space="preserve">andomized </w:t>
      </w:r>
      <w:r w:rsidR="003A75A1">
        <w:rPr>
          <w:rFonts w:asciiTheme="majorBidi" w:hAnsiTheme="majorBidi" w:cstheme="majorBidi"/>
        </w:rPr>
        <w:t>t</w:t>
      </w:r>
      <w:r w:rsidR="003A75A1" w:rsidRPr="00C14D70">
        <w:rPr>
          <w:rFonts w:asciiTheme="majorBidi" w:hAnsiTheme="majorBidi" w:cstheme="majorBidi"/>
        </w:rPr>
        <w:t>rial</w:t>
      </w:r>
      <w:r w:rsidRPr="00C14D70">
        <w:rPr>
          <w:rFonts w:asciiTheme="majorBidi" w:hAnsiTheme="majorBidi" w:cstheme="majorBidi"/>
          <w:i/>
          <w:iCs/>
        </w:rPr>
        <w:t>. Journal of the American Geriatrics Society</w:t>
      </w:r>
      <w:r w:rsidRPr="00C14D70">
        <w:rPr>
          <w:rFonts w:asciiTheme="majorBidi" w:hAnsiTheme="majorBidi" w:cstheme="majorBidi"/>
        </w:rPr>
        <w:t xml:space="preserve">, 64(10), 2019–2026. </w:t>
      </w:r>
    </w:p>
    <w:p w14:paraId="45D0C6D0" w14:textId="5B95E773" w:rsidR="00D35F7A" w:rsidRPr="00C14D70" w:rsidRDefault="00891527" w:rsidP="003A6DDB">
      <w:pPr>
        <w:spacing w:after="0" w:line="480" w:lineRule="auto"/>
        <w:ind w:left="720" w:hanging="720"/>
        <w:rPr>
          <w:rFonts w:asciiTheme="majorBidi" w:hAnsiTheme="majorBidi" w:cstheme="majorBidi"/>
        </w:rPr>
      </w:pPr>
      <w:proofErr w:type="spellStart"/>
      <w:r w:rsidRPr="00C14D70">
        <w:rPr>
          <w:rFonts w:asciiTheme="majorBidi" w:hAnsiTheme="majorBidi" w:cstheme="majorBidi"/>
        </w:rPr>
        <w:t>D</w:t>
      </w:r>
      <w:r w:rsidR="00D35F7A" w:rsidRPr="00C14D70">
        <w:rPr>
          <w:rFonts w:asciiTheme="majorBidi" w:hAnsiTheme="majorBidi" w:cstheme="majorBidi"/>
        </w:rPr>
        <w:t>avydow</w:t>
      </w:r>
      <w:proofErr w:type="spellEnd"/>
      <w:r w:rsidR="00D35F7A" w:rsidRPr="00C14D70">
        <w:rPr>
          <w:rFonts w:asciiTheme="majorBidi" w:hAnsiTheme="majorBidi" w:cstheme="majorBidi"/>
        </w:rPr>
        <w:t xml:space="preserve">, D. S., </w:t>
      </w:r>
      <w:proofErr w:type="spellStart"/>
      <w:r w:rsidR="00D35F7A" w:rsidRPr="00C14D70">
        <w:rPr>
          <w:rFonts w:asciiTheme="majorBidi" w:hAnsiTheme="majorBidi" w:cstheme="majorBidi"/>
        </w:rPr>
        <w:t>Zivin</w:t>
      </w:r>
      <w:proofErr w:type="spellEnd"/>
      <w:r w:rsidR="00D35F7A" w:rsidRPr="00C14D70">
        <w:rPr>
          <w:rFonts w:asciiTheme="majorBidi" w:hAnsiTheme="majorBidi" w:cstheme="majorBidi"/>
        </w:rPr>
        <w:t>, K., &amp;</w:t>
      </w:r>
      <w:r w:rsidR="006607D8">
        <w:rPr>
          <w:rFonts w:asciiTheme="majorBidi" w:hAnsiTheme="majorBidi" w:cstheme="majorBidi"/>
        </w:rPr>
        <w:t xml:space="preserve"> </w:t>
      </w:r>
      <w:proofErr w:type="spellStart"/>
      <w:r w:rsidR="00D35F7A" w:rsidRPr="00C14D70">
        <w:rPr>
          <w:rFonts w:asciiTheme="majorBidi" w:hAnsiTheme="majorBidi" w:cstheme="majorBidi"/>
        </w:rPr>
        <w:t>Langa</w:t>
      </w:r>
      <w:proofErr w:type="spellEnd"/>
      <w:r w:rsidR="00D35F7A" w:rsidRPr="00C14D70">
        <w:rPr>
          <w:rFonts w:asciiTheme="majorBidi" w:hAnsiTheme="majorBidi" w:cstheme="majorBidi"/>
        </w:rPr>
        <w:t xml:space="preserve">, K. M. (2014). Hospitalization, depression and dementia in community-dwelling older Americans: Findings from the National Health and Aging Trends Study. </w:t>
      </w:r>
      <w:r w:rsidR="00D35F7A" w:rsidRPr="00C14D70">
        <w:rPr>
          <w:rFonts w:asciiTheme="majorBidi" w:hAnsiTheme="majorBidi" w:cstheme="majorBidi"/>
          <w:i/>
          <w:iCs/>
        </w:rPr>
        <w:t>General Hospital Psychiatry</w:t>
      </w:r>
      <w:r w:rsidR="00D35F7A" w:rsidRPr="00C14D70">
        <w:rPr>
          <w:rFonts w:asciiTheme="majorBidi" w:hAnsiTheme="majorBidi" w:cstheme="majorBidi"/>
        </w:rPr>
        <w:t xml:space="preserve">, 36(2), 135–141. </w:t>
      </w:r>
    </w:p>
    <w:p w14:paraId="7567FF63" w14:textId="2CEE60E6" w:rsidR="002F133F" w:rsidRPr="00C14D70" w:rsidRDefault="002F133F" w:rsidP="00D61F07">
      <w:pPr>
        <w:spacing w:after="0" w:line="480" w:lineRule="auto"/>
        <w:ind w:left="720" w:hanging="720"/>
        <w:rPr>
          <w:rFonts w:asciiTheme="majorBidi" w:hAnsiTheme="majorBidi" w:cstheme="majorBidi"/>
        </w:rPr>
      </w:pPr>
      <w:proofErr w:type="spellStart"/>
      <w:r w:rsidRPr="00C14D70">
        <w:rPr>
          <w:rFonts w:asciiTheme="majorBidi" w:hAnsiTheme="majorBidi" w:cstheme="majorBidi"/>
        </w:rPr>
        <w:t>Fioravanti</w:t>
      </w:r>
      <w:proofErr w:type="spellEnd"/>
      <w:r w:rsidRPr="00C14D70">
        <w:rPr>
          <w:rFonts w:asciiTheme="majorBidi" w:hAnsiTheme="majorBidi" w:cstheme="majorBidi"/>
        </w:rPr>
        <w:t xml:space="preserve">, A. M., </w:t>
      </w:r>
      <w:proofErr w:type="spellStart"/>
      <w:r w:rsidRPr="00C14D70">
        <w:rPr>
          <w:rFonts w:asciiTheme="majorBidi" w:hAnsiTheme="majorBidi" w:cstheme="majorBidi"/>
        </w:rPr>
        <w:t>Bordignon</w:t>
      </w:r>
      <w:proofErr w:type="spellEnd"/>
      <w:r w:rsidRPr="00C14D70">
        <w:rPr>
          <w:rFonts w:asciiTheme="majorBidi" w:hAnsiTheme="majorBidi" w:cstheme="majorBidi"/>
        </w:rPr>
        <w:t xml:space="preserve">, C. M., Pettit, S. M., Woodhouse, L. J., &amp; Ansley, B. J. (2012). </w:t>
      </w:r>
      <w:r w:rsidR="006607D8">
        <w:rPr>
          <w:rFonts w:asciiTheme="majorBidi" w:hAnsiTheme="majorBidi" w:cstheme="majorBidi"/>
        </w:rPr>
        <w:t>C</w:t>
      </w:r>
      <w:r w:rsidR="006607D8" w:rsidRPr="00C14D70">
        <w:rPr>
          <w:rFonts w:asciiTheme="majorBidi" w:hAnsiTheme="majorBidi" w:cstheme="majorBidi"/>
        </w:rPr>
        <w:t xml:space="preserve">omparing the responsiveness of the assessment of motor and process skills and the </w:t>
      </w:r>
      <w:r w:rsidRPr="00C14D70">
        <w:rPr>
          <w:rFonts w:asciiTheme="majorBidi" w:hAnsiTheme="majorBidi" w:cstheme="majorBidi"/>
        </w:rPr>
        <w:t xml:space="preserve">Functional Independence Measure. </w:t>
      </w:r>
      <w:r w:rsidRPr="00C14D70">
        <w:rPr>
          <w:rFonts w:asciiTheme="majorBidi" w:hAnsiTheme="majorBidi" w:cstheme="majorBidi"/>
          <w:i/>
          <w:iCs/>
        </w:rPr>
        <w:t>Canadian Journal of Occupational Therapy</w:t>
      </w:r>
      <w:r w:rsidRPr="00C14D70">
        <w:rPr>
          <w:rFonts w:asciiTheme="majorBidi" w:hAnsiTheme="majorBidi" w:cstheme="majorBidi"/>
        </w:rPr>
        <w:t>, 79(3), 167–174.</w:t>
      </w:r>
    </w:p>
    <w:p w14:paraId="31BD7366" w14:textId="77777777" w:rsidR="00775437" w:rsidRPr="00C14D70" w:rsidRDefault="00775437" w:rsidP="00D61F07">
      <w:pPr>
        <w:spacing w:after="0" w:line="480" w:lineRule="auto"/>
        <w:ind w:left="720" w:hanging="720"/>
        <w:rPr>
          <w:rFonts w:asciiTheme="majorBidi" w:hAnsiTheme="majorBidi" w:cstheme="majorBidi"/>
        </w:rPr>
      </w:pPr>
      <w:proofErr w:type="spellStart"/>
      <w:r w:rsidRPr="00C14D70">
        <w:rPr>
          <w:rFonts w:asciiTheme="majorBidi" w:hAnsiTheme="majorBidi" w:cstheme="majorBidi"/>
        </w:rPr>
        <w:t>Folstein</w:t>
      </w:r>
      <w:proofErr w:type="spellEnd"/>
      <w:r w:rsidRPr="00C14D70">
        <w:rPr>
          <w:rFonts w:asciiTheme="majorBidi" w:hAnsiTheme="majorBidi" w:cstheme="majorBidi"/>
        </w:rPr>
        <w:t xml:space="preserve">, M. F, </w:t>
      </w:r>
      <w:proofErr w:type="spellStart"/>
      <w:r w:rsidRPr="00C14D70">
        <w:rPr>
          <w:rFonts w:asciiTheme="majorBidi" w:hAnsiTheme="majorBidi" w:cstheme="majorBidi"/>
        </w:rPr>
        <w:t>Folstein</w:t>
      </w:r>
      <w:proofErr w:type="spellEnd"/>
      <w:r w:rsidRPr="00C14D70">
        <w:rPr>
          <w:rFonts w:asciiTheme="majorBidi" w:hAnsiTheme="majorBidi" w:cstheme="majorBidi"/>
        </w:rPr>
        <w:t xml:space="preserve">, S. E, &amp; McHugh, P. R. (1975). "Mini-mental state", a practical method for grading the cognitive state of patients for the clinician. </w:t>
      </w:r>
      <w:r w:rsidRPr="00C14D70">
        <w:rPr>
          <w:rFonts w:asciiTheme="majorBidi" w:hAnsiTheme="majorBidi" w:cstheme="majorBidi"/>
          <w:i/>
          <w:iCs/>
        </w:rPr>
        <w:t>Journal of Psychiatric Research</w:t>
      </w:r>
      <w:r w:rsidRPr="00C14D70">
        <w:rPr>
          <w:rFonts w:asciiTheme="majorBidi" w:hAnsiTheme="majorBidi" w:cstheme="majorBidi"/>
        </w:rPr>
        <w:t xml:space="preserve">, 12,189-198. </w:t>
      </w:r>
    </w:p>
    <w:p w14:paraId="4C00E267" w14:textId="77777777" w:rsidR="00775437" w:rsidRPr="00C14D70" w:rsidRDefault="00775437" w:rsidP="00D61F07">
      <w:pPr>
        <w:spacing w:after="0" w:line="480" w:lineRule="auto"/>
        <w:ind w:left="720" w:hanging="720"/>
        <w:rPr>
          <w:rFonts w:asciiTheme="majorBidi" w:hAnsiTheme="majorBidi" w:cstheme="majorBidi"/>
        </w:rPr>
      </w:pPr>
      <w:r w:rsidRPr="00C14D70">
        <w:rPr>
          <w:rFonts w:asciiTheme="majorBidi" w:hAnsiTheme="majorBidi" w:cstheme="majorBidi"/>
        </w:rPr>
        <w:t xml:space="preserve">Hahn, B., Baum, C., Moore, J., Ehrlich-Jones, L., </w:t>
      </w:r>
      <w:proofErr w:type="spellStart"/>
      <w:r w:rsidRPr="00C14D70">
        <w:rPr>
          <w:rFonts w:asciiTheme="majorBidi" w:hAnsiTheme="majorBidi" w:cstheme="majorBidi"/>
        </w:rPr>
        <w:t>Spoeri</w:t>
      </w:r>
      <w:proofErr w:type="spellEnd"/>
      <w:r w:rsidRPr="00C14D70">
        <w:rPr>
          <w:rFonts w:asciiTheme="majorBidi" w:hAnsiTheme="majorBidi" w:cstheme="majorBidi"/>
        </w:rPr>
        <w:t xml:space="preserve">, S., Doherty, M., &amp; Wolf, T. J. (2014). Development of additional tasks for the Executive Function Performance Test. </w:t>
      </w:r>
      <w:r w:rsidRPr="00C14D70">
        <w:rPr>
          <w:rFonts w:asciiTheme="majorBidi" w:hAnsiTheme="majorBidi" w:cstheme="majorBidi"/>
          <w:i/>
          <w:iCs/>
        </w:rPr>
        <w:t>American Journal of Occupational Therapy</w:t>
      </w:r>
      <w:r w:rsidRPr="00C14D70">
        <w:rPr>
          <w:rFonts w:asciiTheme="majorBidi" w:hAnsiTheme="majorBidi" w:cstheme="majorBidi"/>
        </w:rPr>
        <w:t>, 68(6), 241-246.</w:t>
      </w:r>
    </w:p>
    <w:p w14:paraId="3B4E78D9" w14:textId="62D861C6" w:rsidR="0013022D" w:rsidRDefault="00C47619" w:rsidP="0013022D">
      <w:pPr>
        <w:spacing w:after="0" w:line="480" w:lineRule="auto"/>
        <w:ind w:left="720" w:hanging="720"/>
        <w:rPr>
          <w:rFonts w:asciiTheme="majorBidi" w:hAnsiTheme="majorBidi" w:cstheme="majorBidi"/>
        </w:rPr>
      </w:pPr>
      <w:r w:rsidRPr="00C47619">
        <w:rPr>
          <w:rFonts w:asciiTheme="majorBidi" w:hAnsiTheme="majorBidi" w:cstheme="majorBidi"/>
        </w:rPr>
        <w:t>Holm, M. B., &amp; Rogers, J. C. (20</w:t>
      </w:r>
      <w:r w:rsidR="0013022D">
        <w:rPr>
          <w:rFonts w:asciiTheme="majorBidi" w:hAnsiTheme="majorBidi" w:cstheme="majorBidi"/>
        </w:rPr>
        <w:t>14</w:t>
      </w:r>
      <w:r w:rsidRPr="00C47619">
        <w:rPr>
          <w:rFonts w:asciiTheme="majorBidi" w:hAnsiTheme="majorBidi" w:cstheme="majorBidi"/>
        </w:rPr>
        <w:t xml:space="preserve">). The Performance Assessment of Self-Care Skills (PASS). </w:t>
      </w:r>
      <w:r w:rsidR="0013022D">
        <w:rPr>
          <w:rFonts w:asciiTheme="majorBidi" w:hAnsiTheme="majorBidi" w:cstheme="majorBidi"/>
        </w:rPr>
        <w:t>V. 4.0.</w:t>
      </w:r>
    </w:p>
    <w:p w14:paraId="4539FCEF" w14:textId="56DF3A5B" w:rsidR="0013022D" w:rsidRDefault="0013022D" w:rsidP="0013022D">
      <w:pPr>
        <w:spacing w:after="0" w:line="480" w:lineRule="auto"/>
        <w:ind w:left="720" w:hanging="720"/>
        <w:rPr>
          <w:rFonts w:asciiTheme="majorBidi" w:hAnsiTheme="majorBidi" w:cstheme="majorBidi"/>
        </w:rPr>
      </w:pPr>
      <w:r w:rsidRPr="0013022D">
        <w:rPr>
          <w:rFonts w:asciiTheme="majorBidi" w:hAnsiTheme="majorBidi" w:cstheme="majorBidi"/>
        </w:rPr>
        <w:t>Chisholm</w:t>
      </w:r>
      <w:r>
        <w:rPr>
          <w:rFonts w:asciiTheme="majorBidi" w:hAnsiTheme="majorBidi" w:cstheme="majorBidi"/>
        </w:rPr>
        <w:t>,</w:t>
      </w:r>
      <w:r w:rsidRPr="0013022D">
        <w:rPr>
          <w:rFonts w:asciiTheme="majorBidi" w:hAnsiTheme="majorBidi" w:cstheme="majorBidi"/>
        </w:rPr>
        <w:t xml:space="preserve"> D</w:t>
      </w:r>
      <w:r>
        <w:rPr>
          <w:rFonts w:asciiTheme="majorBidi" w:hAnsiTheme="majorBidi" w:cstheme="majorBidi"/>
        </w:rPr>
        <w:t>.</w:t>
      </w:r>
      <w:r w:rsidRPr="0013022D">
        <w:rPr>
          <w:rFonts w:asciiTheme="majorBidi" w:hAnsiTheme="majorBidi" w:cstheme="majorBidi"/>
        </w:rPr>
        <w:t>, Toto</w:t>
      </w:r>
      <w:r>
        <w:rPr>
          <w:rFonts w:asciiTheme="majorBidi" w:hAnsiTheme="majorBidi" w:cstheme="majorBidi"/>
        </w:rPr>
        <w:t>,</w:t>
      </w:r>
      <w:r w:rsidRPr="0013022D">
        <w:rPr>
          <w:rFonts w:asciiTheme="majorBidi" w:hAnsiTheme="majorBidi" w:cstheme="majorBidi"/>
        </w:rPr>
        <w:t xml:space="preserve"> P</w:t>
      </w:r>
      <w:r>
        <w:rPr>
          <w:rFonts w:asciiTheme="majorBidi" w:hAnsiTheme="majorBidi" w:cstheme="majorBidi"/>
        </w:rPr>
        <w:t>.</w:t>
      </w:r>
      <w:r w:rsidRPr="0013022D">
        <w:rPr>
          <w:rFonts w:asciiTheme="majorBidi" w:hAnsiTheme="majorBidi" w:cstheme="majorBidi"/>
        </w:rPr>
        <w:t>, Raina</w:t>
      </w:r>
      <w:r>
        <w:rPr>
          <w:rFonts w:asciiTheme="majorBidi" w:hAnsiTheme="majorBidi" w:cstheme="majorBidi"/>
        </w:rPr>
        <w:t>,</w:t>
      </w:r>
      <w:r w:rsidRPr="0013022D">
        <w:rPr>
          <w:rFonts w:asciiTheme="majorBidi" w:hAnsiTheme="majorBidi" w:cstheme="majorBidi"/>
        </w:rPr>
        <w:t xml:space="preserve"> K</w:t>
      </w:r>
      <w:r>
        <w:rPr>
          <w:rFonts w:asciiTheme="majorBidi" w:hAnsiTheme="majorBidi" w:cstheme="majorBidi"/>
        </w:rPr>
        <w:t>.</w:t>
      </w:r>
      <w:r w:rsidRPr="0013022D">
        <w:rPr>
          <w:rFonts w:asciiTheme="majorBidi" w:hAnsiTheme="majorBidi" w:cstheme="majorBidi"/>
        </w:rPr>
        <w:t>, Holm</w:t>
      </w:r>
      <w:r>
        <w:rPr>
          <w:rFonts w:asciiTheme="majorBidi" w:hAnsiTheme="majorBidi" w:cstheme="majorBidi"/>
        </w:rPr>
        <w:t>,</w:t>
      </w:r>
      <w:r w:rsidRPr="0013022D">
        <w:rPr>
          <w:rFonts w:asciiTheme="majorBidi" w:hAnsiTheme="majorBidi" w:cstheme="majorBidi"/>
        </w:rPr>
        <w:t xml:space="preserve"> M</w:t>
      </w:r>
      <w:r>
        <w:rPr>
          <w:rFonts w:asciiTheme="majorBidi" w:hAnsiTheme="majorBidi" w:cstheme="majorBidi"/>
        </w:rPr>
        <w:t>.</w:t>
      </w:r>
      <w:r w:rsidRPr="0013022D">
        <w:rPr>
          <w:rFonts w:asciiTheme="majorBidi" w:hAnsiTheme="majorBidi" w:cstheme="majorBidi"/>
        </w:rPr>
        <w:t xml:space="preserve">, </w:t>
      </w:r>
      <w:r>
        <w:rPr>
          <w:rFonts w:asciiTheme="majorBidi" w:hAnsiTheme="majorBidi" w:cstheme="majorBidi"/>
        </w:rPr>
        <w:t xml:space="preserve">&amp; </w:t>
      </w:r>
      <w:r w:rsidRPr="0013022D">
        <w:rPr>
          <w:rFonts w:asciiTheme="majorBidi" w:hAnsiTheme="majorBidi" w:cstheme="majorBidi"/>
        </w:rPr>
        <w:t>Rogers</w:t>
      </w:r>
      <w:r>
        <w:rPr>
          <w:rFonts w:asciiTheme="majorBidi" w:hAnsiTheme="majorBidi" w:cstheme="majorBidi"/>
        </w:rPr>
        <w:t>,</w:t>
      </w:r>
      <w:r w:rsidRPr="0013022D">
        <w:rPr>
          <w:rFonts w:asciiTheme="majorBidi" w:hAnsiTheme="majorBidi" w:cstheme="majorBidi"/>
        </w:rPr>
        <w:t xml:space="preserve"> J</w:t>
      </w:r>
      <w:r>
        <w:rPr>
          <w:rFonts w:asciiTheme="majorBidi" w:hAnsiTheme="majorBidi" w:cstheme="majorBidi"/>
        </w:rPr>
        <w:t xml:space="preserve">. </w:t>
      </w:r>
      <w:r w:rsidRPr="0013022D">
        <w:rPr>
          <w:rFonts w:asciiTheme="majorBidi" w:hAnsiTheme="majorBidi" w:cstheme="majorBidi"/>
        </w:rPr>
        <w:t xml:space="preserve">(2014) Evaluating capacity to live independently and safely in the community: Performance Assessment of Self-care Skills. </w:t>
      </w:r>
      <w:r w:rsidRPr="0013022D">
        <w:rPr>
          <w:rFonts w:asciiTheme="majorBidi" w:hAnsiTheme="majorBidi" w:cstheme="majorBidi"/>
          <w:i/>
          <w:iCs/>
        </w:rPr>
        <w:t>British Journal of Occupational Therapy</w:t>
      </w:r>
      <w:r w:rsidRPr="0013022D">
        <w:rPr>
          <w:rFonts w:asciiTheme="majorBidi" w:hAnsiTheme="majorBidi" w:cstheme="majorBidi"/>
        </w:rPr>
        <w:t>, 77(2), 59–63.</w:t>
      </w:r>
    </w:p>
    <w:p w14:paraId="1693E59C" w14:textId="0C307D95" w:rsidR="00AA0305" w:rsidRPr="00C14D70" w:rsidRDefault="006607D8" w:rsidP="0013022D">
      <w:pPr>
        <w:spacing w:after="0" w:line="480" w:lineRule="auto"/>
        <w:ind w:left="720" w:hanging="720"/>
        <w:rPr>
          <w:rFonts w:asciiTheme="majorBidi" w:hAnsiTheme="majorBidi" w:cstheme="majorBidi"/>
        </w:rPr>
      </w:pPr>
      <w:r w:rsidRPr="006607D8">
        <w:rPr>
          <w:rFonts w:asciiTheme="majorBidi" w:hAnsiTheme="majorBidi" w:cstheme="majorBidi"/>
        </w:rPr>
        <w:t xml:space="preserve">Hsu, B., </w:t>
      </w:r>
      <w:proofErr w:type="spellStart"/>
      <w:r w:rsidRPr="006607D8">
        <w:rPr>
          <w:rFonts w:asciiTheme="majorBidi" w:hAnsiTheme="majorBidi" w:cstheme="majorBidi"/>
        </w:rPr>
        <w:t>Naganathan</w:t>
      </w:r>
      <w:proofErr w:type="spellEnd"/>
      <w:r w:rsidRPr="006607D8">
        <w:rPr>
          <w:rFonts w:asciiTheme="majorBidi" w:hAnsiTheme="majorBidi" w:cstheme="majorBidi"/>
        </w:rPr>
        <w:t xml:space="preserve">, V., Blyth, F.M., Hirani, V., Le </w:t>
      </w:r>
      <w:proofErr w:type="spellStart"/>
      <w:r w:rsidRPr="006607D8">
        <w:rPr>
          <w:rFonts w:asciiTheme="majorBidi" w:hAnsiTheme="majorBidi" w:cstheme="majorBidi"/>
        </w:rPr>
        <w:t>Couteur</w:t>
      </w:r>
      <w:proofErr w:type="spellEnd"/>
      <w:r w:rsidRPr="006607D8">
        <w:rPr>
          <w:rFonts w:asciiTheme="majorBidi" w:hAnsiTheme="majorBidi" w:cstheme="majorBidi"/>
        </w:rPr>
        <w:t xml:space="preserve">, D.G., Waite, L.M., Seibel, M.J., </w:t>
      </w:r>
      <w:proofErr w:type="spellStart"/>
      <w:r w:rsidRPr="006607D8">
        <w:rPr>
          <w:rFonts w:asciiTheme="majorBidi" w:hAnsiTheme="majorBidi" w:cstheme="majorBidi"/>
        </w:rPr>
        <w:t>Handelsman</w:t>
      </w:r>
      <w:proofErr w:type="spellEnd"/>
      <w:r w:rsidRPr="006607D8">
        <w:rPr>
          <w:rFonts w:asciiTheme="majorBidi" w:hAnsiTheme="majorBidi" w:cstheme="majorBidi"/>
        </w:rPr>
        <w:t xml:space="preserve">, D.J. </w:t>
      </w:r>
      <w:r>
        <w:rPr>
          <w:rFonts w:asciiTheme="majorBidi" w:hAnsiTheme="majorBidi" w:cstheme="majorBidi"/>
        </w:rPr>
        <w:t>&amp;</w:t>
      </w:r>
      <w:r w:rsidRPr="006607D8">
        <w:rPr>
          <w:rFonts w:asciiTheme="majorBidi" w:hAnsiTheme="majorBidi" w:cstheme="majorBidi"/>
        </w:rPr>
        <w:t xml:space="preserve"> Cumming, R.G. </w:t>
      </w:r>
      <w:r w:rsidR="00AA0305" w:rsidRPr="00C14D70">
        <w:rPr>
          <w:rFonts w:asciiTheme="majorBidi" w:hAnsiTheme="majorBidi" w:cstheme="majorBidi"/>
        </w:rPr>
        <w:t xml:space="preserve">(2020). </w:t>
      </w:r>
      <w:r>
        <w:rPr>
          <w:rFonts w:asciiTheme="majorBidi" w:hAnsiTheme="majorBidi" w:cstheme="majorBidi"/>
        </w:rPr>
        <w:t>F</w:t>
      </w:r>
      <w:r w:rsidRPr="00C14D70">
        <w:rPr>
          <w:rFonts w:asciiTheme="majorBidi" w:hAnsiTheme="majorBidi" w:cstheme="majorBidi"/>
        </w:rPr>
        <w:t>railty and cause-specific hospitalizations in community-dwelling older men.</w:t>
      </w:r>
      <w:r w:rsidR="00AA0305" w:rsidRPr="00C14D70">
        <w:rPr>
          <w:rFonts w:asciiTheme="majorBidi" w:hAnsiTheme="majorBidi" w:cstheme="majorBidi"/>
        </w:rPr>
        <w:t xml:space="preserve"> </w:t>
      </w:r>
      <w:r w:rsidR="00AA0305" w:rsidRPr="00C14D70">
        <w:rPr>
          <w:rFonts w:asciiTheme="majorBidi" w:hAnsiTheme="majorBidi" w:cstheme="majorBidi"/>
          <w:i/>
          <w:iCs/>
        </w:rPr>
        <w:t>The</w:t>
      </w:r>
      <w:r w:rsidR="00925428" w:rsidRPr="00C14D70">
        <w:rPr>
          <w:rFonts w:asciiTheme="majorBidi" w:hAnsiTheme="majorBidi" w:cstheme="majorBidi"/>
          <w:i/>
          <w:iCs/>
        </w:rPr>
        <w:t xml:space="preserve"> J</w:t>
      </w:r>
      <w:r w:rsidR="00AA0305" w:rsidRPr="00C14D70">
        <w:rPr>
          <w:rFonts w:asciiTheme="majorBidi" w:hAnsiTheme="majorBidi" w:cstheme="majorBidi"/>
          <w:i/>
          <w:iCs/>
        </w:rPr>
        <w:t xml:space="preserve">ournal of </w:t>
      </w:r>
      <w:r w:rsidR="00925428" w:rsidRPr="00C14D70">
        <w:rPr>
          <w:rFonts w:asciiTheme="majorBidi" w:hAnsiTheme="majorBidi" w:cstheme="majorBidi"/>
          <w:i/>
          <w:iCs/>
        </w:rPr>
        <w:t>N</w:t>
      </w:r>
      <w:r w:rsidR="00AA0305" w:rsidRPr="00C14D70">
        <w:rPr>
          <w:rFonts w:asciiTheme="majorBidi" w:hAnsiTheme="majorBidi" w:cstheme="majorBidi"/>
          <w:i/>
          <w:iCs/>
        </w:rPr>
        <w:t xml:space="preserve">utrition, </w:t>
      </w:r>
      <w:r w:rsidR="00925428" w:rsidRPr="00C14D70">
        <w:rPr>
          <w:rFonts w:asciiTheme="majorBidi" w:hAnsiTheme="majorBidi" w:cstheme="majorBidi"/>
          <w:i/>
          <w:iCs/>
        </w:rPr>
        <w:t>H</w:t>
      </w:r>
      <w:r w:rsidR="00AA0305" w:rsidRPr="00C14D70">
        <w:rPr>
          <w:rFonts w:asciiTheme="majorBidi" w:hAnsiTheme="majorBidi" w:cstheme="majorBidi"/>
          <w:i/>
          <w:iCs/>
        </w:rPr>
        <w:t>ealth &amp;</w:t>
      </w:r>
      <w:r>
        <w:rPr>
          <w:rFonts w:asciiTheme="majorBidi" w:hAnsiTheme="majorBidi" w:cstheme="majorBidi"/>
          <w:i/>
          <w:iCs/>
        </w:rPr>
        <w:t xml:space="preserve"> </w:t>
      </w:r>
      <w:r w:rsidR="00925428" w:rsidRPr="00C14D70">
        <w:rPr>
          <w:rFonts w:asciiTheme="majorBidi" w:hAnsiTheme="majorBidi" w:cstheme="majorBidi"/>
          <w:i/>
          <w:iCs/>
        </w:rPr>
        <w:t>A</w:t>
      </w:r>
      <w:r w:rsidR="00AA0305" w:rsidRPr="00C14D70">
        <w:rPr>
          <w:rFonts w:asciiTheme="majorBidi" w:hAnsiTheme="majorBidi" w:cstheme="majorBidi"/>
          <w:i/>
          <w:iCs/>
        </w:rPr>
        <w:t>ging</w:t>
      </w:r>
      <w:r w:rsidR="00AA0305" w:rsidRPr="00C14D70">
        <w:rPr>
          <w:rFonts w:asciiTheme="majorBidi" w:hAnsiTheme="majorBidi" w:cstheme="majorBidi"/>
        </w:rPr>
        <w:t>, 1-7.</w:t>
      </w:r>
      <w:r w:rsidR="00AA0305" w:rsidRPr="00C14D70">
        <w:rPr>
          <w:rFonts w:asciiTheme="majorBidi" w:hAnsiTheme="majorBidi" w:cstheme="majorBidi"/>
          <w:rtl/>
        </w:rPr>
        <w:t>‏</w:t>
      </w:r>
    </w:p>
    <w:p w14:paraId="48EEF7DC" w14:textId="61BF6B0A" w:rsidR="00DF3B4D" w:rsidRPr="0013022D" w:rsidRDefault="00DF3B4D" w:rsidP="00D61F07">
      <w:pPr>
        <w:spacing w:after="0" w:line="480" w:lineRule="auto"/>
        <w:ind w:left="720" w:hanging="720"/>
        <w:rPr>
          <w:rFonts w:asciiTheme="majorBidi" w:hAnsiTheme="majorBidi" w:cstheme="majorBidi"/>
        </w:rPr>
      </w:pPr>
      <w:r w:rsidRPr="0013022D">
        <w:rPr>
          <w:rFonts w:asciiTheme="majorBidi" w:hAnsiTheme="majorBidi" w:cstheme="majorBidi"/>
          <w:shd w:val="clear" w:color="auto" w:fill="FFFFFF"/>
        </w:rPr>
        <w:lastRenderedPageBreak/>
        <w:t xml:space="preserve">Inoue, T., </w:t>
      </w:r>
      <w:proofErr w:type="spellStart"/>
      <w:r w:rsidRPr="0013022D">
        <w:rPr>
          <w:rFonts w:asciiTheme="majorBidi" w:hAnsiTheme="majorBidi" w:cstheme="majorBidi"/>
          <w:shd w:val="clear" w:color="auto" w:fill="FFFFFF"/>
        </w:rPr>
        <w:t>Misu</w:t>
      </w:r>
      <w:proofErr w:type="spellEnd"/>
      <w:r w:rsidRPr="0013022D">
        <w:rPr>
          <w:rFonts w:asciiTheme="majorBidi" w:hAnsiTheme="majorBidi" w:cstheme="majorBidi"/>
          <w:shd w:val="clear" w:color="auto" w:fill="FFFFFF"/>
        </w:rPr>
        <w:t xml:space="preserve">, S., Tanaka, T., Sakamoto, H., Iwata, K., </w:t>
      </w:r>
      <w:proofErr w:type="spellStart"/>
      <w:r w:rsidRPr="0013022D">
        <w:rPr>
          <w:rFonts w:asciiTheme="majorBidi" w:hAnsiTheme="majorBidi" w:cstheme="majorBidi"/>
          <w:shd w:val="clear" w:color="auto" w:fill="FFFFFF"/>
        </w:rPr>
        <w:t>Chuman</w:t>
      </w:r>
      <w:proofErr w:type="spellEnd"/>
      <w:r w:rsidRPr="0013022D">
        <w:rPr>
          <w:rFonts w:asciiTheme="majorBidi" w:hAnsiTheme="majorBidi" w:cstheme="majorBidi"/>
          <w:shd w:val="clear" w:color="auto" w:fill="FFFFFF"/>
        </w:rPr>
        <w:t>, Y., &amp; Ono, R. (2017). Pre-fracture nutritional status is predictive of functional status at discharge during the acute phase with hip fracture patients: A multicenter prospective cohort study. </w:t>
      </w:r>
      <w:r w:rsidRPr="0013022D">
        <w:rPr>
          <w:rFonts w:asciiTheme="majorBidi" w:hAnsiTheme="majorBidi" w:cstheme="majorBidi"/>
          <w:i/>
          <w:iCs/>
          <w:shd w:val="clear" w:color="auto" w:fill="FFFFFF"/>
        </w:rPr>
        <w:t>Clinical Nutrition</w:t>
      </w:r>
      <w:r w:rsidRPr="0013022D">
        <w:rPr>
          <w:rFonts w:asciiTheme="majorBidi" w:hAnsiTheme="majorBidi" w:cstheme="majorBidi"/>
          <w:shd w:val="clear" w:color="auto" w:fill="FFFFFF"/>
        </w:rPr>
        <w:t>, </w:t>
      </w:r>
      <w:r w:rsidRPr="0013022D">
        <w:rPr>
          <w:rFonts w:asciiTheme="majorBidi" w:hAnsiTheme="majorBidi" w:cstheme="majorBidi"/>
          <w:i/>
          <w:iCs/>
          <w:shd w:val="clear" w:color="auto" w:fill="FFFFFF"/>
        </w:rPr>
        <w:t>36</w:t>
      </w:r>
      <w:r w:rsidRPr="0013022D">
        <w:rPr>
          <w:rFonts w:asciiTheme="majorBidi" w:hAnsiTheme="majorBidi" w:cstheme="majorBidi"/>
          <w:shd w:val="clear" w:color="auto" w:fill="FFFFFF"/>
        </w:rPr>
        <w:t>(5), 1320-1325.</w:t>
      </w:r>
    </w:p>
    <w:p w14:paraId="42DC60CC" w14:textId="0A487419" w:rsidR="00F95BF8" w:rsidRPr="00C14D70" w:rsidRDefault="00F95BF8" w:rsidP="003A6DDB">
      <w:pPr>
        <w:spacing w:after="0" w:line="480" w:lineRule="auto"/>
        <w:ind w:left="720" w:hanging="720"/>
        <w:rPr>
          <w:rFonts w:asciiTheme="majorBidi" w:hAnsiTheme="majorBidi" w:cstheme="majorBidi"/>
          <w:rtl/>
        </w:rPr>
      </w:pPr>
      <w:r w:rsidRPr="00C14D70">
        <w:rPr>
          <w:rFonts w:asciiTheme="majorBidi" w:hAnsiTheme="majorBidi" w:cstheme="majorBidi"/>
        </w:rPr>
        <w:t xml:space="preserve">James, B. D., Wilson, R. S., Capuano, A. W., Boyle, P. A., Shah, R. C., Lamar, M., Ely, E. W., Bennett, D. A., &amp; Schneider, J. A. (2019). Cognitive decline after elective and nonelective hospitalizations in older adults. </w:t>
      </w:r>
      <w:r w:rsidRPr="00C14D70">
        <w:rPr>
          <w:rFonts w:asciiTheme="majorBidi" w:hAnsiTheme="majorBidi" w:cstheme="majorBidi"/>
          <w:i/>
          <w:iCs/>
        </w:rPr>
        <w:t>Neurology</w:t>
      </w:r>
      <w:r w:rsidRPr="00C14D70">
        <w:rPr>
          <w:rFonts w:asciiTheme="majorBidi" w:hAnsiTheme="majorBidi" w:cstheme="majorBidi"/>
        </w:rPr>
        <w:t xml:space="preserve">, 92(7), e690–e699. </w:t>
      </w:r>
    </w:p>
    <w:p w14:paraId="1B7A44C2" w14:textId="77777777" w:rsidR="00775437" w:rsidRPr="00C14D70" w:rsidRDefault="00775437" w:rsidP="00D61F07">
      <w:pPr>
        <w:spacing w:after="0" w:line="480" w:lineRule="auto"/>
        <w:ind w:left="720" w:hanging="720"/>
        <w:rPr>
          <w:rFonts w:asciiTheme="majorBidi" w:hAnsiTheme="majorBidi" w:cstheme="majorBidi"/>
        </w:rPr>
      </w:pPr>
      <w:r w:rsidRPr="00C14D70">
        <w:rPr>
          <w:rFonts w:asciiTheme="majorBidi" w:hAnsiTheme="majorBidi" w:cstheme="majorBidi"/>
        </w:rPr>
        <w:t xml:space="preserve">Lawton, M. P., &amp; Brody, E. M. (1969). Assessment of older people: Self- maintaining and instrumental activities of daily living. </w:t>
      </w:r>
      <w:r w:rsidRPr="00C14D70">
        <w:rPr>
          <w:rFonts w:asciiTheme="majorBidi" w:hAnsiTheme="majorBidi" w:cstheme="majorBidi"/>
          <w:i/>
          <w:iCs/>
        </w:rPr>
        <w:t>Gerontologist</w:t>
      </w:r>
      <w:r w:rsidRPr="00C14D70">
        <w:rPr>
          <w:rFonts w:asciiTheme="majorBidi" w:hAnsiTheme="majorBidi" w:cstheme="majorBidi"/>
        </w:rPr>
        <w:t xml:space="preserve">, 9, 179-186. </w:t>
      </w:r>
    </w:p>
    <w:p w14:paraId="3CAC875D" w14:textId="4547E216" w:rsidR="00515674" w:rsidRPr="00C14D70" w:rsidRDefault="00515674" w:rsidP="00D61F07">
      <w:pPr>
        <w:spacing w:after="0" w:line="480" w:lineRule="auto"/>
        <w:ind w:left="720" w:hanging="720"/>
        <w:rPr>
          <w:rFonts w:asciiTheme="majorBidi" w:hAnsiTheme="majorBidi" w:cstheme="majorBidi"/>
        </w:rPr>
      </w:pPr>
      <w:proofErr w:type="spellStart"/>
      <w:r w:rsidRPr="00C14D70">
        <w:rPr>
          <w:rFonts w:asciiTheme="majorBidi" w:hAnsiTheme="majorBidi" w:cstheme="majorBidi"/>
        </w:rPr>
        <w:t>Mabire</w:t>
      </w:r>
      <w:proofErr w:type="spellEnd"/>
      <w:r w:rsidRPr="00C14D70">
        <w:rPr>
          <w:rFonts w:asciiTheme="majorBidi" w:hAnsiTheme="majorBidi" w:cstheme="majorBidi"/>
        </w:rPr>
        <w:t xml:space="preserve">, C., Coffey, A., &amp; Weiss, M. (2015). Readiness for Hospital Discharge Scale for older </w:t>
      </w:r>
      <w:r w:rsidRPr="00C14D70">
        <w:rPr>
          <w:rFonts w:asciiTheme="majorBidi" w:hAnsiTheme="majorBidi" w:cstheme="majorBidi"/>
          <w:cs/>
        </w:rPr>
        <w:t>‎</w:t>
      </w:r>
      <w:r w:rsidRPr="00C14D70">
        <w:rPr>
          <w:rFonts w:asciiTheme="majorBidi" w:hAnsiTheme="majorBidi" w:cstheme="majorBidi"/>
        </w:rPr>
        <w:t xml:space="preserve">people: psychometric testing and short form development with a </w:t>
      </w:r>
      <w:proofErr w:type="gramStart"/>
      <w:r w:rsidRPr="00C14D70">
        <w:rPr>
          <w:rFonts w:asciiTheme="majorBidi" w:hAnsiTheme="majorBidi" w:cstheme="majorBidi"/>
        </w:rPr>
        <w:t>three country</w:t>
      </w:r>
      <w:proofErr w:type="gramEnd"/>
      <w:r w:rsidRPr="00C14D70">
        <w:rPr>
          <w:rFonts w:asciiTheme="majorBidi" w:hAnsiTheme="majorBidi" w:cstheme="majorBidi"/>
        </w:rPr>
        <w:t xml:space="preserve"> sample. </w:t>
      </w:r>
      <w:r w:rsidRPr="00C14D70">
        <w:rPr>
          <w:rFonts w:asciiTheme="majorBidi" w:hAnsiTheme="majorBidi" w:cstheme="majorBidi"/>
          <w:i/>
          <w:iCs/>
        </w:rPr>
        <w:t xml:space="preserve">Journal </w:t>
      </w:r>
      <w:r w:rsidRPr="00C14D70">
        <w:rPr>
          <w:rFonts w:asciiTheme="majorBidi" w:hAnsiTheme="majorBidi" w:cstheme="majorBidi"/>
          <w:i/>
          <w:iCs/>
          <w:cs/>
        </w:rPr>
        <w:t>‎</w:t>
      </w:r>
      <w:r w:rsidR="00B72411">
        <w:rPr>
          <w:rFonts w:asciiTheme="majorBidi" w:hAnsiTheme="majorBidi" w:cstheme="majorBidi"/>
          <w:i/>
          <w:iCs/>
        </w:rPr>
        <w:t>o</w:t>
      </w:r>
      <w:r w:rsidRPr="00C14D70">
        <w:rPr>
          <w:rFonts w:asciiTheme="majorBidi" w:hAnsiTheme="majorBidi" w:cstheme="majorBidi"/>
          <w:i/>
          <w:iCs/>
        </w:rPr>
        <w:t>f Advanced Nursing</w:t>
      </w:r>
      <w:r w:rsidRPr="00C14D70">
        <w:rPr>
          <w:rFonts w:asciiTheme="majorBidi" w:hAnsiTheme="majorBidi" w:cstheme="majorBidi"/>
        </w:rPr>
        <w:t>, 71(11), 2686-2696. doi:10.1111/jan.12731</w:t>
      </w:r>
      <w:r w:rsidRPr="00C14D70">
        <w:rPr>
          <w:rFonts w:asciiTheme="majorBidi" w:hAnsiTheme="majorBidi" w:cstheme="majorBidi"/>
          <w:cs/>
        </w:rPr>
        <w:t>‎</w:t>
      </w:r>
    </w:p>
    <w:p w14:paraId="41D1E02A" w14:textId="77777777" w:rsidR="00775437" w:rsidRPr="00C14D70" w:rsidRDefault="00775437" w:rsidP="00D61F07">
      <w:pPr>
        <w:spacing w:after="0" w:line="480" w:lineRule="auto"/>
        <w:ind w:left="720" w:hanging="720"/>
        <w:rPr>
          <w:rFonts w:asciiTheme="majorBidi" w:hAnsiTheme="majorBidi" w:cstheme="majorBidi"/>
        </w:rPr>
      </w:pPr>
      <w:r w:rsidRPr="00C14D70">
        <w:rPr>
          <w:rFonts w:asciiTheme="majorBidi" w:hAnsiTheme="majorBidi" w:cstheme="majorBidi"/>
        </w:rPr>
        <w:t xml:space="preserve">Mahoney, F. I., &amp; Barthel, D. W. (1965). Functional evaluation: The Barthel Index. </w:t>
      </w:r>
      <w:r w:rsidRPr="00C14D70">
        <w:rPr>
          <w:rFonts w:asciiTheme="majorBidi" w:hAnsiTheme="majorBidi" w:cstheme="majorBidi"/>
          <w:i/>
          <w:iCs/>
        </w:rPr>
        <w:t>Maryland State Medical Journal</w:t>
      </w:r>
      <w:r w:rsidRPr="00C14D70">
        <w:rPr>
          <w:rFonts w:asciiTheme="majorBidi" w:hAnsiTheme="majorBidi" w:cstheme="majorBidi"/>
        </w:rPr>
        <w:t>, 14, 61–65.</w:t>
      </w:r>
    </w:p>
    <w:p w14:paraId="2B917BE2" w14:textId="189A9ECD" w:rsidR="00775437" w:rsidRPr="00C14D70" w:rsidRDefault="00775437" w:rsidP="00D61F07">
      <w:pPr>
        <w:spacing w:after="0" w:line="480" w:lineRule="auto"/>
        <w:ind w:left="720" w:hanging="720"/>
        <w:rPr>
          <w:rFonts w:asciiTheme="majorBidi" w:hAnsiTheme="majorBidi" w:cstheme="majorBidi"/>
        </w:rPr>
      </w:pPr>
      <w:proofErr w:type="spellStart"/>
      <w:r w:rsidRPr="00C14D70">
        <w:rPr>
          <w:rFonts w:asciiTheme="majorBidi" w:hAnsiTheme="majorBidi" w:cstheme="majorBidi"/>
        </w:rPr>
        <w:t>Mansbach</w:t>
      </w:r>
      <w:proofErr w:type="spellEnd"/>
      <w:r w:rsidRPr="00C14D70">
        <w:rPr>
          <w:rFonts w:asciiTheme="majorBidi" w:hAnsiTheme="majorBidi" w:cstheme="majorBidi"/>
        </w:rPr>
        <w:t xml:space="preserve">, W. E., MacDougall, E. E., Clark, K. M., &amp; Mace, R. A. (2014). Preliminary investigation of the Kitchen Picture Test (KPT): A new screening test of practical judgment for older adults. </w:t>
      </w:r>
      <w:r w:rsidRPr="00C14D70">
        <w:rPr>
          <w:rFonts w:asciiTheme="majorBidi" w:hAnsiTheme="majorBidi" w:cstheme="majorBidi"/>
          <w:i/>
          <w:iCs/>
        </w:rPr>
        <w:t>Aging, Neuropsychology, and Cognition</w:t>
      </w:r>
      <w:r w:rsidRPr="00C14D70">
        <w:rPr>
          <w:rFonts w:asciiTheme="majorBidi" w:hAnsiTheme="majorBidi" w:cstheme="majorBidi"/>
        </w:rPr>
        <w:t>, 21(6), 674-692</w:t>
      </w:r>
      <w:r w:rsidR="003A6DDB">
        <w:rPr>
          <w:rFonts w:asciiTheme="majorBidi" w:hAnsiTheme="majorBidi" w:cstheme="majorBidi"/>
        </w:rPr>
        <w:t>.</w:t>
      </w:r>
    </w:p>
    <w:p w14:paraId="074A51AA" w14:textId="77777777" w:rsidR="006F5467" w:rsidRPr="00C14D70" w:rsidRDefault="006F5467" w:rsidP="00D61F07">
      <w:pPr>
        <w:spacing w:after="0" w:line="480" w:lineRule="auto"/>
        <w:ind w:left="720" w:hanging="720"/>
        <w:rPr>
          <w:rFonts w:asciiTheme="majorBidi" w:hAnsiTheme="majorBidi" w:cstheme="majorBidi"/>
        </w:rPr>
      </w:pPr>
      <w:proofErr w:type="spellStart"/>
      <w:r w:rsidRPr="00C14D70">
        <w:rPr>
          <w:rFonts w:asciiTheme="majorBidi" w:hAnsiTheme="majorBidi" w:cstheme="majorBidi"/>
        </w:rPr>
        <w:t>Mansbach</w:t>
      </w:r>
      <w:proofErr w:type="spellEnd"/>
      <w:r w:rsidRPr="00C14D70">
        <w:rPr>
          <w:rFonts w:asciiTheme="majorBidi" w:hAnsiTheme="majorBidi" w:cstheme="majorBidi"/>
        </w:rPr>
        <w:t xml:space="preserve">, W.E., &amp; Tanner, M.A., &amp; Schindler, F. (2018). Verbal test of practical judgment (VPJ): a new test of judgment that predicts functional skills for older adults. </w:t>
      </w:r>
      <w:r w:rsidRPr="00C14D70">
        <w:rPr>
          <w:rFonts w:asciiTheme="majorBidi" w:hAnsiTheme="majorBidi" w:cstheme="majorBidi"/>
          <w:i/>
          <w:iCs/>
        </w:rPr>
        <w:t xml:space="preserve">Aging &amp; Mental Health. </w:t>
      </w:r>
      <w:r w:rsidRPr="00C14D70">
        <w:rPr>
          <w:rFonts w:asciiTheme="majorBidi" w:hAnsiTheme="majorBidi" w:cstheme="majorBidi"/>
        </w:rPr>
        <w:t>23. 1-9. 10.1080/13607863.2018.1450838.</w:t>
      </w:r>
    </w:p>
    <w:p w14:paraId="2B9872F2" w14:textId="7ECAEF64" w:rsidR="003F3C83" w:rsidRPr="003A6DDB" w:rsidRDefault="003F3C83" w:rsidP="003A6DDB">
      <w:pPr>
        <w:spacing w:line="480" w:lineRule="auto"/>
        <w:ind w:left="720" w:hanging="720"/>
        <w:contextualSpacing/>
        <w:rPr>
          <w:rFonts w:ascii="David" w:hAnsi="David"/>
          <w:rtl/>
        </w:rPr>
      </w:pPr>
      <w:r w:rsidRPr="006F0578">
        <w:rPr>
          <w:rFonts w:ascii="David" w:hAnsi="David"/>
        </w:rPr>
        <w:t xml:space="preserve">Moore, D. J., Moseley, S., &amp; Palmer, B. W. (2008). The clinical usefulness of performance-based assessments of daily functioning for older adults. </w:t>
      </w:r>
      <w:r w:rsidRPr="003F3C83">
        <w:rPr>
          <w:rFonts w:asciiTheme="majorBidi" w:hAnsiTheme="majorBidi" w:cstheme="majorBidi"/>
          <w:i/>
          <w:iCs/>
        </w:rPr>
        <w:t>Geriatrics, 63</w:t>
      </w:r>
      <w:r w:rsidRPr="003F3C83">
        <w:rPr>
          <w:rFonts w:asciiTheme="majorBidi" w:hAnsiTheme="majorBidi" w:cstheme="majorBidi"/>
        </w:rPr>
        <w:t>(9), 16</w:t>
      </w:r>
      <w:r w:rsidRPr="006F0578">
        <w:rPr>
          <w:rFonts w:ascii="David" w:hAnsi="David"/>
        </w:rPr>
        <w:t>-20.</w:t>
      </w:r>
    </w:p>
    <w:p w14:paraId="17078CB9" w14:textId="3FC1CD67" w:rsidR="009C460C" w:rsidRPr="00C14D70" w:rsidRDefault="009C460C" w:rsidP="003A6DDB">
      <w:pPr>
        <w:spacing w:after="0" w:line="480" w:lineRule="auto"/>
        <w:ind w:left="720" w:hanging="720"/>
        <w:rPr>
          <w:rFonts w:asciiTheme="majorBidi" w:hAnsiTheme="majorBidi" w:cstheme="majorBidi"/>
        </w:rPr>
      </w:pPr>
      <w:proofErr w:type="spellStart"/>
      <w:r w:rsidRPr="00C14D70">
        <w:rPr>
          <w:rFonts w:asciiTheme="majorBidi" w:hAnsiTheme="majorBidi" w:cstheme="majorBidi"/>
        </w:rPr>
        <w:t>Naseri</w:t>
      </w:r>
      <w:proofErr w:type="spellEnd"/>
      <w:r w:rsidRPr="00C14D70">
        <w:rPr>
          <w:rFonts w:asciiTheme="majorBidi" w:hAnsiTheme="majorBidi" w:cstheme="majorBidi"/>
        </w:rPr>
        <w:t xml:space="preserve">, C., McPhail, S. M., Haines, T. P., Morris, M. E., </w:t>
      </w:r>
      <w:proofErr w:type="spellStart"/>
      <w:r w:rsidRPr="00C14D70">
        <w:rPr>
          <w:rFonts w:asciiTheme="majorBidi" w:hAnsiTheme="majorBidi" w:cstheme="majorBidi"/>
        </w:rPr>
        <w:t>Shorr</w:t>
      </w:r>
      <w:proofErr w:type="spellEnd"/>
      <w:r w:rsidRPr="00C14D70">
        <w:rPr>
          <w:rFonts w:asciiTheme="majorBidi" w:hAnsiTheme="majorBidi" w:cstheme="majorBidi"/>
        </w:rPr>
        <w:t xml:space="preserve">, R., </w:t>
      </w:r>
      <w:proofErr w:type="spellStart"/>
      <w:r w:rsidRPr="00C14D70">
        <w:rPr>
          <w:rFonts w:asciiTheme="majorBidi" w:hAnsiTheme="majorBidi" w:cstheme="majorBidi"/>
        </w:rPr>
        <w:t>Etherton</w:t>
      </w:r>
      <w:proofErr w:type="spellEnd"/>
      <w:r w:rsidRPr="00C14D70">
        <w:rPr>
          <w:rFonts w:asciiTheme="majorBidi" w:hAnsiTheme="majorBidi" w:cstheme="majorBidi"/>
        </w:rPr>
        <w:t xml:space="preserve">-Beer, C., </w:t>
      </w:r>
      <w:proofErr w:type="spellStart"/>
      <w:r w:rsidRPr="00C14D70">
        <w:rPr>
          <w:rFonts w:asciiTheme="majorBidi" w:hAnsiTheme="majorBidi" w:cstheme="majorBidi"/>
        </w:rPr>
        <w:t>Netto</w:t>
      </w:r>
      <w:proofErr w:type="spellEnd"/>
      <w:r w:rsidRPr="00C14D70">
        <w:rPr>
          <w:rFonts w:asciiTheme="majorBidi" w:hAnsiTheme="majorBidi" w:cstheme="majorBidi"/>
        </w:rPr>
        <w:t xml:space="preserve">, J., Flicker, L., Bulsara, M., Lee, D.-C. A., Francis-Coad, J., Waldron, N., </w:t>
      </w:r>
      <w:proofErr w:type="spellStart"/>
      <w:r w:rsidRPr="00C14D70">
        <w:rPr>
          <w:rFonts w:asciiTheme="majorBidi" w:hAnsiTheme="majorBidi" w:cstheme="majorBidi"/>
        </w:rPr>
        <w:t>Boudville</w:t>
      </w:r>
      <w:proofErr w:type="spellEnd"/>
      <w:r w:rsidRPr="00C14D70">
        <w:rPr>
          <w:rFonts w:asciiTheme="majorBidi" w:hAnsiTheme="majorBidi" w:cstheme="majorBidi"/>
        </w:rPr>
        <w:t xml:space="preserve">, A., &amp; </w:t>
      </w:r>
      <w:r w:rsidRPr="00C14D70">
        <w:rPr>
          <w:rFonts w:asciiTheme="majorBidi" w:hAnsiTheme="majorBidi" w:cstheme="majorBidi"/>
        </w:rPr>
        <w:lastRenderedPageBreak/>
        <w:t>Hill, A.-M. (</w:t>
      </w:r>
      <w:r w:rsidR="00AA0305" w:rsidRPr="00C14D70">
        <w:rPr>
          <w:rFonts w:asciiTheme="majorBidi" w:hAnsiTheme="majorBidi" w:cstheme="majorBidi"/>
        </w:rPr>
        <w:t>2020</w:t>
      </w:r>
      <w:r w:rsidRPr="00C14D70">
        <w:rPr>
          <w:rFonts w:asciiTheme="majorBidi" w:hAnsiTheme="majorBidi" w:cstheme="majorBidi"/>
        </w:rPr>
        <w:t xml:space="preserve">). Perspectives of older adults regarding barriers and enablers to engaging in fall prevention activities after hospital discharge. </w:t>
      </w:r>
      <w:r w:rsidR="00EF1095">
        <w:rPr>
          <w:rFonts w:asciiTheme="majorBidi" w:hAnsiTheme="majorBidi" w:cstheme="majorBidi"/>
          <w:i/>
          <w:iCs/>
        </w:rPr>
        <w:t>H</w:t>
      </w:r>
      <w:r w:rsidR="00EF1095" w:rsidRPr="00C14D70">
        <w:rPr>
          <w:rFonts w:asciiTheme="majorBidi" w:hAnsiTheme="majorBidi" w:cstheme="majorBidi"/>
          <w:i/>
          <w:iCs/>
        </w:rPr>
        <w:t>ealth &amp; social care in the community</w:t>
      </w:r>
      <w:r w:rsidR="00EF1095" w:rsidRPr="00C14D70">
        <w:rPr>
          <w:rFonts w:asciiTheme="majorBidi" w:hAnsiTheme="majorBidi" w:cstheme="majorBidi"/>
        </w:rPr>
        <w:t>.</w:t>
      </w:r>
      <w:r w:rsidRPr="00C14D70">
        <w:rPr>
          <w:rFonts w:asciiTheme="majorBidi" w:hAnsiTheme="majorBidi" w:cstheme="majorBidi"/>
        </w:rPr>
        <w:t xml:space="preserve"> </w:t>
      </w:r>
    </w:p>
    <w:p w14:paraId="183204B1" w14:textId="0A30D4E1" w:rsidR="003C3FBE" w:rsidRPr="00C14D70" w:rsidRDefault="003C3FBE" w:rsidP="003A6DDB">
      <w:pPr>
        <w:spacing w:after="0" w:line="480" w:lineRule="auto"/>
        <w:ind w:left="720" w:hanging="720"/>
        <w:rPr>
          <w:rStyle w:val="Hyperlink"/>
          <w:rFonts w:asciiTheme="majorBidi" w:hAnsiTheme="majorBidi" w:cstheme="majorBidi"/>
        </w:rPr>
      </w:pPr>
      <w:r w:rsidRPr="00C14D70">
        <w:rPr>
          <w:rFonts w:asciiTheme="majorBidi" w:hAnsiTheme="majorBidi" w:cstheme="majorBidi"/>
        </w:rPr>
        <w:t xml:space="preserve">Provencher V., Clemson, L., Wales, K., Cameron, I. D., Gitlin, L. N., </w:t>
      </w:r>
      <w:proofErr w:type="spellStart"/>
      <w:r w:rsidRPr="00C14D70">
        <w:rPr>
          <w:rFonts w:asciiTheme="majorBidi" w:hAnsiTheme="majorBidi" w:cstheme="majorBidi"/>
        </w:rPr>
        <w:t>Grenier</w:t>
      </w:r>
      <w:proofErr w:type="spellEnd"/>
      <w:r w:rsidRPr="00C14D70">
        <w:rPr>
          <w:rFonts w:asciiTheme="majorBidi" w:hAnsiTheme="majorBidi" w:cstheme="majorBidi"/>
        </w:rPr>
        <w:t>, A., &amp;</w:t>
      </w:r>
      <w:r w:rsidR="006607D8">
        <w:rPr>
          <w:rFonts w:asciiTheme="majorBidi" w:hAnsiTheme="majorBidi" w:cstheme="majorBidi"/>
        </w:rPr>
        <w:t xml:space="preserve"> </w:t>
      </w:r>
      <w:proofErr w:type="spellStart"/>
      <w:r w:rsidRPr="00C14D70">
        <w:rPr>
          <w:rFonts w:asciiTheme="majorBidi" w:hAnsiTheme="majorBidi" w:cstheme="majorBidi"/>
        </w:rPr>
        <w:t>Lannin</w:t>
      </w:r>
      <w:proofErr w:type="spellEnd"/>
      <w:r w:rsidRPr="00C14D70">
        <w:rPr>
          <w:rFonts w:asciiTheme="majorBidi" w:hAnsiTheme="majorBidi" w:cstheme="majorBidi"/>
        </w:rPr>
        <w:t xml:space="preserve">, N. A. (2020). Supporting at-risk older adults transitioning from hospital to home: who benefits from an evidence-based patient-centered discharge planning intervention? Post-hoc analysis from a randomized trial. </w:t>
      </w:r>
      <w:r w:rsidRPr="00C14D70">
        <w:rPr>
          <w:rFonts w:asciiTheme="majorBidi" w:hAnsiTheme="majorBidi" w:cstheme="majorBidi"/>
          <w:i/>
          <w:iCs/>
        </w:rPr>
        <w:t>BMC Geriatrics</w:t>
      </w:r>
      <w:r w:rsidRPr="00C14D70">
        <w:rPr>
          <w:rFonts w:asciiTheme="majorBidi" w:hAnsiTheme="majorBidi" w:cstheme="majorBidi"/>
        </w:rPr>
        <w:t xml:space="preserve">, 20(1), 1–10. </w:t>
      </w:r>
    </w:p>
    <w:p w14:paraId="751E1F40" w14:textId="021D3F7F" w:rsidR="00441811" w:rsidRPr="00C14D70" w:rsidRDefault="00441811" w:rsidP="00D61F07">
      <w:pPr>
        <w:spacing w:after="0" w:line="480" w:lineRule="auto"/>
        <w:ind w:left="720" w:hanging="720"/>
        <w:rPr>
          <w:rFonts w:asciiTheme="majorBidi" w:hAnsiTheme="majorBidi" w:cstheme="majorBidi"/>
          <w:color w:val="222222"/>
          <w:shd w:val="clear" w:color="auto" w:fill="FFFFFF"/>
        </w:rPr>
      </w:pPr>
      <w:r w:rsidRPr="00C14D70">
        <w:rPr>
          <w:rFonts w:asciiTheme="majorBidi" w:hAnsiTheme="majorBidi" w:cstheme="majorBidi"/>
          <w:color w:val="222222"/>
          <w:shd w:val="clear" w:color="auto" w:fill="FFFFFF"/>
        </w:rPr>
        <w:t>Roberts, P., Robinson, M., Furniss, J., &amp; Metzler, C. (2020). Occupational therapy’s value in provision of quality care to prevent readmissions. </w:t>
      </w:r>
      <w:r w:rsidRPr="00C14D70">
        <w:rPr>
          <w:rFonts w:asciiTheme="majorBidi" w:hAnsiTheme="majorBidi" w:cstheme="majorBidi"/>
          <w:i/>
          <w:iCs/>
          <w:color w:val="222222"/>
          <w:shd w:val="clear" w:color="auto" w:fill="FFFFFF"/>
        </w:rPr>
        <w:t>American Journal of Occupational Therapy</w:t>
      </w:r>
      <w:r w:rsidRPr="00C14D70">
        <w:rPr>
          <w:rFonts w:asciiTheme="majorBidi" w:hAnsiTheme="majorBidi" w:cstheme="majorBidi"/>
          <w:color w:val="222222"/>
          <w:shd w:val="clear" w:color="auto" w:fill="FFFFFF"/>
        </w:rPr>
        <w:t>, </w:t>
      </w:r>
      <w:r w:rsidRPr="00C14D70">
        <w:rPr>
          <w:rFonts w:asciiTheme="majorBidi" w:hAnsiTheme="majorBidi" w:cstheme="majorBidi"/>
          <w:i/>
          <w:iCs/>
          <w:color w:val="222222"/>
          <w:shd w:val="clear" w:color="auto" w:fill="FFFFFF"/>
        </w:rPr>
        <w:t>74</w:t>
      </w:r>
      <w:r w:rsidRPr="00C14D70">
        <w:rPr>
          <w:rFonts w:asciiTheme="majorBidi" w:hAnsiTheme="majorBidi" w:cstheme="majorBidi"/>
          <w:color w:val="222222"/>
          <w:shd w:val="clear" w:color="auto" w:fill="FFFFFF"/>
        </w:rPr>
        <w:t>(3), 7403090010p1-7403090010p9.</w:t>
      </w:r>
    </w:p>
    <w:p w14:paraId="231C3AAE" w14:textId="77777777" w:rsidR="009A322D" w:rsidRDefault="00BE0319" w:rsidP="00D61F07">
      <w:pPr>
        <w:spacing w:after="0" w:line="480" w:lineRule="auto"/>
        <w:ind w:left="720" w:hanging="720"/>
        <w:rPr>
          <w:rFonts w:asciiTheme="majorBidi" w:hAnsiTheme="majorBidi" w:cstheme="majorBidi"/>
          <w:color w:val="222222"/>
          <w:shd w:val="clear" w:color="auto" w:fill="FFFFFF"/>
        </w:rPr>
      </w:pPr>
      <w:r w:rsidRPr="00C14D70">
        <w:rPr>
          <w:rFonts w:asciiTheme="majorBidi" w:hAnsiTheme="majorBidi" w:cstheme="majorBidi"/>
          <w:color w:val="222222"/>
          <w:shd w:val="clear" w:color="auto" w:fill="FFFFFF"/>
        </w:rPr>
        <w:t>Rogers, A. T., Bai, G., Lavin, R. A., &amp; Anderson, G. F. (2017). Higher hospital spending on occupational therapy is associated with lower readmission rates. </w:t>
      </w:r>
      <w:r w:rsidRPr="00C14D70">
        <w:rPr>
          <w:rFonts w:asciiTheme="majorBidi" w:hAnsiTheme="majorBidi" w:cstheme="majorBidi"/>
          <w:i/>
          <w:iCs/>
          <w:color w:val="222222"/>
          <w:shd w:val="clear" w:color="auto" w:fill="FFFFFF"/>
        </w:rPr>
        <w:t>Medical Care Research and Review</w:t>
      </w:r>
      <w:r w:rsidRPr="00C14D70">
        <w:rPr>
          <w:rFonts w:asciiTheme="majorBidi" w:hAnsiTheme="majorBidi" w:cstheme="majorBidi"/>
          <w:color w:val="222222"/>
          <w:shd w:val="clear" w:color="auto" w:fill="FFFFFF"/>
        </w:rPr>
        <w:t>, </w:t>
      </w:r>
      <w:r w:rsidRPr="00C14D70">
        <w:rPr>
          <w:rFonts w:asciiTheme="majorBidi" w:hAnsiTheme="majorBidi" w:cstheme="majorBidi"/>
          <w:i/>
          <w:iCs/>
          <w:color w:val="222222"/>
          <w:shd w:val="clear" w:color="auto" w:fill="FFFFFF"/>
        </w:rPr>
        <w:t>74</w:t>
      </w:r>
      <w:r w:rsidRPr="00C14D70">
        <w:rPr>
          <w:rFonts w:asciiTheme="majorBidi" w:hAnsiTheme="majorBidi" w:cstheme="majorBidi"/>
          <w:color w:val="222222"/>
          <w:shd w:val="clear" w:color="auto" w:fill="FFFFFF"/>
        </w:rPr>
        <w:t>(6), 668-686.</w:t>
      </w:r>
    </w:p>
    <w:p w14:paraId="005BB12C" w14:textId="0123E420" w:rsidR="00C14D70" w:rsidRDefault="006607D8" w:rsidP="00D61F07">
      <w:pPr>
        <w:spacing w:after="0" w:line="480" w:lineRule="auto"/>
        <w:ind w:left="720" w:hanging="720"/>
        <w:rPr>
          <w:rFonts w:asciiTheme="majorBidi" w:hAnsiTheme="majorBidi" w:cstheme="majorBidi"/>
          <w:color w:val="222222"/>
          <w:shd w:val="clear" w:color="auto" w:fill="FFFFFF"/>
        </w:rPr>
      </w:pPr>
      <w:r w:rsidRPr="006607D8">
        <w:rPr>
          <w:rFonts w:asciiTheme="majorBidi" w:hAnsiTheme="majorBidi" w:cstheme="majorBidi"/>
          <w:color w:val="222222"/>
          <w:shd w:val="clear" w:color="auto" w:fill="FFFFFF"/>
        </w:rPr>
        <w:t xml:space="preserve">Schaefer, M.S., Hammer, M., </w:t>
      </w:r>
      <w:proofErr w:type="spellStart"/>
      <w:r w:rsidRPr="006607D8">
        <w:rPr>
          <w:rFonts w:asciiTheme="majorBidi" w:hAnsiTheme="majorBidi" w:cstheme="majorBidi"/>
          <w:color w:val="222222"/>
          <w:shd w:val="clear" w:color="auto" w:fill="FFFFFF"/>
        </w:rPr>
        <w:t>Platzbecker</w:t>
      </w:r>
      <w:proofErr w:type="spellEnd"/>
      <w:r w:rsidRPr="006607D8">
        <w:rPr>
          <w:rFonts w:asciiTheme="majorBidi" w:hAnsiTheme="majorBidi" w:cstheme="majorBidi"/>
          <w:color w:val="222222"/>
          <w:shd w:val="clear" w:color="auto" w:fill="FFFFFF"/>
        </w:rPr>
        <w:t xml:space="preserve">, K., </w:t>
      </w:r>
      <w:proofErr w:type="spellStart"/>
      <w:r w:rsidRPr="006607D8">
        <w:rPr>
          <w:rFonts w:asciiTheme="majorBidi" w:hAnsiTheme="majorBidi" w:cstheme="majorBidi"/>
          <w:color w:val="222222"/>
          <w:shd w:val="clear" w:color="auto" w:fill="FFFFFF"/>
        </w:rPr>
        <w:t>Santer</w:t>
      </w:r>
      <w:proofErr w:type="spellEnd"/>
      <w:r w:rsidRPr="006607D8">
        <w:rPr>
          <w:rFonts w:asciiTheme="majorBidi" w:hAnsiTheme="majorBidi" w:cstheme="majorBidi"/>
          <w:color w:val="222222"/>
          <w:shd w:val="clear" w:color="auto" w:fill="FFFFFF"/>
        </w:rPr>
        <w:t xml:space="preserve">, P., </w:t>
      </w:r>
      <w:proofErr w:type="spellStart"/>
      <w:r w:rsidRPr="006607D8">
        <w:rPr>
          <w:rFonts w:asciiTheme="majorBidi" w:hAnsiTheme="majorBidi" w:cstheme="majorBidi"/>
          <w:color w:val="222222"/>
          <w:shd w:val="clear" w:color="auto" w:fill="FFFFFF"/>
        </w:rPr>
        <w:t>Grabitz</w:t>
      </w:r>
      <w:proofErr w:type="spellEnd"/>
      <w:r w:rsidRPr="006607D8">
        <w:rPr>
          <w:rFonts w:asciiTheme="majorBidi" w:hAnsiTheme="majorBidi" w:cstheme="majorBidi"/>
          <w:color w:val="222222"/>
          <w:shd w:val="clear" w:color="auto" w:fill="FFFFFF"/>
        </w:rPr>
        <w:t xml:space="preserve">, S.D., </w:t>
      </w:r>
      <w:proofErr w:type="spellStart"/>
      <w:r w:rsidRPr="006607D8">
        <w:rPr>
          <w:rFonts w:asciiTheme="majorBidi" w:hAnsiTheme="majorBidi" w:cstheme="majorBidi"/>
          <w:color w:val="222222"/>
          <w:shd w:val="clear" w:color="auto" w:fill="FFFFFF"/>
        </w:rPr>
        <w:t>Murugappan</w:t>
      </w:r>
      <w:proofErr w:type="spellEnd"/>
      <w:r w:rsidRPr="006607D8">
        <w:rPr>
          <w:rFonts w:asciiTheme="majorBidi" w:hAnsiTheme="majorBidi" w:cstheme="majorBidi"/>
          <w:color w:val="222222"/>
          <w:shd w:val="clear" w:color="auto" w:fill="FFFFFF"/>
        </w:rPr>
        <w:t xml:space="preserve">, K.R., Houle, T., Barnett, S., Rodriguez, E.K. </w:t>
      </w:r>
      <w:proofErr w:type="gramStart"/>
      <w:r>
        <w:rPr>
          <w:rFonts w:asciiTheme="majorBidi" w:hAnsiTheme="majorBidi" w:cstheme="majorBidi"/>
          <w:color w:val="222222"/>
          <w:shd w:val="clear" w:color="auto" w:fill="FFFFFF"/>
        </w:rPr>
        <w:t xml:space="preserve">&amp; </w:t>
      </w:r>
      <w:r w:rsidRPr="006607D8">
        <w:rPr>
          <w:rFonts w:asciiTheme="majorBidi" w:hAnsiTheme="majorBidi" w:cstheme="majorBidi"/>
          <w:color w:val="222222"/>
          <w:shd w:val="clear" w:color="auto" w:fill="FFFFFF"/>
        </w:rPr>
        <w:t xml:space="preserve"> </w:t>
      </w:r>
      <w:proofErr w:type="spellStart"/>
      <w:r w:rsidRPr="006607D8">
        <w:rPr>
          <w:rFonts w:asciiTheme="majorBidi" w:hAnsiTheme="majorBidi" w:cstheme="majorBidi"/>
          <w:color w:val="222222"/>
          <w:shd w:val="clear" w:color="auto" w:fill="FFFFFF"/>
        </w:rPr>
        <w:t>Eikermann</w:t>
      </w:r>
      <w:proofErr w:type="spellEnd"/>
      <w:proofErr w:type="gramEnd"/>
      <w:r w:rsidRPr="006607D8">
        <w:rPr>
          <w:rFonts w:asciiTheme="majorBidi" w:hAnsiTheme="majorBidi" w:cstheme="majorBidi"/>
          <w:color w:val="222222"/>
          <w:shd w:val="clear" w:color="auto" w:fill="FFFFFF"/>
        </w:rPr>
        <w:t xml:space="preserve">, M. </w:t>
      </w:r>
      <w:r w:rsidR="00C14D70" w:rsidRPr="00C14D70">
        <w:rPr>
          <w:rFonts w:asciiTheme="majorBidi" w:hAnsiTheme="majorBidi" w:cstheme="majorBidi"/>
          <w:color w:val="222222"/>
          <w:shd w:val="clear" w:color="auto" w:fill="FFFFFF"/>
        </w:rPr>
        <w:t>(2021). What factors predict adverse discharge disposition in patients older than 60 years undergoing lower-extremity surgery? The adverse discharge in older patients after lower-extremity surgery (ADELES) risk score. </w:t>
      </w:r>
      <w:r w:rsidR="00C14D70" w:rsidRPr="00C14D70">
        <w:rPr>
          <w:rFonts w:asciiTheme="majorBidi" w:hAnsiTheme="majorBidi" w:cstheme="majorBidi"/>
          <w:i/>
          <w:iCs/>
          <w:color w:val="222222"/>
          <w:shd w:val="clear" w:color="auto" w:fill="FFFFFF"/>
        </w:rPr>
        <w:t xml:space="preserve">Clinical </w:t>
      </w:r>
      <w:proofErr w:type="spellStart"/>
      <w:r w:rsidR="00C14D70" w:rsidRPr="00C14D70">
        <w:rPr>
          <w:rFonts w:asciiTheme="majorBidi" w:hAnsiTheme="majorBidi" w:cstheme="majorBidi"/>
          <w:i/>
          <w:iCs/>
          <w:color w:val="222222"/>
          <w:shd w:val="clear" w:color="auto" w:fill="FFFFFF"/>
        </w:rPr>
        <w:t>Orthopaedics</w:t>
      </w:r>
      <w:proofErr w:type="spellEnd"/>
      <w:r w:rsidR="00C14D70" w:rsidRPr="00C14D70">
        <w:rPr>
          <w:rFonts w:asciiTheme="majorBidi" w:hAnsiTheme="majorBidi" w:cstheme="majorBidi"/>
          <w:i/>
          <w:iCs/>
          <w:color w:val="222222"/>
          <w:shd w:val="clear" w:color="auto" w:fill="FFFFFF"/>
        </w:rPr>
        <w:t xml:space="preserve"> and Related Research</w:t>
      </w:r>
      <w:r w:rsidR="00D51235">
        <w:rPr>
          <w:rFonts w:asciiTheme="majorBidi" w:hAnsiTheme="majorBidi" w:cstheme="majorBidi"/>
          <w:color w:val="222222"/>
          <w:shd w:val="clear" w:color="auto" w:fill="FFFFFF"/>
        </w:rPr>
        <w:t xml:space="preserve">; 479(3): </w:t>
      </w:r>
      <w:r w:rsidR="00D51235" w:rsidRPr="00D51235">
        <w:rPr>
          <w:rFonts w:asciiTheme="majorBidi" w:hAnsiTheme="majorBidi" w:cstheme="majorBidi"/>
          <w:color w:val="222222"/>
          <w:shd w:val="clear" w:color="auto" w:fill="FFFFFF"/>
        </w:rPr>
        <w:t>546-547</w:t>
      </w:r>
      <w:r w:rsidR="00C14D70" w:rsidRPr="00C14D70">
        <w:rPr>
          <w:rFonts w:asciiTheme="majorBidi" w:hAnsiTheme="majorBidi" w:cstheme="majorBidi"/>
          <w:color w:val="222222"/>
          <w:shd w:val="clear" w:color="auto" w:fill="FFFFFF"/>
        </w:rPr>
        <w:t>.</w:t>
      </w:r>
    </w:p>
    <w:p w14:paraId="2861A007" w14:textId="77777777" w:rsidR="003A75A1" w:rsidRPr="00BC3354" w:rsidRDefault="003A75A1" w:rsidP="00D61F07">
      <w:pPr>
        <w:spacing w:after="0" w:line="480" w:lineRule="auto"/>
        <w:ind w:left="720" w:hanging="720"/>
        <w:rPr>
          <w:rStyle w:val="Hyperlink"/>
          <w:rFonts w:asciiTheme="majorBidi" w:hAnsiTheme="majorBidi" w:cstheme="majorBidi"/>
          <w:color w:val="auto"/>
          <w:u w:val="none"/>
        </w:rPr>
      </w:pPr>
      <w:r w:rsidRPr="00BC3354">
        <w:rPr>
          <w:rStyle w:val="Hyperlink"/>
          <w:rFonts w:asciiTheme="majorBidi" w:hAnsiTheme="majorBidi" w:cstheme="majorBidi"/>
          <w:color w:val="auto"/>
          <w:u w:val="none"/>
        </w:rPr>
        <w:t xml:space="preserve">Skelton, F., </w:t>
      </w:r>
      <w:proofErr w:type="spellStart"/>
      <w:r w:rsidRPr="00BC3354">
        <w:rPr>
          <w:rStyle w:val="Hyperlink"/>
          <w:rFonts w:asciiTheme="majorBidi" w:hAnsiTheme="majorBidi" w:cstheme="majorBidi"/>
          <w:color w:val="auto"/>
          <w:u w:val="none"/>
        </w:rPr>
        <w:t>Kunik</w:t>
      </w:r>
      <w:proofErr w:type="spellEnd"/>
      <w:r w:rsidRPr="00BC3354">
        <w:rPr>
          <w:rStyle w:val="Hyperlink"/>
          <w:rFonts w:asciiTheme="majorBidi" w:hAnsiTheme="majorBidi" w:cstheme="majorBidi"/>
          <w:color w:val="auto"/>
          <w:u w:val="none"/>
        </w:rPr>
        <w:t xml:space="preserve">, M. E., Regev, T., &amp; Naik, A. D. (2010). Determining if an older adult can make and execute decisions to live safely at home: a capacity assessment and intervention model. </w:t>
      </w:r>
      <w:r w:rsidRPr="00BC3354">
        <w:rPr>
          <w:rStyle w:val="Hyperlink"/>
          <w:rFonts w:asciiTheme="majorBidi" w:hAnsiTheme="majorBidi" w:cstheme="majorBidi"/>
          <w:i/>
          <w:iCs/>
          <w:color w:val="auto"/>
          <w:u w:val="none"/>
        </w:rPr>
        <w:t>Archives of gerontology and geriatrics,</w:t>
      </w:r>
      <w:r w:rsidRPr="00BC3354">
        <w:rPr>
          <w:rStyle w:val="Hyperlink"/>
          <w:rFonts w:asciiTheme="majorBidi" w:hAnsiTheme="majorBidi" w:cstheme="majorBidi"/>
          <w:color w:val="auto"/>
          <w:u w:val="none"/>
        </w:rPr>
        <w:t xml:space="preserve"> 50(3), 300-305.</w:t>
      </w:r>
    </w:p>
    <w:p w14:paraId="4B75C531" w14:textId="43DA4A4F" w:rsidR="00575077" w:rsidRPr="00C14D70" w:rsidRDefault="00575077" w:rsidP="00D61F07">
      <w:pPr>
        <w:spacing w:after="0" w:line="480" w:lineRule="auto"/>
        <w:ind w:left="720" w:hanging="720"/>
        <w:rPr>
          <w:rFonts w:asciiTheme="majorBidi" w:hAnsiTheme="majorBidi" w:cstheme="majorBidi"/>
        </w:rPr>
      </w:pPr>
      <w:r w:rsidRPr="00C14D70">
        <w:rPr>
          <w:rFonts w:asciiTheme="majorBidi" w:hAnsiTheme="majorBidi" w:cstheme="majorBidi"/>
        </w:rPr>
        <w:t xml:space="preserve">Stark, S., Somerville, E., </w:t>
      </w:r>
      <w:proofErr w:type="spellStart"/>
      <w:r w:rsidRPr="00C14D70">
        <w:rPr>
          <w:rFonts w:asciiTheme="majorBidi" w:hAnsiTheme="majorBidi" w:cstheme="majorBidi"/>
        </w:rPr>
        <w:t>Keglovits</w:t>
      </w:r>
      <w:proofErr w:type="spellEnd"/>
      <w:r w:rsidRPr="00C14D70">
        <w:rPr>
          <w:rFonts w:asciiTheme="majorBidi" w:hAnsiTheme="majorBidi" w:cstheme="majorBidi"/>
        </w:rPr>
        <w:t xml:space="preserve">, M., Conte, J., Li, M., Hu, Y. L., &amp; Yan, Y. (2017). Protocol for the home hazards removal program (HARP) study: a pragmatic, randomized clinical trial and implementation study. </w:t>
      </w:r>
      <w:r w:rsidRPr="003A75A1">
        <w:rPr>
          <w:rFonts w:asciiTheme="majorBidi" w:hAnsiTheme="majorBidi" w:cstheme="majorBidi"/>
          <w:i/>
          <w:iCs/>
        </w:rPr>
        <w:t>BMC geriatrics</w:t>
      </w:r>
      <w:r w:rsidRPr="00C14D70">
        <w:rPr>
          <w:rFonts w:asciiTheme="majorBidi" w:hAnsiTheme="majorBidi" w:cstheme="majorBidi"/>
        </w:rPr>
        <w:t>, 17(1), 1-9.</w:t>
      </w:r>
    </w:p>
    <w:p w14:paraId="30DF978E" w14:textId="597384FD" w:rsidR="00774A19" w:rsidRDefault="00BD198D" w:rsidP="003A75A1">
      <w:pPr>
        <w:spacing w:after="0" w:line="480" w:lineRule="auto"/>
        <w:ind w:left="720" w:hanging="720"/>
        <w:rPr>
          <w:rStyle w:val="Hyperlink"/>
          <w:rFonts w:asciiTheme="majorBidi" w:hAnsiTheme="majorBidi" w:cstheme="majorBidi"/>
        </w:rPr>
      </w:pPr>
      <w:r w:rsidRPr="00C14D70">
        <w:rPr>
          <w:rFonts w:asciiTheme="majorBidi" w:hAnsiTheme="majorBidi" w:cstheme="majorBidi"/>
        </w:rPr>
        <w:lastRenderedPageBreak/>
        <w:t xml:space="preserve">Wales, K., Clemson, L., </w:t>
      </w:r>
      <w:proofErr w:type="spellStart"/>
      <w:r w:rsidRPr="00C14D70">
        <w:rPr>
          <w:rFonts w:asciiTheme="majorBidi" w:hAnsiTheme="majorBidi" w:cstheme="majorBidi"/>
        </w:rPr>
        <w:t>Lannin</w:t>
      </w:r>
      <w:proofErr w:type="spellEnd"/>
      <w:r w:rsidRPr="00C14D70">
        <w:rPr>
          <w:rFonts w:asciiTheme="majorBidi" w:hAnsiTheme="majorBidi" w:cstheme="majorBidi"/>
        </w:rPr>
        <w:t xml:space="preserve">, N. A., Cameron, I. D., </w:t>
      </w:r>
      <w:proofErr w:type="spellStart"/>
      <w:r w:rsidRPr="00C14D70">
        <w:rPr>
          <w:rFonts w:asciiTheme="majorBidi" w:hAnsiTheme="majorBidi" w:cstheme="majorBidi"/>
        </w:rPr>
        <w:t>Salked</w:t>
      </w:r>
      <w:proofErr w:type="spellEnd"/>
      <w:r w:rsidRPr="00C14D70">
        <w:rPr>
          <w:rFonts w:asciiTheme="majorBidi" w:hAnsiTheme="majorBidi" w:cstheme="majorBidi"/>
        </w:rPr>
        <w:t xml:space="preserve">, G., Gitlin, L., Rubenstein, L., Barras, S., Mackenzie, L., &amp; Davies, C. (2012). Occupational therapy discharge planning for older adults: A protocol for a </w:t>
      </w:r>
      <w:proofErr w:type="spellStart"/>
      <w:r w:rsidRPr="00C14D70">
        <w:rPr>
          <w:rFonts w:asciiTheme="majorBidi" w:hAnsiTheme="majorBidi" w:cstheme="majorBidi"/>
        </w:rPr>
        <w:t>randomised</w:t>
      </w:r>
      <w:proofErr w:type="spellEnd"/>
      <w:r w:rsidRPr="00C14D70">
        <w:rPr>
          <w:rFonts w:asciiTheme="majorBidi" w:hAnsiTheme="majorBidi" w:cstheme="majorBidi"/>
        </w:rPr>
        <w:t xml:space="preserve"> trial and economic evaluation. </w:t>
      </w:r>
      <w:r w:rsidR="003A75A1" w:rsidRPr="003A75A1">
        <w:rPr>
          <w:rFonts w:asciiTheme="majorBidi" w:hAnsiTheme="majorBidi" w:cstheme="majorBidi"/>
          <w:i/>
          <w:iCs/>
        </w:rPr>
        <w:t xml:space="preserve">BMC </w:t>
      </w:r>
      <w:r w:rsidR="003A6DDB">
        <w:rPr>
          <w:rFonts w:asciiTheme="majorBidi" w:hAnsiTheme="majorBidi" w:cstheme="majorBidi"/>
          <w:i/>
          <w:iCs/>
        </w:rPr>
        <w:t>G</w:t>
      </w:r>
      <w:r w:rsidR="003A75A1" w:rsidRPr="003A75A1">
        <w:rPr>
          <w:rFonts w:asciiTheme="majorBidi" w:hAnsiTheme="majorBidi" w:cstheme="majorBidi"/>
          <w:i/>
          <w:iCs/>
        </w:rPr>
        <w:t>eriatrics</w:t>
      </w:r>
      <w:r w:rsidR="003A75A1">
        <w:rPr>
          <w:rFonts w:asciiTheme="majorBidi" w:hAnsiTheme="majorBidi" w:cstheme="majorBidi"/>
          <w:i/>
          <w:iCs/>
        </w:rPr>
        <w:t>.</w:t>
      </w:r>
      <w:r w:rsidRPr="00C14D70">
        <w:rPr>
          <w:rFonts w:asciiTheme="majorBidi" w:hAnsiTheme="majorBidi" w:cstheme="majorBidi"/>
        </w:rPr>
        <w:t xml:space="preserve"> 12. </w:t>
      </w:r>
    </w:p>
    <w:p w14:paraId="6CD5D955" w14:textId="3D2789D5" w:rsidR="00BD198D" w:rsidRPr="00C14D70" w:rsidRDefault="00774A19" w:rsidP="00D61F07">
      <w:pPr>
        <w:spacing w:after="0" w:line="480" w:lineRule="auto"/>
        <w:ind w:left="720" w:hanging="720"/>
        <w:rPr>
          <w:rFonts w:asciiTheme="majorBidi" w:hAnsiTheme="majorBidi" w:cstheme="majorBidi"/>
        </w:rPr>
      </w:pPr>
      <w:r w:rsidRPr="00774A19">
        <w:rPr>
          <w:rFonts w:ascii="Arial" w:hAnsi="Arial" w:cs="Arial"/>
          <w:color w:val="222222"/>
          <w:sz w:val="20"/>
          <w:szCs w:val="20"/>
          <w:shd w:val="clear" w:color="auto" w:fill="FFFFFF"/>
        </w:rPr>
        <w:t xml:space="preserve"> </w:t>
      </w:r>
      <w:r w:rsidRPr="003A75A1">
        <w:rPr>
          <w:rFonts w:asciiTheme="majorBidi" w:hAnsiTheme="majorBidi" w:cstheme="majorBidi"/>
        </w:rPr>
        <w:t xml:space="preserve">Wesson, J., Clemson, L., </w:t>
      </w:r>
      <w:proofErr w:type="spellStart"/>
      <w:r w:rsidRPr="003A75A1">
        <w:rPr>
          <w:rFonts w:asciiTheme="majorBidi" w:hAnsiTheme="majorBidi" w:cstheme="majorBidi"/>
        </w:rPr>
        <w:t>Brodaty</w:t>
      </w:r>
      <w:proofErr w:type="spellEnd"/>
      <w:r w:rsidRPr="003A75A1">
        <w:rPr>
          <w:rFonts w:asciiTheme="majorBidi" w:hAnsiTheme="majorBidi" w:cstheme="majorBidi"/>
        </w:rPr>
        <w:t xml:space="preserve">, H., &amp; </w:t>
      </w:r>
      <w:proofErr w:type="spellStart"/>
      <w:r w:rsidRPr="003A75A1">
        <w:rPr>
          <w:rFonts w:asciiTheme="majorBidi" w:hAnsiTheme="majorBidi" w:cstheme="majorBidi"/>
        </w:rPr>
        <w:t>Reppermund</w:t>
      </w:r>
      <w:proofErr w:type="spellEnd"/>
      <w:r w:rsidRPr="003A75A1">
        <w:rPr>
          <w:rFonts w:asciiTheme="majorBidi" w:hAnsiTheme="majorBidi" w:cstheme="majorBidi"/>
        </w:rPr>
        <w:t>, S. (2016). Estimating functional cognition in older adults using observational assessments of task performance in complex everyday activities: A systematic review and evaluation of measurement properties. </w:t>
      </w:r>
      <w:r w:rsidRPr="003A6DDB">
        <w:rPr>
          <w:rFonts w:asciiTheme="majorBidi" w:hAnsiTheme="majorBidi" w:cstheme="majorBidi"/>
          <w:i/>
          <w:iCs/>
        </w:rPr>
        <w:t>Neuroscience &amp; Biobehavioral Reviews</w:t>
      </w:r>
      <w:r w:rsidRPr="003A75A1">
        <w:rPr>
          <w:rFonts w:asciiTheme="majorBidi" w:hAnsiTheme="majorBidi" w:cstheme="majorBidi"/>
        </w:rPr>
        <w:t>, 68, 335-360.</w:t>
      </w:r>
    </w:p>
    <w:p w14:paraId="18772993" w14:textId="09F01C50" w:rsidR="009463C9" w:rsidRPr="00C14D70" w:rsidRDefault="009463C9" w:rsidP="00D61F07">
      <w:pPr>
        <w:spacing w:line="480" w:lineRule="auto"/>
        <w:ind w:left="720" w:hanging="720"/>
        <w:rPr>
          <w:rFonts w:asciiTheme="majorBidi" w:hAnsiTheme="majorBidi" w:cstheme="majorBidi"/>
        </w:rPr>
      </w:pPr>
      <w:r w:rsidRPr="00C14D70">
        <w:rPr>
          <w:rFonts w:asciiTheme="majorBidi" w:hAnsiTheme="majorBidi" w:cstheme="majorBidi"/>
        </w:rPr>
        <w:t>Zilbershlag, Y., &amp;</w:t>
      </w:r>
      <w:r w:rsidR="003A75A1">
        <w:rPr>
          <w:rFonts w:asciiTheme="majorBidi" w:hAnsiTheme="majorBidi" w:cstheme="majorBidi"/>
        </w:rPr>
        <w:t xml:space="preserve"> </w:t>
      </w:r>
      <w:proofErr w:type="spellStart"/>
      <w:r w:rsidRPr="00C14D70">
        <w:rPr>
          <w:rFonts w:asciiTheme="majorBidi" w:hAnsiTheme="majorBidi" w:cstheme="majorBidi"/>
        </w:rPr>
        <w:t>Josman</w:t>
      </w:r>
      <w:proofErr w:type="spellEnd"/>
      <w:r w:rsidRPr="00C14D70">
        <w:rPr>
          <w:rFonts w:asciiTheme="majorBidi" w:hAnsiTheme="majorBidi" w:cstheme="majorBidi"/>
        </w:rPr>
        <w:t xml:space="preserve">, </w:t>
      </w:r>
      <w:proofErr w:type="gramStart"/>
      <w:r w:rsidRPr="00C14D70">
        <w:rPr>
          <w:rFonts w:asciiTheme="majorBidi" w:hAnsiTheme="majorBidi" w:cstheme="majorBidi"/>
        </w:rPr>
        <w:t>N.(</w:t>
      </w:r>
      <w:proofErr w:type="gramEnd"/>
      <w:r w:rsidRPr="00C14D70">
        <w:rPr>
          <w:rFonts w:asciiTheme="majorBidi" w:hAnsiTheme="majorBidi" w:cstheme="majorBidi"/>
        </w:rPr>
        <w:t xml:space="preserve">2019). The functional cognitive evaluation and model to assess older adults’ ability to function in their homes in the community, </w:t>
      </w:r>
      <w:r w:rsidRPr="00C14D70">
        <w:rPr>
          <w:rFonts w:asciiTheme="majorBidi" w:hAnsiTheme="majorBidi" w:cstheme="majorBidi"/>
          <w:i/>
          <w:iCs/>
        </w:rPr>
        <w:t xml:space="preserve">Physical &amp; Occupational Therapy </w:t>
      </w:r>
      <w:proofErr w:type="gramStart"/>
      <w:r w:rsidRPr="00C14D70">
        <w:rPr>
          <w:rFonts w:asciiTheme="majorBidi" w:hAnsiTheme="majorBidi" w:cstheme="majorBidi"/>
          <w:i/>
          <w:iCs/>
        </w:rPr>
        <w:t>In</w:t>
      </w:r>
      <w:proofErr w:type="gramEnd"/>
      <w:r w:rsidRPr="00C14D70">
        <w:rPr>
          <w:rFonts w:asciiTheme="majorBidi" w:hAnsiTheme="majorBidi" w:cstheme="majorBidi"/>
          <w:i/>
          <w:iCs/>
        </w:rPr>
        <w:t xml:space="preserve"> Geriatrics</w:t>
      </w:r>
      <w:r w:rsidRPr="00C14D70">
        <w:rPr>
          <w:rFonts w:asciiTheme="majorBidi" w:hAnsiTheme="majorBidi" w:cstheme="majorBidi"/>
        </w:rPr>
        <w:t>, DOI: 10.1080/02703181.2019.1622620</w:t>
      </w:r>
    </w:p>
    <w:p w14:paraId="2E82AF2B" w14:textId="4D795AC6" w:rsidR="000C493F" w:rsidRPr="00C14D70" w:rsidRDefault="000C493F" w:rsidP="00D61F07">
      <w:pPr>
        <w:spacing w:line="480" w:lineRule="auto"/>
        <w:ind w:left="720" w:hanging="720"/>
        <w:rPr>
          <w:rFonts w:asciiTheme="majorBidi" w:hAnsiTheme="majorBidi" w:cstheme="majorBidi"/>
        </w:rPr>
      </w:pPr>
      <w:proofErr w:type="spellStart"/>
      <w:r w:rsidRPr="00C14D70">
        <w:rPr>
          <w:rFonts w:asciiTheme="majorBidi" w:hAnsiTheme="majorBidi" w:cstheme="majorBidi"/>
        </w:rPr>
        <w:t>Zur</w:t>
      </w:r>
      <w:proofErr w:type="spellEnd"/>
      <w:r w:rsidRPr="00C14D70">
        <w:rPr>
          <w:rFonts w:asciiTheme="majorBidi" w:hAnsiTheme="majorBidi" w:cstheme="majorBidi"/>
        </w:rPr>
        <w:t xml:space="preserve"> B</w:t>
      </w:r>
      <w:r w:rsidR="003A75A1">
        <w:rPr>
          <w:rFonts w:asciiTheme="majorBidi" w:hAnsiTheme="majorBidi" w:cstheme="majorBidi"/>
        </w:rPr>
        <w:t>.</w:t>
      </w:r>
      <w:r w:rsidRPr="00C14D70">
        <w:rPr>
          <w:rFonts w:asciiTheme="majorBidi" w:hAnsiTheme="majorBidi" w:cstheme="majorBidi"/>
        </w:rPr>
        <w:t>M</w:t>
      </w:r>
      <w:r w:rsidR="003A75A1">
        <w:rPr>
          <w:rFonts w:asciiTheme="majorBidi" w:hAnsiTheme="majorBidi" w:cstheme="majorBidi"/>
        </w:rPr>
        <w:t>.</w:t>
      </w:r>
      <w:r w:rsidRPr="00C14D70">
        <w:rPr>
          <w:rFonts w:asciiTheme="majorBidi" w:hAnsiTheme="majorBidi" w:cstheme="majorBidi"/>
        </w:rPr>
        <w:t>, Rudman D</w:t>
      </w:r>
      <w:r w:rsidR="003A75A1">
        <w:rPr>
          <w:rFonts w:asciiTheme="majorBidi" w:hAnsiTheme="majorBidi" w:cstheme="majorBidi"/>
        </w:rPr>
        <w:t>.</w:t>
      </w:r>
      <w:r w:rsidRPr="00C14D70">
        <w:rPr>
          <w:rFonts w:asciiTheme="majorBidi" w:hAnsiTheme="majorBidi" w:cstheme="majorBidi"/>
        </w:rPr>
        <w:t>L</w:t>
      </w:r>
      <w:r w:rsidR="003A75A1">
        <w:rPr>
          <w:rFonts w:asciiTheme="majorBidi" w:hAnsiTheme="majorBidi" w:cstheme="majorBidi"/>
        </w:rPr>
        <w:t>.</w:t>
      </w:r>
      <w:r w:rsidRPr="00C14D70">
        <w:rPr>
          <w:rFonts w:asciiTheme="majorBidi" w:hAnsiTheme="majorBidi" w:cstheme="majorBidi"/>
        </w:rPr>
        <w:t>, Johnson A</w:t>
      </w:r>
      <w:r w:rsidR="003A75A1">
        <w:rPr>
          <w:rFonts w:asciiTheme="majorBidi" w:hAnsiTheme="majorBidi" w:cstheme="majorBidi"/>
        </w:rPr>
        <w:t>.</w:t>
      </w:r>
      <w:r w:rsidRPr="00C14D70">
        <w:rPr>
          <w:rFonts w:asciiTheme="majorBidi" w:hAnsiTheme="majorBidi" w:cstheme="majorBidi"/>
        </w:rPr>
        <w:t>M</w:t>
      </w:r>
      <w:r w:rsidR="003A75A1">
        <w:rPr>
          <w:rFonts w:asciiTheme="majorBidi" w:hAnsiTheme="majorBidi" w:cstheme="majorBidi"/>
        </w:rPr>
        <w:t>.</w:t>
      </w:r>
      <w:r w:rsidRPr="00C14D70">
        <w:rPr>
          <w:rFonts w:asciiTheme="majorBidi" w:hAnsiTheme="majorBidi" w:cstheme="majorBidi"/>
        </w:rPr>
        <w:t>, Roy E</w:t>
      </w:r>
      <w:r w:rsidR="003A75A1">
        <w:rPr>
          <w:rFonts w:asciiTheme="majorBidi" w:hAnsiTheme="majorBidi" w:cstheme="majorBidi"/>
        </w:rPr>
        <w:t>.</w:t>
      </w:r>
      <w:r w:rsidRPr="00C14D70">
        <w:rPr>
          <w:rFonts w:asciiTheme="majorBidi" w:hAnsiTheme="majorBidi" w:cstheme="majorBidi"/>
        </w:rPr>
        <w:t>A</w:t>
      </w:r>
      <w:r w:rsidR="003A75A1">
        <w:rPr>
          <w:rFonts w:asciiTheme="majorBidi" w:hAnsiTheme="majorBidi" w:cstheme="majorBidi"/>
        </w:rPr>
        <w:t>.</w:t>
      </w:r>
      <w:r w:rsidRPr="00C14D70">
        <w:rPr>
          <w:rFonts w:asciiTheme="majorBidi" w:hAnsiTheme="majorBidi" w:cstheme="majorBidi"/>
        </w:rPr>
        <w:t>,</w:t>
      </w:r>
      <w:r w:rsidR="003A6DDB">
        <w:rPr>
          <w:rFonts w:asciiTheme="majorBidi" w:hAnsiTheme="majorBidi" w:cstheme="majorBidi"/>
        </w:rPr>
        <w:t xml:space="preserve"> </w:t>
      </w:r>
      <w:r w:rsidR="003A75A1">
        <w:rPr>
          <w:rFonts w:asciiTheme="majorBidi" w:hAnsiTheme="majorBidi" w:cstheme="majorBidi"/>
        </w:rPr>
        <w:t>&amp;</w:t>
      </w:r>
      <w:r w:rsidRPr="00C14D70">
        <w:rPr>
          <w:rFonts w:asciiTheme="majorBidi" w:hAnsiTheme="majorBidi" w:cstheme="majorBidi"/>
        </w:rPr>
        <w:t xml:space="preserve"> Wells J</w:t>
      </w:r>
      <w:r w:rsidR="003A75A1">
        <w:rPr>
          <w:rFonts w:asciiTheme="majorBidi" w:hAnsiTheme="majorBidi" w:cstheme="majorBidi"/>
        </w:rPr>
        <w:t>.</w:t>
      </w:r>
      <w:r w:rsidRPr="00C14D70">
        <w:rPr>
          <w:rFonts w:asciiTheme="majorBidi" w:hAnsiTheme="majorBidi" w:cstheme="majorBidi"/>
        </w:rPr>
        <w:t xml:space="preserve">L. </w:t>
      </w:r>
      <w:r w:rsidR="003A75A1">
        <w:rPr>
          <w:rFonts w:asciiTheme="majorBidi" w:hAnsiTheme="majorBidi" w:cstheme="majorBidi"/>
        </w:rPr>
        <w:t xml:space="preserve">(2013). </w:t>
      </w:r>
      <w:r w:rsidRPr="00C14D70">
        <w:rPr>
          <w:rFonts w:asciiTheme="majorBidi" w:hAnsiTheme="majorBidi" w:cstheme="majorBidi"/>
        </w:rPr>
        <w:t>Components of cognitive competence predictive of occupational competence in persons with dementia: a Delphi study</w:t>
      </w:r>
      <w:r w:rsidRPr="00C14D70">
        <w:rPr>
          <w:rFonts w:asciiTheme="majorBidi" w:hAnsiTheme="majorBidi" w:cstheme="majorBidi"/>
          <w:i/>
          <w:iCs/>
        </w:rPr>
        <w:t>. Can</w:t>
      </w:r>
      <w:r w:rsidR="003A75A1">
        <w:rPr>
          <w:rFonts w:asciiTheme="majorBidi" w:hAnsiTheme="majorBidi" w:cstheme="majorBidi"/>
          <w:i/>
          <w:iCs/>
        </w:rPr>
        <w:t>adian</w:t>
      </w:r>
      <w:r w:rsidRPr="00C14D70">
        <w:rPr>
          <w:rFonts w:asciiTheme="majorBidi" w:hAnsiTheme="majorBidi" w:cstheme="majorBidi"/>
          <w:i/>
          <w:iCs/>
        </w:rPr>
        <w:t xml:space="preserve"> J</w:t>
      </w:r>
      <w:r w:rsidR="003A75A1">
        <w:rPr>
          <w:rFonts w:asciiTheme="majorBidi" w:hAnsiTheme="majorBidi" w:cstheme="majorBidi"/>
          <w:i/>
          <w:iCs/>
        </w:rPr>
        <w:t>ournal of</w:t>
      </w:r>
      <w:r w:rsidRPr="00C14D70">
        <w:rPr>
          <w:rFonts w:asciiTheme="majorBidi" w:hAnsiTheme="majorBidi" w:cstheme="majorBidi"/>
          <w:i/>
          <w:iCs/>
        </w:rPr>
        <w:t xml:space="preserve"> Occup</w:t>
      </w:r>
      <w:r w:rsidR="003A75A1">
        <w:rPr>
          <w:rFonts w:asciiTheme="majorBidi" w:hAnsiTheme="majorBidi" w:cstheme="majorBidi"/>
          <w:i/>
          <w:iCs/>
        </w:rPr>
        <w:t xml:space="preserve">ational </w:t>
      </w:r>
      <w:r w:rsidRPr="00C14D70">
        <w:rPr>
          <w:rFonts w:asciiTheme="majorBidi" w:hAnsiTheme="majorBidi" w:cstheme="majorBidi"/>
          <w:i/>
          <w:iCs/>
        </w:rPr>
        <w:t>Ther</w:t>
      </w:r>
      <w:r w:rsidR="003A75A1">
        <w:rPr>
          <w:rFonts w:asciiTheme="majorBidi" w:hAnsiTheme="majorBidi" w:cstheme="majorBidi"/>
          <w:i/>
          <w:iCs/>
        </w:rPr>
        <w:t>apy</w:t>
      </w:r>
      <w:r w:rsidRPr="00C14D70">
        <w:rPr>
          <w:rFonts w:asciiTheme="majorBidi" w:hAnsiTheme="majorBidi" w:cstheme="majorBidi"/>
        </w:rPr>
        <w:t xml:space="preserve">;80(2):71–81. doi:10.1177%2F00084174 13481574. </w:t>
      </w:r>
    </w:p>
    <w:p w14:paraId="7A3AC1D2" w14:textId="77777777" w:rsidR="003A75A1" w:rsidRDefault="003A75A1" w:rsidP="003A75A1">
      <w:pPr>
        <w:spacing w:line="480" w:lineRule="auto"/>
        <w:ind w:left="810" w:hanging="810"/>
        <w:rPr>
          <w:rFonts w:asciiTheme="majorBidi" w:hAnsiTheme="majorBidi" w:cstheme="majorBidi"/>
          <w:color w:val="2A2A2A"/>
          <w:shd w:val="clear" w:color="auto" w:fill="FFFFFF"/>
        </w:rPr>
      </w:pPr>
      <w:r w:rsidRPr="003A75A1">
        <w:rPr>
          <w:rFonts w:asciiTheme="majorBidi" w:hAnsiTheme="majorBidi" w:cstheme="majorBidi"/>
          <w:color w:val="2A2A2A"/>
          <w:shd w:val="clear" w:color="auto" w:fill="FFFFFF"/>
        </w:rPr>
        <w:t xml:space="preserve">Hargrove, T. W., García, C., &amp; Cagney, K. A. (2021). The role of neighborhoods in shaping the aging experience during times of crisis. </w:t>
      </w:r>
      <w:r w:rsidRPr="003A75A1">
        <w:rPr>
          <w:rFonts w:asciiTheme="majorBidi" w:hAnsiTheme="majorBidi" w:cstheme="majorBidi"/>
          <w:i/>
          <w:iCs/>
          <w:color w:val="2A2A2A"/>
          <w:shd w:val="clear" w:color="auto" w:fill="FFFFFF"/>
        </w:rPr>
        <w:t>Public Policy &amp; Aging Report</w:t>
      </w:r>
      <w:r w:rsidRPr="003A75A1">
        <w:rPr>
          <w:rFonts w:asciiTheme="majorBidi" w:hAnsiTheme="majorBidi" w:cstheme="majorBidi"/>
          <w:color w:val="2A2A2A"/>
          <w:shd w:val="clear" w:color="auto" w:fill="FFFFFF"/>
        </w:rPr>
        <w:t>, 31(1), 38-43.</w:t>
      </w:r>
    </w:p>
    <w:p w14:paraId="6686C065" w14:textId="592EFA07" w:rsidR="00F95BF8" w:rsidRPr="00C14D70" w:rsidRDefault="003A75A1" w:rsidP="003A75A1">
      <w:pPr>
        <w:spacing w:line="480" w:lineRule="auto"/>
        <w:ind w:left="810" w:hanging="810"/>
        <w:rPr>
          <w:rFonts w:asciiTheme="majorBidi" w:hAnsiTheme="majorBidi" w:cstheme="majorBidi"/>
          <w:color w:val="FF0000"/>
        </w:rPr>
      </w:pPr>
      <w:r w:rsidRPr="003A75A1">
        <w:rPr>
          <w:rFonts w:asciiTheme="majorBidi" w:hAnsiTheme="majorBidi" w:cstheme="majorBidi"/>
          <w:color w:val="333333"/>
          <w:shd w:val="clear" w:color="auto" w:fill="FFFFFF"/>
        </w:rPr>
        <w:t xml:space="preserve">Yanez, N. D., Weiss, N. S., </w:t>
      </w:r>
      <w:proofErr w:type="spellStart"/>
      <w:r w:rsidRPr="003A75A1">
        <w:rPr>
          <w:rFonts w:asciiTheme="majorBidi" w:hAnsiTheme="majorBidi" w:cstheme="majorBidi"/>
          <w:color w:val="333333"/>
          <w:shd w:val="clear" w:color="auto" w:fill="FFFFFF"/>
        </w:rPr>
        <w:t>Romand</w:t>
      </w:r>
      <w:proofErr w:type="spellEnd"/>
      <w:r w:rsidRPr="003A75A1">
        <w:rPr>
          <w:rFonts w:asciiTheme="majorBidi" w:hAnsiTheme="majorBidi" w:cstheme="majorBidi"/>
          <w:color w:val="333333"/>
          <w:shd w:val="clear" w:color="auto" w:fill="FFFFFF"/>
        </w:rPr>
        <w:t xml:space="preserve">, J. A., &amp; </w:t>
      </w:r>
      <w:proofErr w:type="spellStart"/>
      <w:r w:rsidRPr="003A75A1">
        <w:rPr>
          <w:rFonts w:asciiTheme="majorBidi" w:hAnsiTheme="majorBidi" w:cstheme="majorBidi"/>
          <w:color w:val="333333"/>
          <w:shd w:val="clear" w:color="auto" w:fill="FFFFFF"/>
        </w:rPr>
        <w:t>Treggiari</w:t>
      </w:r>
      <w:proofErr w:type="spellEnd"/>
      <w:r w:rsidRPr="003A75A1">
        <w:rPr>
          <w:rFonts w:asciiTheme="majorBidi" w:hAnsiTheme="majorBidi" w:cstheme="majorBidi"/>
          <w:color w:val="333333"/>
          <w:shd w:val="clear" w:color="auto" w:fill="FFFFFF"/>
        </w:rPr>
        <w:t xml:space="preserve">, M. M. (2020). COVID-19 mortality risk for older men and women. </w:t>
      </w:r>
      <w:r w:rsidRPr="003A75A1">
        <w:rPr>
          <w:rFonts w:asciiTheme="majorBidi" w:hAnsiTheme="majorBidi" w:cstheme="majorBidi"/>
          <w:i/>
          <w:iCs/>
          <w:color w:val="333333"/>
          <w:shd w:val="clear" w:color="auto" w:fill="FFFFFF"/>
        </w:rPr>
        <w:t>BMC Public Health</w:t>
      </w:r>
      <w:r w:rsidRPr="003A75A1">
        <w:rPr>
          <w:rFonts w:asciiTheme="majorBidi" w:hAnsiTheme="majorBidi" w:cstheme="majorBidi"/>
          <w:color w:val="333333"/>
          <w:shd w:val="clear" w:color="auto" w:fill="FFFFFF"/>
        </w:rPr>
        <w:t>, 20(1), 1-7.</w:t>
      </w:r>
    </w:p>
    <w:sectPr w:rsidR="00F95BF8" w:rsidRPr="00C14D70" w:rsidSect="00991CA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95352" w14:textId="77777777" w:rsidR="00F5197C" w:rsidRDefault="00F5197C" w:rsidP="00512C6D">
      <w:pPr>
        <w:spacing w:after="0" w:line="240" w:lineRule="auto"/>
      </w:pPr>
      <w:r>
        <w:separator/>
      </w:r>
    </w:p>
  </w:endnote>
  <w:endnote w:type="continuationSeparator" w:id="0">
    <w:p w14:paraId="3AC85CE6" w14:textId="77777777" w:rsidR="00F5197C" w:rsidRDefault="00F5197C" w:rsidP="0051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0831558"/>
      <w:docPartObj>
        <w:docPartGallery w:val="Page Numbers (Bottom of Page)"/>
        <w:docPartUnique/>
      </w:docPartObj>
    </w:sdtPr>
    <w:sdtEndPr>
      <w:rPr>
        <w:noProof/>
      </w:rPr>
    </w:sdtEndPr>
    <w:sdtContent>
      <w:p w14:paraId="33889205" w14:textId="285BDD8A" w:rsidR="00CF25E1" w:rsidRDefault="00CF25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7C2611" w14:textId="77777777" w:rsidR="00CF25E1" w:rsidRDefault="00CF2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759D1" w14:textId="77777777" w:rsidR="00F5197C" w:rsidRDefault="00F5197C" w:rsidP="00512C6D">
      <w:pPr>
        <w:spacing w:after="0" w:line="240" w:lineRule="auto"/>
      </w:pPr>
      <w:r>
        <w:separator/>
      </w:r>
    </w:p>
  </w:footnote>
  <w:footnote w:type="continuationSeparator" w:id="0">
    <w:p w14:paraId="567E79FC" w14:textId="77777777" w:rsidR="00F5197C" w:rsidRDefault="00F5197C" w:rsidP="00512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5FD1"/>
    <w:multiLevelType w:val="hybridMultilevel"/>
    <w:tmpl w:val="28442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17DDE"/>
    <w:multiLevelType w:val="multilevel"/>
    <w:tmpl w:val="22A4476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50F1638"/>
    <w:multiLevelType w:val="hybridMultilevel"/>
    <w:tmpl w:val="DA5E0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B5881"/>
    <w:multiLevelType w:val="hybridMultilevel"/>
    <w:tmpl w:val="9246017E"/>
    <w:lvl w:ilvl="0" w:tplc="5754A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951C5"/>
    <w:multiLevelType w:val="hybridMultilevel"/>
    <w:tmpl w:val="7B10A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A7784"/>
    <w:multiLevelType w:val="hybridMultilevel"/>
    <w:tmpl w:val="37F62488"/>
    <w:lvl w:ilvl="0" w:tplc="ED102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8D7F14"/>
    <w:multiLevelType w:val="hybridMultilevel"/>
    <w:tmpl w:val="D97C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827990"/>
    <w:multiLevelType w:val="hybridMultilevel"/>
    <w:tmpl w:val="C16C002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E6BB4"/>
    <w:multiLevelType w:val="hybridMultilevel"/>
    <w:tmpl w:val="B8D07B72"/>
    <w:lvl w:ilvl="0" w:tplc="7FF2CF2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B903D2"/>
    <w:multiLevelType w:val="hybridMultilevel"/>
    <w:tmpl w:val="64605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7032A"/>
    <w:multiLevelType w:val="hybridMultilevel"/>
    <w:tmpl w:val="27E4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D4E24"/>
    <w:multiLevelType w:val="hybridMultilevel"/>
    <w:tmpl w:val="51C2F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11"/>
  </w:num>
  <w:num w:numId="8">
    <w:abstractNumId w:val="0"/>
  </w:num>
  <w:num w:numId="9">
    <w:abstractNumId w:val="3"/>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E0"/>
    <w:rsid w:val="0000290F"/>
    <w:rsid w:val="00012DF8"/>
    <w:rsid w:val="00013F88"/>
    <w:rsid w:val="00024273"/>
    <w:rsid w:val="00025990"/>
    <w:rsid w:val="000432FF"/>
    <w:rsid w:val="00045C8F"/>
    <w:rsid w:val="0005146D"/>
    <w:rsid w:val="00065248"/>
    <w:rsid w:val="00066BEE"/>
    <w:rsid w:val="000671D6"/>
    <w:rsid w:val="00067ADF"/>
    <w:rsid w:val="000704CD"/>
    <w:rsid w:val="00070F0F"/>
    <w:rsid w:val="00071135"/>
    <w:rsid w:val="00077A77"/>
    <w:rsid w:val="000876B0"/>
    <w:rsid w:val="000920E4"/>
    <w:rsid w:val="00093A65"/>
    <w:rsid w:val="0009665F"/>
    <w:rsid w:val="00097845"/>
    <w:rsid w:val="000A5346"/>
    <w:rsid w:val="000B0F11"/>
    <w:rsid w:val="000C493F"/>
    <w:rsid w:val="000D381E"/>
    <w:rsid w:val="000D5F31"/>
    <w:rsid w:val="000E0774"/>
    <w:rsid w:val="000E103A"/>
    <w:rsid w:val="000E34F7"/>
    <w:rsid w:val="000F3E46"/>
    <w:rsid w:val="000F661C"/>
    <w:rsid w:val="000F7175"/>
    <w:rsid w:val="00130166"/>
    <w:rsid w:val="0013022D"/>
    <w:rsid w:val="00141445"/>
    <w:rsid w:val="0015424D"/>
    <w:rsid w:val="00172A19"/>
    <w:rsid w:val="001809F6"/>
    <w:rsid w:val="00183B48"/>
    <w:rsid w:val="00184A07"/>
    <w:rsid w:val="0019224E"/>
    <w:rsid w:val="00196C05"/>
    <w:rsid w:val="001A1B42"/>
    <w:rsid w:val="001A7EF7"/>
    <w:rsid w:val="001D1F61"/>
    <w:rsid w:val="001D42F9"/>
    <w:rsid w:val="001D6AA4"/>
    <w:rsid w:val="001D6F67"/>
    <w:rsid w:val="001E572F"/>
    <w:rsid w:val="001F11C5"/>
    <w:rsid w:val="001F4741"/>
    <w:rsid w:val="001F49FC"/>
    <w:rsid w:val="001F7E22"/>
    <w:rsid w:val="00200253"/>
    <w:rsid w:val="0020267F"/>
    <w:rsid w:val="00205989"/>
    <w:rsid w:val="00206693"/>
    <w:rsid w:val="002124B7"/>
    <w:rsid w:val="002203E0"/>
    <w:rsid w:val="0022349E"/>
    <w:rsid w:val="002264EA"/>
    <w:rsid w:val="00227C13"/>
    <w:rsid w:val="00230C2C"/>
    <w:rsid w:val="00231169"/>
    <w:rsid w:val="0023135F"/>
    <w:rsid w:val="00251A55"/>
    <w:rsid w:val="002523B8"/>
    <w:rsid w:val="0026732A"/>
    <w:rsid w:val="00271C5C"/>
    <w:rsid w:val="0027543E"/>
    <w:rsid w:val="00297A60"/>
    <w:rsid w:val="002A57F2"/>
    <w:rsid w:val="002B0C12"/>
    <w:rsid w:val="002C352A"/>
    <w:rsid w:val="002D028D"/>
    <w:rsid w:val="002E00BB"/>
    <w:rsid w:val="002E08FE"/>
    <w:rsid w:val="002E1216"/>
    <w:rsid w:val="002F133F"/>
    <w:rsid w:val="002F188D"/>
    <w:rsid w:val="002F3F2F"/>
    <w:rsid w:val="002F4CD1"/>
    <w:rsid w:val="002F4FA2"/>
    <w:rsid w:val="002F7A38"/>
    <w:rsid w:val="003045F6"/>
    <w:rsid w:val="00307DC1"/>
    <w:rsid w:val="0032381C"/>
    <w:rsid w:val="00326EDF"/>
    <w:rsid w:val="00331AD8"/>
    <w:rsid w:val="0033516D"/>
    <w:rsid w:val="003402C3"/>
    <w:rsid w:val="003413C5"/>
    <w:rsid w:val="00352997"/>
    <w:rsid w:val="00360348"/>
    <w:rsid w:val="00364757"/>
    <w:rsid w:val="00370836"/>
    <w:rsid w:val="003919B0"/>
    <w:rsid w:val="003A6DDB"/>
    <w:rsid w:val="003A75A1"/>
    <w:rsid w:val="003B032C"/>
    <w:rsid w:val="003B177F"/>
    <w:rsid w:val="003C358D"/>
    <w:rsid w:val="003C3FBE"/>
    <w:rsid w:val="003D2566"/>
    <w:rsid w:val="003F3C83"/>
    <w:rsid w:val="00402188"/>
    <w:rsid w:val="00410140"/>
    <w:rsid w:val="004101D3"/>
    <w:rsid w:val="00410438"/>
    <w:rsid w:val="0041080C"/>
    <w:rsid w:val="00412C45"/>
    <w:rsid w:val="00412FEE"/>
    <w:rsid w:val="004136F7"/>
    <w:rsid w:val="0042194C"/>
    <w:rsid w:val="00424888"/>
    <w:rsid w:val="00425B11"/>
    <w:rsid w:val="00426B24"/>
    <w:rsid w:val="00434220"/>
    <w:rsid w:val="00441811"/>
    <w:rsid w:val="004461DD"/>
    <w:rsid w:val="00447606"/>
    <w:rsid w:val="00452E91"/>
    <w:rsid w:val="00453F06"/>
    <w:rsid w:val="00454ADA"/>
    <w:rsid w:val="0045711D"/>
    <w:rsid w:val="004640E5"/>
    <w:rsid w:val="00464982"/>
    <w:rsid w:val="0047051A"/>
    <w:rsid w:val="0047211F"/>
    <w:rsid w:val="00475554"/>
    <w:rsid w:val="00481577"/>
    <w:rsid w:val="00484A68"/>
    <w:rsid w:val="00484B86"/>
    <w:rsid w:val="004877AC"/>
    <w:rsid w:val="00492727"/>
    <w:rsid w:val="004933A4"/>
    <w:rsid w:val="00493FB7"/>
    <w:rsid w:val="0049533A"/>
    <w:rsid w:val="004B1488"/>
    <w:rsid w:val="004B30D3"/>
    <w:rsid w:val="004C209A"/>
    <w:rsid w:val="004C4A39"/>
    <w:rsid w:val="004C5A36"/>
    <w:rsid w:val="004C7107"/>
    <w:rsid w:val="004D7C4F"/>
    <w:rsid w:val="004E6707"/>
    <w:rsid w:val="004E72D5"/>
    <w:rsid w:val="004F25E3"/>
    <w:rsid w:val="004F644A"/>
    <w:rsid w:val="00502E24"/>
    <w:rsid w:val="00512C6D"/>
    <w:rsid w:val="005133B7"/>
    <w:rsid w:val="00515377"/>
    <w:rsid w:val="00515674"/>
    <w:rsid w:val="00515912"/>
    <w:rsid w:val="0051758C"/>
    <w:rsid w:val="00527AAA"/>
    <w:rsid w:val="00527EE3"/>
    <w:rsid w:val="005305C4"/>
    <w:rsid w:val="0053554B"/>
    <w:rsid w:val="00541418"/>
    <w:rsid w:val="005559C6"/>
    <w:rsid w:val="00556CE8"/>
    <w:rsid w:val="0056062E"/>
    <w:rsid w:val="00565650"/>
    <w:rsid w:val="00575077"/>
    <w:rsid w:val="00581044"/>
    <w:rsid w:val="00581C45"/>
    <w:rsid w:val="00592CD1"/>
    <w:rsid w:val="00593C2F"/>
    <w:rsid w:val="00595711"/>
    <w:rsid w:val="005A38F7"/>
    <w:rsid w:val="005C727C"/>
    <w:rsid w:val="005D1C4A"/>
    <w:rsid w:val="005D5ADE"/>
    <w:rsid w:val="005E478F"/>
    <w:rsid w:val="005F29A7"/>
    <w:rsid w:val="006075C2"/>
    <w:rsid w:val="00611741"/>
    <w:rsid w:val="0061258A"/>
    <w:rsid w:val="00614447"/>
    <w:rsid w:val="006148D9"/>
    <w:rsid w:val="0061717A"/>
    <w:rsid w:val="00621233"/>
    <w:rsid w:val="0062433A"/>
    <w:rsid w:val="00626752"/>
    <w:rsid w:val="00633C10"/>
    <w:rsid w:val="00646597"/>
    <w:rsid w:val="006516A4"/>
    <w:rsid w:val="00654398"/>
    <w:rsid w:val="00654459"/>
    <w:rsid w:val="00654ED7"/>
    <w:rsid w:val="006606E5"/>
    <w:rsid w:val="006607D8"/>
    <w:rsid w:val="00660DE3"/>
    <w:rsid w:val="006743C4"/>
    <w:rsid w:val="0067556B"/>
    <w:rsid w:val="00682C5B"/>
    <w:rsid w:val="00684197"/>
    <w:rsid w:val="00687AFF"/>
    <w:rsid w:val="006B47C1"/>
    <w:rsid w:val="006D0397"/>
    <w:rsid w:val="006D7360"/>
    <w:rsid w:val="006E32E8"/>
    <w:rsid w:val="006E652E"/>
    <w:rsid w:val="006F5467"/>
    <w:rsid w:val="006F7D8B"/>
    <w:rsid w:val="00706108"/>
    <w:rsid w:val="00714347"/>
    <w:rsid w:val="00727B06"/>
    <w:rsid w:val="00740E3A"/>
    <w:rsid w:val="007478EC"/>
    <w:rsid w:val="007511B2"/>
    <w:rsid w:val="00752B16"/>
    <w:rsid w:val="00752B58"/>
    <w:rsid w:val="007569FE"/>
    <w:rsid w:val="00761AA1"/>
    <w:rsid w:val="007621FF"/>
    <w:rsid w:val="00774A19"/>
    <w:rsid w:val="00775437"/>
    <w:rsid w:val="0078422A"/>
    <w:rsid w:val="007902AE"/>
    <w:rsid w:val="00791500"/>
    <w:rsid w:val="00791CF4"/>
    <w:rsid w:val="00793C93"/>
    <w:rsid w:val="007A0032"/>
    <w:rsid w:val="007A2F8C"/>
    <w:rsid w:val="007B2342"/>
    <w:rsid w:val="007B4150"/>
    <w:rsid w:val="007D6E1E"/>
    <w:rsid w:val="007D7C70"/>
    <w:rsid w:val="007E1ADC"/>
    <w:rsid w:val="007E3A88"/>
    <w:rsid w:val="007F58E9"/>
    <w:rsid w:val="007F7A36"/>
    <w:rsid w:val="00814A96"/>
    <w:rsid w:val="00817AAC"/>
    <w:rsid w:val="00850BBC"/>
    <w:rsid w:val="008523B8"/>
    <w:rsid w:val="00852F84"/>
    <w:rsid w:val="0085429F"/>
    <w:rsid w:val="00871A79"/>
    <w:rsid w:val="00873125"/>
    <w:rsid w:val="0088230F"/>
    <w:rsid w:val="008846FA"/>
    <w:rsid w:val="00891527"/>
    <w:rsid w:val="008932C2"/>
    <w:rsid w:val="00893A50"/>
    <w:rsid w:val="008A3353"/>
    <w:rsid w:val="008A4ABF"/>
    <w:rsid w:val="008D5293"/>
    <w:rsid w:val="008E13EB"/>
    <w:rsid w:val="008E2E68"/>
    <w:rsid w:val="008F410C"/>
    <w:rsid w:val="008F7326"/>
    <w:rsid w:val="008F7B21"/>
    <w:rsid w:val="0090009C"/>
    <w:rsid w:val="009024BF"/>
    <w:rsid w:val="0090282E"/>
    <w:rsid w:val="00905327"/>
    <w:rsid w:val="00911961"/>
    <w:rsid w:val="00920F61"/>
    <w:rsid w:val="00925428"/>
    <w:rsid w:val="009376C3"/>
    <w:rsid w:val="00941CCD"/>
    <w:rsid w:val="00942F09"/>
    <w:rsid w:val="00944F5C"/>
    <w:rsid w:val="009463C9"/>
    <w:rsid w:val="00946923"/>
    <w:rsid w:val="0097165A"/>
    <w:rsid w:val="00972991"/>
    <w:rsid w:val="00981B8C"/>
    <w:rsid w:val="00991AE0"/>
    <w:rsid w:val="00991CA0"/>
    <w:rsid w:val="00995127"/>
    <w:rsid w:val="009A322D"/>
    <w:rsid w:val="009C460C"/>
    <w:rsid w:val="009D0CAB"/>
    <w:rsid w:val="009E2821"/>
    <w:rsid w:val="009E448C"/>
    <w:rsid w:val="009F6E36"/>
    <w:rsid w:val="00A01123"/>
    <w:rsid w:val="00A03C6E"/>
    <w:rsid w:val="00A06FBE"/>
    <w:rsid w:val="00A17205"/>
    <w:rsid w:val="00A211D6"/>
    <w:rsid w:val="00A35AA8"/>
    <w:rsid w:val="00A36EFC"/>
    <w:rsid w:val="00A4327C"/>
    <w:rsid w:val="00A466E1"/>
    <w:rsid w:val="00A51412"/>
    <w:rsid w:val="00A520A5"/>
    <w:rsid w:val="00A56D1A"/>
    <w:rsid w:val="00A60027"/>
    <w:rsid w:val="00A62DBE"/>
    <w:rsid w:val="00A64DB8"/>
    <w:rsid w:val="00A664F0"/>
    <w:rsid w:val="00A70197"/>
    <w:rsid w:val="00A81D4D"/>
    <w:rsid w:val="00A82035"/>
    <w:rsid w:val="00A83F12"/>
    <w:rsid w:val="00A95DCA"/>
    <w:rsid w:val="00AA0305"/>
    <w:rsid w:val="00AA5C32"/>
    <w:rsid w:val="00AB08DD"/>
    <w:rsid w:val="00AB0F8E"/>
    <w:rsid w:val="00AB14E6"/>
    <w:rsid w:val="00AB1F4B"/>
    <w:rsid w:val="00AB374F"/>
    <w:rsid w:val="00AC10BA"/>
    <w:rsid w:val="00AD0628"/>
    <w:rsid w:val="00AD55BA"/>
    <w:rsid w:val="00AD6C9D"/>
    <w:rsid w:val="00AD7E26"/>
    <w:rsid w:val="00AE33E5"/>
    <w:rsid w:val="00AF6BCC"/>
    <w:rsid w:val="00B012C0"/>
    <w:rsid w:val="00B07C0F"/>
    <w:rsid w:val="00B12DDD"/>
    <w:rsid w:val="00B1360D"/>
    <w:rsid w:val="00B15D80"/>
    <w:rsid w:val="00B253FA"/>
    <w:rsid w:val="00B25C49"/>
    <w:rsid w:val="00B34597"/>
    <w:rsid w:val="00B44FAE"/>
    <w:rsid w:val="00B462EB"/>
    <w:rsid w:val="00B601C5"/>
    <w:rsid w:val="00B6478E"/>
    <w:rsid w:val="00B64BB1"/>
    <w:rsid w:val="00B65123"/>
    <w:rsid w:val="00B66133"/>
    <w:rsid w:val="00B67B44"/>
    <w:rsid w:val="00B72411"/>
    <w:rsid w:val="00BB446B"/>
    <w:rsid w:val="00BB6DE0"/>
    <w:rsid w:val="00BC16B3"/>
    <w:rsid w:val="00BC3354"/>
    <w:rsid w:val="00BC7394"/>
    <w:rsid w:val="00BC7A68"/>
    <w:rsid w:val="00BD0CEC"/>
    <w:rsid w:val="00BD198D"/>
    <w:rsid w:val="00BD4BCD"/>
    <w:rsid w:val="00BD526C"/>
    <w:rsid w:val="00BE0319"/>
    <w:rsid w:val="00BE161A"/>
    <w:rsid w:val="00BE6A62"/>
    <w:rsid w:val="00BF16A9"/>
    <w:rsid w:val="00BF1F48"/>
    <w:rsid w:val="00BF7824"/>
    <w:rsid w:val="00BF7E62"/>
    <w:rsid w:val="00C11C5E"/>
    <w:rsid w:val="00C14D70"/>
    <w:rsid w:val="00C1515E"/>
    <w:rsid w:val="00C47619"/>
    <w:rsid w:val="00C70BAB"/>
    <w:rsid w:val="00C91DAF"/>
    <w:rsid w:val="00C94203"/>
    <w:rsid w:val="00CC301D"/>
    <w:rsid w:val="00CD3ABF"/>
    <w:rsid w:val="00CD4020"/>
    <w:rsid w:val="00CE2542"/>
    <w:rsid w:val="00CE5F35"/>
    <w:rsid w:val="00CF25E1"/>
    <w:rsid w:val="00CF6DB9"/>
    <w:rsid w:val="00D0098E"/>
    <w:rsid w:val="00D009BB"/>
    <w:rsid w:val="00D04789"/>
    <w:rsid w:val="00D0706B"/>
    <w:rsid w:val="00D141DE"/>
    <w:rsid w:val="00D208DE"/>
    <w:rsid w:val="00D24B87"/>
    <w:rsid w:val="00D27CA3"/>
    <w:rsid w:val="00D312D7"/>
    <w:rsid w:val="00D32052"/>
    <w:rsid w:val="00D34114"/>
    <w:rsid w:val="00D35954"/>
    <w:rsid w:val="00D35F7A"/>
    <w:rsid w:val="00D42C52"/>
    <w:rsid w:val="00D439D6"/>
    <w:rsid w:val="00D473C9"/>
    <w:rsid w:val="00D51235"/>
    <w:rsid w:val="00D5251A"/>
    <w:rsid w:val="00D56288"/>
    <w:rsid w:val="00D57FA5"/>
    <w:rsid w:val="00D61F07"/>
    <w:rsid w:val="00D6675A"/>
    <w:rsid w:val="00D66919"/>
    <w:rsid w:val="00D67A9D"/>
    <w:rsid w:val="00D701AA"/>
    <w:rsid w:val="00D847E7"/>
    <w:rsid w:val="00D849CD"/>
    <w:rsid w:val="00D877CF"/>
    <w:rsid w:val="00D94526"/>
    <w:rsid w:val="00DA310E"/>
    <w:rsid w:val="00DB2FC3"/>
    <w:rsid w:val="00DB3D3A"/>
    <w:rsid w:val="00DB6152"/>
    <w:rsid w:val="00DC2B8C"/>
    <w:rsid w:val="00DC2EFE"/>
    <w:rsid w:val="00DC45A2"/>
    <w:rsid w:val="00DC56E7"/>
    <w:rsid w:val="00DC7A01"/>
    <w:rsid w:val="00DD1CEB"/>
    <w:rsid w:val="00DD282E"/>
    <w:rsid w:val="00DD5434"/>
    <w:rsid w:val="00DD6E2C"/>
    <w:rsid w:val="00DE031B"/>
    <w:rsid w:val="00DE2A95"/>
    <w:rsid w:val="00DE3F9A"/>
    <w:rsid w:val="00DE6655"/>
    <w:rsid w:val="00DF0E6E"/>
    <w:rsid w:val="00DF1C1B"/>
    <w:rsid w:val="00DF3B4D"/>
    <w:rsid w:val="00E05383"/>
    <w:rsid w:val="00E16D77"/>
    <w:rsid w:val="00E216CC"/>
    <w:rsid w:val="00E23BB0"/>
    <w:rsid w:val="00E263FE"/>
    <w:rsid w:val="00E26CF2"/>
    <w:rsid w:val="00E27CD1"/>
    <w:rsid w:val="00E30EF2"/>
    <w:rsid w:val="00E435AB"/>
    <w:rsid w:val="00E44F99"/>
    <w:rsid w:val="00E65A14"/>
    <w:rsid w:val="00E66433"/>
    <w:rsid w:val="00E81ED5"/>
    <w:rsid w:val="00E8543C"/>
    <w:rsid w:val="00E970E5"/>
    <w:rsid w:val="00E979B5"/>
    <w:rsid w:val="00E97A9B"/>
    <w:rsid w:val="00EB0013"/>
    <w:rsid w:val="00EB514E"/>
    <w:rsid w:val="00ED362E"/>
    <w:rsid w:val="00ED3AB2"/>
    <w:rsid w:val="00ED5CC9"/>
    <w:rsid w:val="00EF1095"/>
    <w:rsid w:val="00EF6992"/>
    <w:rsid w:val="00F039F6"/>
    <w:rsid w:val="00F0513C"/>
    <w:rsid w:val="00F1731F"/>
    <w:rsid w:val="00F209CD"/>
    <w:rsid w:val="00F25B4A"/>
    <w:rsid w:val="00F3393C"/>
    <w:rsid w:val="00F3508A"/>
    <w:rsid w:val="00F43BAF"/>
    <w:rsid w:val="00F5197C"/>
    <w:rsid w:val="00F6017C"/>
    <w:rsid w:val="00F6773E"/>
    <w:rsid w:val="00F71688"/>
    <w:rsid w:val="00F7607B"/>
    <w:rsid w:val="00F860D9"/>
    <w:rsid w:val="00F95BF8"/>
    <w:rsid w:val="00FB2BE5"/>
    <w:rsid w:val="00FC3483"/>
    <w:rsid w:val="00FC710D"/>
    <w:rsid w:val="00FC736B"/>
    <w:rsid w:val="00FD4607"/>
    <w:rsid w:val="00FD4A0A"/>
    <w:rsid w:val="00FD5D19"/>
    <w:rsid w:val="00FE2D37"/>
    <w:rsid w:val="00FE42C8"/>
    <w:rsid w:val="00FE7D7B"/>
    <w:rsid w:val="00FF086E"/>
    <w:rsid w:val="00FF57F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F896"/>
  <w15:docId w15:val="{86EE76D4-6ACB-4A03-8CA5-22362EA0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 w:val="24"/>
        <w:szCs w:val="24"/>
        <w:lang w:val="en-US" w:eastAsia="en-US" w:bidi="he-IL"/>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D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D198D"/>
    <w:rPr>
      <w:color w:val="0000FF" w:themeColor="hyperlink"/>
      <w:u w:val="single"/>
    </w:rPr>
  </w:style>
  <w:style w:type="paragraph" w:styleId="Header">
    <w:name w:val="header"/>
    <w:basedOn w:val="Normal"/>
    <w:link w:val="HeaderChar"/>
    <w:uiPriority w:val="99"/>
    <w:unhideWhenUsed/>
    <w:rsid w:val="00512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C6D"/>
  </w:style>
  <w:style w:type="paragraph" w:styleId="Footer">
    <w:name w:val="footer"/>
    <w:basedOn w:val="Normal"/>
    <w:link w:val="FooterChar"/>
    <w:uiPriority w:val="99"/>
    <w:unhideWhenUsed/>
    <w:rsid w:val="00512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C6D"/>
  </w:style>
  <w:style w:type="character" w:customStyle="1" w:styleId="a">
    <w:name w:val="_"/>
    <w:basedOn w:val="DefaultParagraphFont"/>
    <w:rsid w:val="004461DD"/>
  </w:style>
  <w:style w:type="paragraph" w:styleId="ListParagraph">
    <w:name w:val="List Paragraph"/>
    <w:basedOn w:val="Normal"/>
    <w:uiPriority w:val="34"/>
    <w:qFormat/>
    <w:rsid w:val="000E0774"/>
    <w:pPr>
      <w:ind w:left="720"/>
      <w:contextualSpacing/>
    </w:pPr>
  </w:style>
  <w:style w:type="character" w:styleId="CommentReference">
    <w:name w:val="annotation reference"/>
    <w:basedOn w:val="DefaultParagraphFont"/>
    <w:uiPriority w:val="99"/>
    <w:semiHidden/>
    <w:unhideWhenUsed/>
    <w:rsid w:val="005A38F7"/>
    <w:rPr>
      <w:sz w:val="16"/>
      <w:szCs w:val="16"/>
    </w:rPr>
  </w:style>
  <w:style w:type="paragraph" w:styleId="CommentText">
    <w:name w:val="annotation text"/>
    <w:basedOn w:val="Normal"/>
    <w:link w:val="CommentTextChar"/>
    <w:uiPriority w:val="99"/>
    <w:unhideWhenUsed/>
    <w:rsid w:val="005A38F7"/>
    <w:pPr>
      <w:bidi/>
      <w:spacing w:after="16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5A38F7"/>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5A3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8F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B2342"/>
    <w:pPr>
      <w:bidi w:val="0"/>
      <w:spacing w:after="200"/>
    </w:pPr>
    <w:rPr>
      <w:rFonts w:ascii="Times New Roman" w:hAnsi="Times New Roman" w:cs="David"/>
      <w:b/>
      <w:bCs/>
    </w:rPr>
  </w:style>
  <w:style w:type="character" w:customStyle="1" w:styleId="CommentSubjectChar">
    <w:name w:val="Comment Subject Char"/>
    <w:basedOn w:val="CommentTextChar"/>
    <w:link w:val="CommentSubject"/>
    <w:uiPriority w:val="99"/>
    <w:semiHidden/>
    <w:rsid w:val="007B2342"/>
    <w:rPr>
      <w:rFonts w:asciiTheme="minorHAnsi" w:hAnsiTheme="minorHAnsi" w:cstheme="minorBidi"/>
      <w:b/>
      <w:bCs/>
      <w:sz w:val="20"/>
      <w:szCs w:val="20"/>
    </w:rPr>
  </w:style>
  <w:style w:type="paragraph" w:styleId="Revision">
    <w:name w:val="Revision"/>
    <w:hidden/>
    <w:uiPriority w:val="99"/>
    <w:semiHidden/>
    <w:rsid w:val="0049533A"/>
    <w:pPr>
      <w:spacing w:after="0" w:line="240" w:lineRule="auto"/>
    </w:pPr>
  </w:style>
  <w:style w:type="character" w:styleId="Emphasis">
    <w:name w:val="Emphasis"/>
    <w:basedOn w:val="DefaultParagraphFont"/>
    <w:uiPriority w:val="20"/>
    <w:qFormat/>
    <w:rsid w:val="004B1488"/>
    <w:rPr>
      <w:i/>
      <w:iCs/>
    </w:rPr>
  </w:style>
  <w:style w:type="character" w:styleId="UnresolvedMention">
    <w:name w:val="Unresolved Mention"/>
    <w:basedOn w:val="DefaultParagraphFont"/>
    <w:uiPriority w:val="99"/>
    <w:semiHidden/>
    <w:unhideWhenUsed/>
    <w:rsid w:val="009A322D"/>
    <w:rPr>
      <w:color w:val="605E5C"/>
      <w:shd w:val="clear" w:color="auto" w:fill="E1DFDD"/>
    </w:rPr>
  </w:style>
  <w:style w:type="paragraph" w:styleId="HTMLPreformatted">
    <w:name w:val="HTML Preformatted"/>
    <w:basedOn w:val="Normal"/>
    <w:link w:val="HTMLPreformattedChar"/>
    <w:uiPriority w:val="99"/>
    <w:semiHidden/>
    <w:unhideWhenUsed/>
    <w:rsid w:val="00180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09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489">
      <w:bodyDiv w:val="1"/>
      <w:marLeft w:val="0"/>
      <w:marRight w:val="0"/>
      <w:marTop w:val="0"/>
      <w:marBottom w:val="0"/>
      <w:divBdr>
        <w:top w:val="none" w:sz="0" w:space="0" w:color="auto"/>
        <w:left w:val="none" w:sz="0" w:space="0" w:color="auto"/>
        <w:bottom w:val="none" w:sz="0" w:space="0" w:color="auto"/>
        <w:right w:val="none" w:sz="0" w:space="0" w:color="auto"/>
      </w:divBdr>
    </w:div>
    <w:div w:id="203904000">
      <w:bodyDiv w:val="1"/>
      <w:marLeft w:val="0"/>
      <w:marRight w:val="0"/>
      <w:marTop w:val="0"/>
      <w:marBottom w:val="0"/>
      <w:divBdr>
        <w:top w:val="none" w:sz="0" w:space="0" w:color="auto"/>
        <w:left w:val="none" w:sz="0" w:space="0" w:color="auto"/>
        <w:bottom w:val="none" w:sz="0" w:space="0" w:color="auto"/>
        <w:right w:val="none" w:sz="0" w:space="0" w:color="auto"/>
      </w:divBdr>
    </w:div>
    <w:div w:id="230773273">
      <w:bodyDiv w:val="1"/>
      <w:marLeft w:val="0"/>
      <w:marRight w:val="0"/>
      <w:marTop w:val="0"/>
      <w:marBottom w:val="0"/>
      <w:divBdr>
        <w:top w:val="none" w:sz="0" w:space="0" w:color="auto"/>
        <w:left w:val="none" w:sz="0" w:space="0" w:color="auto"/>
        <w:bottom w:val="none" w:sz="0" w:space="0" w:color="auto"/>
        <w:right w:val="none" w:sz="0" w:space="0" w:color="auto"/>
      </w:divBdr>
      <w:divsChild>
        <w:div w:id="159201828">
          <w:marLeft w:val="0"/>
          <w:marRight w:val="0"/>
          <w:marTop w:val="0"/>
          <w:marBottom w:val="0"/>
          <w:divBdr>
            <w:top w:val="none" w:sz="0" w:space="0" w:color="auto"/>
            <w:left w:val="none" w:sz="0" w:space="0" w:color="auto"/>
            <w:bottom w:val="none" w:sz="0" w:space="0" w:color="auto"/>
            <w:right w:val="none" w:sz="0" w:space="0" w:color="auto"/>
          </w:divBdr>
        </w:div>
      </w:divsChild>
    </w:div>
    <w:div w:id="469790022">
      <w:bodyDiv w:val="1"/>
      <w:marLeft w:val="0"/>
      <w:marRight w:val="0"/>
      <w:marTop w:val="0"/>
      <w:marBottom w:val="0"/>
      <w:divBdr>
        <w:top w:val="none" w:sz="0" w:space="0" w:color="auto"/>
        <w:left w:val="none" w:sz="0" w:space="0" w:color="auto"/>
        <w:bottom w:val="none" w:sz="0" w:space="0" w:color="auto"/>
        <w:right w:val="none" w:sz="0" w:space="0" w:color="auto"/>
      </w:divBdr>
      <w:divsChild>
        <w:div w:id="1443763853">
          <w:marLeft w:val="0"/>
          <w:marRight w:val="0"/>
          <w:marTop w:val="0"/>
          <w:marBottom w:val="0"/>
          <w:divBdr>
            <w:top w:val="none" w:sz="0" w:space="0" w:color="auto"/>
            <w:left w:val="none" w:sz="0" w:space="0" w:color="auto"/>
            <w:bottom w:val="none" w:sz="0" w:space="0" w:color="auto"/>
            <w:right w:val="none" w:sz="0" w:space="0" w:color="auto"/>
          </w:divBdr>
        </w:div>
      </w:divsChild>
    </w:div>
    <w:div w:id="489368700">
      <w:bodyDiv w:val="1"/>
      <w:marLeft w:val="0"/>
      <w:marRight w:val="0"/>
      <w:marTop w:val="0"/>
      <w:marBottom w:val="0"/>
      <w:divBdr>
        <w:top w:val="none" w:sz="0" w:space="0" w:color="auto"/>
        <w:left w:val="none" w:sz="0" w:space="0" w:color="auto"/>
        <w:bottom w:val="none" w:sz="0" w:space="0" w:color="auto"/>
        <w:right w:val="none" w:sz="0" w:space="0" w:color="auto"/>
      </w:divBdr>
    </w:div>
    <w:div w:id="773669757">
      <w:bodyDiv w:val="1"/>
      <w:marLeft w:val="0"/>
      <w:marRight w:val="0"/>
      <w:marTop w:val="0"/>
      <w:marBottom w:val="0"/>
      <w:divBdr>
        <w:top w:val="none" w:sz="0" w:space="0" w:color="auto"/>
        <w:left w:val="none" w:sz="0" w:space="0" w:color="auto"/>
        <w:bottom w:val="none" w:sz="0" w:space="0" w:color="auto"/>
        <w:right w:val="none" w:sz="0" w:space="0" w:color="auto"/>
      </w:divBdr>
      <w:divsChild>
        <w:div w:id="1794202311">
          <w:marLeft w:val="0"/>
          <w:marRight w:val="0"/>
          <w:marTop w:val="0"/>
          <w:marBottom w:val="0"/>
          <w:divBdr>
            <w:top w:val="none" w:sz="0" w:space="0" w:color="auto"/>
            <w:left w:val="none" w:sz="0" w:space="0" w:color="auto"/>
            <w:bottom w:val="none" w:sz="0" w:space="0" w:color="auto"/>
            <w:right w:val="none" w:sz="0" w:space="0" w:color="auto"/>
          </w:divBdr>
        </w:div>
      </w:divsChild>
    </w:div>
    <w:div w:id="851646113">
      <w:bodyDiv w:val="1"/>
      <w:marLeft w:val="0"/>
      <w:marRight w:val="0"/>
      <w:marTop w:val="0"/>
      <w:marBottom w:val="0"/>
      <w:divBdr>
        <w:top w:val="none" w:sz="0" w:space="0" w:color="auto"/>
        <w:left w:val="none" w:sz="0" w:space="0" w:color="auto"/>
        <w:bottom w:val="none" w:sz="0" w:space="0" w:color="auto"/>
        <w:right w:val="none" w:sz="0" w:space="0" w:color="auto"/>
      </w:divBdr>
      <w:divsChild>
        <w:div w:id="1121454385">
          <w:marLeft w:val="0"/>
          <w:marRight w:val="0"/>
          <w:marTop w:val="0"/>
          <w:marBottom w:val="0"/>
          <w:divBdr>
            <w:top w:val="none" w:sz="0" w:space="0" w:color="auto"/>
            <w:left w:val="none" w:sz="0" w:space="0" w:color="auto"/>
            <w:bottom w:val="none" w:sz="0" w:space="0" w:color="auto"/>
            <w:right w:val="none" w:sz="0" w:space="0" w:color="auto"/>
          </w:divBdr>
        </w:div>
      </w:divsChild>
    </w:div>
    <w:div w:id="1122575335">
      <w:bodyDiv w:val="1"/>
      <w:marLeft w:val="0"/>
      <w:marRight w:val="0"/>
      <w:marTop w:val="0"/>
      <w:marBottom w:val="0"/>
      <w:divBdr>
        <w:top w:val="none" w:sz="0" w:space="0" w:color="auto"/>
        <w:left w:val="none" w:sz="0" w:space="0" w:color="auto"/>
        <w:bottom w:val="none" w:sz="0" w:space="0" w:color="auto"/>
        <w:right w:val="none" w:sz="0" w:space="0" w:color="auto"/>
      </w:divBdr>
      <w:divsChild>
        <w:div w:id="1558592918">
          <w:marLeft w:val="0"/>
          <w:marRight w:val="0"/>
          <w:marTop w:val="0"/>
          <w:marBottom w:val="0"/>
          <w:divBdr>
            <w:top w:val="none" w:sz="0" w:space="0" w:color="auto"/>
            <w:left w:val="none" w:sz="0" w:space="0" w:color="auto"/>
            <w:bottom w:val="none" w:sz="0" w:space="0" w:color="auto"/>
            <w:right w:val="none" w:sz="0" w:space="0" w:color="auto"/>
          </w:divBdr>
        </w:div>
      </w:divsChild>
    </w:div>
    <w:div w:id="1195582610">
      <w:bodyDiv w:val="1"/>
      <w:marLeft w:val="0"/>
      <w:marRight w:val="0"/>
      <w:marTop w:val="0"/>
      <w:marBottom w:val="0"/>
      <w:divBdr>
        <w:top w:val="none" w:sz="0" w:space="0" w:color="auto"/>
        <w:left w:val="none" w:sz="0" w:space="0" w:color="auto"/>
        <w:bottom w:val="none" w:sz="0" w:space="0" w:color="auto"/>
        <w:right w:val="none" w:sz="0" w:space="0" w:color="auto"/>
      </w:divBdr>
      <w:divsChild>
        <w:div w:id="1854224049">
          <w:marLeft w:val="0"/>
          <w:marRight w:val="0"/>
          <w:marTop w:val="0"/>
          <w:marBottom w:val="0"/>
          <w:divBdr>
            <w:top w:val="none" w:sz="0" w:space="0" w:color="auto"/>
            <w:left w:val="none" w:sz="0" w:space="0" w:color="auto"/>
            <w:bottom w:val="none" w:sz="0" w:space="0" w:color="auto"/>
            <w:right w:val="none" w:sz="0" w:space="0" w:color="auto"/>
          </w:divBdr>
        </w:div>
      </w:divsChild>
    </w:div>
    <w:div w:id="1221329529">
      <w:bodyDiv w:val="1"/>
      <w:marLeft w:val="0"/>
      <w:marRight w:val="0"/>
      <w:marTop w:val="0"/>
      <w:marBottom w:val="0"/>
      <w:divBdr>
        <w:top w:val="none" w:sz="0" w:space="0" w:color="auto"/>
        <w:left w:val="none" w:sz="0" w:space="0" w:color="auto"/>
        <w:bottom w:val="none" w:sz="0" w:space="0" w:color="auto"/>
        <w:right w:val="none" w:sz="0" w:space="0" w:color="auto"/>
      </w:divBdr>
    </w:div>
    <w:div w:id="1258103448">
      <w:bodyDiv w:val="1"/>
      <w:marLeft w:val="0"/>
      <w:marRight w:val="0"/>
      <w:marTop w:val="0"/>
      <w:marBottom w:val="0"/>
      <w:divBdr>
        <w:top w:val="none" w:sz="0" w:space="0" w:color="auto"/>
        <w:left w:val="none" w:sz="0" w:space="0" w:color="auto"/>
        <w:bottom w:val="none" w:sz="0" w:space="0" w:color="auto"/>
        <w:right w:val="none" w:sz="0" w:space="0" w:color="auto"/>
      </w:divBdr>
      <w:divsChild>
        <w:div w:id="43255266">
          <w:marLeft w:val="0"/>
          <w:marRight w:val="0"/>
          <w:marTop w:val="0"/>
          <w:marBottom w:val="0"/>
          <w:divBdr>
            <w:top w:val="none" w:sz="0" w:space="0" w:color="auto"/>
            <w:left w:val="none" w:sz="0" w:space="0" w:color="auto"/>
            <w:bottom w:val="none" w:sz="0" w:space="0" w:color="auto"/>
            <w:right w:val="none" w:sz="0" w:space="0" w:color="auto"/>
          </w:divBdr>
        </w:div>
        <w:div w:id="106895333">
          <w:marLeft w:val="0"/>
          <w:marRight w:val="0"/>
          <w:marTop w:val="0"/>
          <w:marBottom w:val="0"/>
          <w:divBdr>
            <w:top w:val="none" w:sz="0" w:space="0" w:color="auto"/>
            <w:left w:val="none" w:sz="0" w:space="0" w:color="auto"/>
            <w:bottom w:val="none" w:sz="0" w:space="0" w:color="auto"/>
            <w:right w:val="none" w:sz="0" w:space="0" w:color="auto"/>
          </w:divBdr>
        </w:div>
        <w:div w:id="115367679">
          <w:marLeft w:val="0"/>
          <w:marRight w:val="0"/>
          <w:marTop w:val="0"/>
          <w:marBottom w:val="0"/>
          <w:divBdr>
            <w:top w:val="none" w:sz="0" w:space="0" w:color="auto"/>
            <w:left w:val="none" w:sz="0" w:space="0" w:color="auto"/>
            <w:bottom w:val="none" w:sz="0" w:space="0" w:color="auto"/>
            <w:right w:val="none" w:sz="0" w:space="0" w:color="auto"/>
          </w:divBdr>
        </w:div>
        <w:div w:id="212740283">
          <w:marLeft w:val="0"/>
          <w:marRight w:val="0"/>
          <w:marTop w:val="0"/>
          <w:marBottom w:val="0"/>
          <w:divBdr>
            <w:top w:val="none" w:sz="0" w:space="0" w:color="auto"/>
            <w:left w:val="none" w:sz="0" w:space="0" w:color="auto"/>
            <w:bottom w:val="none" w:sz="0" w:space="0" w:color="auto"/>
            <w:right w:val="none" w:sz="0" w:space="0" w:color="auto"/>
          </w:divBdr>
        </w:div>
        <w:div w:id="321129432">
          <w:marLeft w:val="0"/>
          <w:marRight w:val="0"/>
          <w:marTop w:val="0"/>
          <w:marBottom w:val="0"/>
          <w:divBdr>
            <w:top w:val="none" w:sz="0" w:space="0" w:color="auto"/>
            <w:left w:val="none" w:sz="0" w:space="0" w:color="auto"/>
            <w:bottom w:val="none" w:sz="0" w:space="0" w:color="auto"/>
            <w:right w:val="none" w:sz="0" w:space="0" w:color="auto"/>
          </w:divBdr>
        </w:div>
        <w:div w:id="460808014">
          <w:marLeft w:val="0"/>
          <w:marRight w:val="0"/>
          <w:marTop w:val="0"/>
          <w:marBottom w:val="0"/>
          <w:divBdr>
            <w:top w:val="none" w:sz="0" w:space="0" w:color="auto"/>
            <w:left w:val="none" w:sz="0" w:space="0" w:color="auto"/>
            <w:bottom w:val="none" w:sz="0" w:space="0" w:color="auto"/>
            <w:right w:val="none" w:sz="0" w:space="0" w:color="auto"/>
          </w:divBdr>
        </w:div>
        <w:div w:id="538518127">
          <w:marLeft w:val="0"/>
          <w:marRight w:val="0"/>
          <w:marTop w:val="0"/>
          <w:marBottom w:val="0"/>
          <w:divBdr>
            <w:top w:val="none" w:sz="0" w:space="0" w:color="auto"/>
            <w:left w:val="none" w:sz="0" w:space="0" w:color="auto"/>
            <w:bottom w:val="none" w:sz="0" w:space="0" w:color="auto"/>
            <w:right w:val="none" w:sz="0" w:space="0" w:color="auto"/>
          </w:divBdr>
        </w:div>
        <w:div w:id="873349478">
          <w:marLeft w:val="0"/>
          <w:marRight w:val="0"/>
          <w:marTop w:val="0"/>
          <w:marBottom w:val="0"/>
          <w:divBdr>
            <w:top w:val="none" w:sz="0" w:space="0" w:color="auto"/>
            <w:left w:val="none" w:sz="0" w:space="0" w:color="auto"/>
            <w:bottom w:val="none" w:sz="0" w:space="0" w:color="auto"/>
            <w:right w:val="none" w:sz="0" w:space="0" w:color="auto"/>
          </w:divBdr>
        </w:div>
        <w:div w:id="875771572">
          <w:marLeft w:val="0"/>
          <w:marRight w:val="0"/>
          <w:marTop w:val="0"/>
          <w:marBottom w:val="0"/>
          <w:divBdr>
            <w:top w:val="none" w:sz="0" w:space="0" w:color="auto"/>
            <w:left w:val="none" w:sz="0" w:space="0" w:color="auto"/>
            <w:bottom w:val="none" w:sz="0" w:space="0" w:color="auto"/>
            <w:right w:val="none" w:sz="0" w:space="0" w:color="auto"/>
          </w:divBdr>
        </w:div>
        <w:div w:id="993989292">
          <w:marLeft w:val="0"/>
          <w:marRight w:val="0"/>
          <w:marTop w:val="0"/>
          <w:marBottom w:val="0"/>
          <w:divBdr>
            <w:top w:val="none" w:sz="0" w:space="0" w:color="auto"/>
            <w:left w:val="none" w:sz="0" w:space="0" w:color="auto"/>
            <w:bottom w:val="none" w:sz="0" w:space="0" w:color="auto"/>
            <w:right w:val="none" w:sz="0" w:space="0" w:color="auto"/>
          </w:divBdr>
        </w:div>
        <w:div w:id="1730227794">
          <w:marLeft w:val="0"/>
          <w:marRight w:val="0"/>
          <w:marTop w:val="0"/>
          <w:marBottom w:val="0"/>
          <w:divBdr>
            <w:top w:val="none" w:sz="0" w:space="0" w:color="auto"/>
            <w:left w:val="none" w:sz="0" w:space="0" w:color="auto"/>
            <w:bottom w:val="none" w:sz="0" w:space="0" w:color="auto"/>
            <w:right w:val="none" w:sz="0" w:space="0" w:color="auto"/>
          </w:divBdr>
        </w:div>
        <w:div w:id="2006980860">
          <w:marLeft w:val="0"/>
          <w:marRight w:val="0"/>
          <w:marTop w:val="0"/>
          <w:marBottom w:val="0"/>
          <w:divBdr>
            <w:top w:val="none" w:sz="0" w:space="0" w:color="auto"/>
            <w:left w:val="none" w:sz="0" w:space="0" w:color="auto"/>
            <w:bottom w:val="none" w:sz="0" w:space="0" w:color="auto"/>
            <w:right w:val="none" w:sz="0" w:space="0" w:color="auto"/>
          </w:divBdr>
        </w:div>
        <w:div w:id="2032680655">
          <w:marLeft w:val="0"/>
          <w:marRight w:val="0"/>
          <w:marTop w:val="0"/>
          <w:marBottom w:val="0"/>
          <w:divBdr>
            <w:top w:val="none" w:sz="0" w:space="0" w:color="auto"/>
            <w:left w:val="none" w:sz="0" w:space="0" w:color="auto"/>
            <w:bottom w:val="none" w:sz="0" w:space="0" w:color="auto"/>
            <w:right w:val="none" w:sz="0" w:space="0" w:color="auto"/>
          </w:divBdr>
        </w:div>
      </w:divsChild>
    </w:div>
    <w:div w:id="1352026209">
      <w:bodyDiv w:val="1"/>
      <w:marLeft w:val="0"/>
      <w:marRight w:val="0"/>
      <w:marTop w:val="0"/>
      <w:marBottom w:val="0"/>
      <w:divBdr>
        <w:top w:val="none" w:sz="0" w:space="0" w:color="auto"/>
        <w:left w:val="none" w:sz="0" w:space="0" w:color="auto"/>
        <w:bottom w:val="none" w:sz="0" w:space="0" w:color="auto"/>
        <w:right w:val="none" w:sz="0" w:space="0" w:color="auto"/>
      </w:divBdr>
      <w:divsChild>
        <w:div w:id="119616935">
          <w:marLeft w:val="0"/>
          <w:marRight w:val="0"/>
          <w:marTop w:val="0"/>
          <w:marBottom w:val="0"/>
          <w:divBdr>
            <w:top w:val="none" w:sz="0" w:space="0" w:color="auto"/>
            <w:left w:val="none" w:sz="0" w:space="0" w:color="auto"/>
            <w:bottom w:val="none" w:sz="0" w:space="0" w:color="auto"/>
            <w:right w:val="none" w:sz="0" w:space="0" w:color="auto"/>
          </w:divBdr>
        </w:div>
      </w:divsChild>
    </w:div>
    <w:div w:id="1396586903">
      <w:bodyDiv w:val="1"/>
      <w:marLeft w:val="0"/>
      <w:marRight w:val="0"/>
      <w:marTop w:val="0"/>
      <w:marBottom w:val="0"/>
      <w:divBdr>
        <w:top w:val="none" w:sz="0" w:space="0" w:color="auto"/>
        <w:left w:val="none" w:sz="0" w:space="0" w:color="auto"/>
        <w:bottom w:val="none" w:sz="0" w:space="0" w:color="auto"/>
        <w:right w:val="none" w:sz="0" w:space="0" w:color="auto"/>
      </w:divBdr>
    </w:div>
    <w:div w:id="1468356180">
      <w:bodyDiv w:val="1"/>
      <w:marLeft w:val="0"/>
      <w:marRight w:val="0"/>
      <w:marTop w:val="0"/>
      <w:marBottom w:val="0"/>
      <w:divBdr>
        <w:top w:val="none" w:sz="0" w:space="0" w:color="auto"/>
        <w:left w:val="none" w:sz="0" w:space="0" w:color="auto"/>
        <w:bottom w:val="none" w:sz="0" w:space="0" w:color="auto"/>
        <w:right w:val="none" w:sz="0" w:space="0" w:color="auto"/>
      </w:divBdr>
      <w:divsChild>
        <w:div w:id="1154683617">
          <w:marLeft w:val="0"/>
          <w:marRight w:val="0"/>
          <w:marTop w:val="0"/>
          <w:marBottom w:val="0"/>
          <w:divBdr>
            <w:top w:val="none" w:sz="0" w:space="0" w:color="auto"/>
            <w:left w:val="none" w:sz="0" w:space="0" w:color="auto"/>
            <w:bottom w:val="none" w:sz="0" w:space="0" w:color="auto"/>
            <w:right w:val="none" w:sz="0" w:space="0" w:color="auto"/>
          </w:divBdr>
        </w:div>
      </w:divsChild>
    </w:div>
    <w:div w:id="1518156818">
      <w:bodyDiv w:val="1"/>
      <w:marLeft w:val="0"/>
      <w:marRight w:val="0"/>
      <w:marTop w:val="0"/>
      <w:marBottom w:val="0"/>
      <w:divBdr>
        <w:top w:val="none" w:sz="0" w:space="0" w:color="auto"/>
        <w:left w:val="none" w:sz="0" w:space="0" w:color="auto"/>
        <w:bottom w:val="none" w:sz="0" w:space="0" w:color="auto"/>
        <w:right w:val="none" w:sz="0" w:space="0" w:color="auto"/>
      </w:divBdr>
    </w:div>
    <w:div w:id="1525094520">
      <w:bodyDiv w:val="1"/>
      <w:marLeft w:val="0"/>
      <w:marRight w:val="0"/>
      <w:marTop w:val="0"/>
      <w:marBottom w:val="0"/>
      <w:divBdr>
        <w:top w:val="none" w:sz="0" w:space="0" w:color="auto"/>
        <w:left w:val="none" w:sz="0" w:space="0" w:color="auto"/>
        <w:bottom w:val="none" w:sz="0" w:space="0" w:color="auto"/>
        <w:right w:val="none" w:sz="0" w:space="0" w:color="auto"/>
      </w:divBdr>
      <w:divsChild>
        <w:div w:id="1548683213">
          <w:marLeft w:val="0"/>
          <w:marRight w:val="0"/>
          <w:marTop w:val="0"/>
          <w:marBottom w:val="0"/>
          <w:divBdr>
            <w:top w:val="none" w:sz="0" w:space="0" w:color="auto"/>
            <w:left w:val="none" w:sz="0" w:space="0" w:color="auto"/>
            <w:bottom w:val="none" w:sz="0" w:space="0" w:color="auto"/>
            <w:right w:val="none" w:sz="0" w:space="0" w:color="auto"/>
          </w:divBdr>
        </w:div>
      </w:divsChild>
    </w:div>
    <w:div w:id="1563757727">
      <w:bodyDiv w:val="1"/>
      <w:marLeft w:val="0"/>
      <w:marRight w:val="0"/>
      <w:marTop w:val="0"/>
      <w:marBottom w:val="0"/>
      <w:divBdr>
        <w:top w:val="none" w:sz="0" w:space="0" w:color="auto"/>
        <w:left w:val="none" w:sz="0" w:space="0" w:color="auto"/>
        <w:bottom w:val="none" w:sz="0" w:space="0" w:color="auto"/>
        <w:right w:val="none" w:sz="0" w:space="0" w:color="auto"/>
      </w:divBdr>
      <w:divsChild>
        <w:div w:id="1498769855">
          <w:marLeft w:val="0"/>
          <w:marRight w:val="0"/>
          <w:marTop w:val="0"/>
          <w:marBottom w:val="0"/>
          <w:divBdr>
            <w:top w:val="none" w:sz="0" w:space="0" w:color="auto"/>
            <w:left w:val="none" w:sz="0" w:space="0" w:color="auto"/>
            <w:bottom w:val="none" w:sz="0" w:space="0" w:color="auto"/>
            <w:right w:val="none" w:sz="0" w:space="0" w:color="auto"/>
          </w:divBdr>
        </w:div>
      </w:divsChild>
    </w:div>
    <w:div w:id="1765951508">
      <w:bodyDiv w:val="1"/>
      <w:marLeft w:val="0"/>
      <w:marRight w:val="0"/>
      <w:marTop w:val="0"/>
      <w:marBottom w:val="0"/>
      <w:divBdr>
        <w:top w:val="none" w:sz="0" w:space="0" w:color="auto"/>
        <w:left w:val="none" w:sz="0" w:space="0" w:color="auto"/>
        <w:bottom w:val="none" w:sz="0" w:space="0" w:color="auto"/>
        <w:right w:val="none" w:sz="0" w:space="0" w:color="auto"/>
      </w:divBdr>
      <w:divsChild>
        <w:div w:id="1606572171">
          <w:marLeft w:val="0"/>
          <w:marRight w:val="0"/>
          <w:marTop w:val="0"/>
          <w:marBottom w:val="0"/>
          <w:divBdr>
            <w:top w:val="none" w:sz="0" w:space="0" w:color="auto"/>
            <w:left w:val="none" w:sz="0" w:space="0" w:color="auto"/>
            <w:bottom w:val="none" w:sz="0" w:space="0" w:color="auto"/>
            <w:right w:val="none" w:sz="0" w:space="0" w:color="auto"/>
          </w:divBdr>
        </w:div>
      </w:divsChild>
    </w:div>
    <w:div w:id="1840149986">
      <w:bodyDiv w:val="1"/>
      <w:marLeft w:val="0"/>
      <w:marRight w:val="0"/>
      <w:marTop w:val="0"/>
      <w:marBottom w:val="0"/>
      <w:divBdr>
        <w:top w:val="none" w:sz="0" w:space="0" w:color="auto"/>
        <w:left w:val="none" w:sz="0" w:space="0" w:color="auto"/>
        <w:bottom w:val="none" w:sz="0" w:space="0" w:color="auto"/>
        <w:right w:val="none" w:sz="0" w:space="0" w:color="auto"/>
      </w:divBdr>
      <w:divsChild>
        <w:div w:id="1232349850">
          <w:marLeft w:val="0"/>
          <w:marRight w:val="0"/>
          <w:marTop w:val="0"/>
          <w:marBottom w:val="0"/>
          <w:divBdr>
            <w:top w:val="none" w:sz="0" w:space="0" w:color="auto"/>
            <w:left w:val="none" w:sz="0" w:space="0" w:color="auto"/>
            <w:bottom w:val="none" w:sz="0" w:space="0" w:color="auto"/>
            <w:right w:val="none" w:sz="0" w:space="0" w:color="auto"/>
          </w:divBdr>
        </w:div>
      </w:divsChild>
    </w:div>
    <w:div w:id="1997417796">
      <w:bodyDiv w:val="1"/>
      <w:marLeft w:val="0"/>
      <w:marRight w:val="0"/>
      <w:marTop w:val="0"/>
      <w:marBottom w:val="0"/>
      <w:divBdr>
        <w:top w:val="none" w:sz="0" w:space="0" w:color="auto"/>
        <w:left w:val="none" w:sz="0" w:space="0" w:color="auto"/>
        <w:bottom w:val="none" w:sz="0" w:space="0" w:color="auto"/>
        <w:right w:val="none" w:sz="0" w:space="0" w:color="auto"/>
      </w:divBdr>
      <w:divsChild>
        <w:div w:id="181482966">
          <w:marLeft w:val="0"/>
          <w:marRight w:val="0"/>
          <w:marTop w:val="0"/>
          <w:marBottom w:val="0"/>
          <w:divBdr>
            <w:top w:val="none" w:sz="0" w:space="0" w:color="auto"/>
            <w:left w:val="none" w:sz="0" w:space="0" w:color="auto"/>
            <w:bottom w:val="none" w:sz="0" w:space="0" w:color="auto"/>
            <w:right w:val="none" w:sz="0" w:space="0" w:color="auto"/>
          </w:divBdr>
        </w:div>
      </w:divsChild>
    </w:div>
    <w:div w:id="2063092790">
      <w:bodyDiv w:val="1"/>
      <w:marLeft w:val="0"/>
      <w:marRight w:val="0"/>
      <w:marTop w:val="0"/>
      <w:marBottom w:val="0"/>
      <w:divBdr>
        <w:top w:val="none" w:sz="0" w:space="0" w:color="auto"/>
        <w:left w:val="none" w:sz="0" w:space="0" w:color="auto"/>
        <w:bottom w:val="none" w:sz="0" w:space="0" w:color="auto"/>
        <w:right w:val="none" w:sz="0" w:space="0" w:color="auto"/>
      </w:divBdr>
      <w:divsChild>
        <w:div w:id="294605429">
          <w:marLeft w:val="0"/>
          <w:marRight w:val="0"/>
          <w:marTop w:val="0"/>
          <w:marBottom w:val="0"/>
          <w:divBdr>
            <w:top w:val="none" w:sz="0" w:space="0" w:color="auto"/>
            <w:left w:val="none" w:sz="0" w:space="0" w:color="auto"/>
            <w:bottom w:val="none" w:sz="0" w:space="0" w:color="auto"/>
            <w:right w:val="none" w:sz="0" w:space="0" w:color="auto"/>
          </w:divBdr>
        </w:div>
      </w:divsChild>
    </w:div>
    <w:div w:id="2067872869">
      <w:bodyDiv w:val="1"/>
      <w:marLeft w:val="0"/>
      <w:marRight w:val="0"/>
      <w:marTop w:val="0"/>
      <w:marBottom w:val="0"/>
      <w:divBdr>
        <w:top w:val="none" w:sz="0" w:space="0" w:color="auto"/>
        <w:left w:val="none" w:sz="0" w:space="0" w:color="auto"/>
        <w:bottom w:val="none" w:sz="0" w:space="0" w:color="auto"/>
        <w:right w:val="none" w:sz="0" w:space="0" w:color="auto"/>
      </w:divBdr>
    </w:div>
    <w:div w:id="20808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ota.org//media/Corporate/Files/AboutOT/Professionals/WhatIsOT/RDP/Facts/Acute-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4FAF-C618-44C4-921B-6204DD2D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4558</Words>
  <Characters>25984</Characters>
  <Application>Microsoft Office Word</Application>
  <DocSecurity>0</DocSecurity>
  <Lines>216</Lines>
  <Paragraphs>60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avital</dc:creator>
  <cp:keywords/>
  <dc:description/>
  <cp:lastModifiedBy>Ayoselis</cp:lastModifiedBy>
  <cp:revision>4</cp:revision>
  <dcterms:created xsi:type="dcterms:W3CDTF">2021-04-07T10:24:00Z</dcterms:created>
  <dcterms:modified xsi:type="dcterms:W3CDTF">2021-04-08T09:33:00Z</dcterms:modified>
</cp:coreProperties>
</file>