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DB1BF" w14:textId="0FE3D3C3" w:rsidR="002E556B" w:rsidRPr="004E2717" w:rsidRDefault="004E2717" w:rsidP="004E2717">
      <w:pPr>
        <w:jc w:val="center"/>
        <w:rPr>
          <w:rFonts w:asciiTheme="majorBidi" w:hAnsiTheme="majorBidi" w:cstheme="majorBidi"/>
          <w:b/>
          <w:bCs/>
          <w:sz w:val="28"/>
          <w:szCs w:val="28"/>
          <w:u w:val="single"/>
        </w:rPr>
      </w:pPr>
      <w:r w:rsidRPr="004E2717">
        <w:rPr>
          <w:rFonts w:asciiTheme="majorBidi" w:hAnsiTheme="majorBidi" w:cstheme="majorBidi"/>
          <w:b/>
          <w:bCs/>
          <w:sz w:val="28"/>
          <w:szCs w:val="28"/>
          <w:u w:val="single"/>
        </w:rPr>
        <w:t>Syllabus</w:t>
      </w:r>
    </w:p>
    <w:p w14:paraId="3CE92590" w14:textId="599171DA" w:rsidR="009964AA" w:rsidRPr="009964AA" w:rsidRDefault="009964AA" w:rsidP="004562A1">
      <w:pPr>
        <w:pStyle w:val="a"/>
        <w:spacing w:line="240" w:lineRule="auto"/>
        <w:rPr>
          <w:b w:val="0"/>
          <w:bCs w:val="0"/>
          <w:u w:val="none"/>
        </w:rPr>
      </w:pPr>
      <w:bookmarkStart w:id="0" w:name="_Toc497041645"/>
      <w:bookmarkStart w:id="1" w:name="_Toc497041681"/>
      <w:bookmarkStart w:id="2" w:name="_Toc497807467"/>
      <w:r w:rsidRPr="00FE2507">
        <w:t>Course title:</w:t>
      </w:r>
      <w:r w:rsidRPr="00FE2507">
        <w:rPr>
          <w:u w:val="none"/>
        </w:rPr>
        <w:t xml:space="preserve"> </w:t>
      </w:r>
      <w:bookmarkEnd w:id="0"/>
      <w:bookmarkEnd w:id="1"/>
      <w:bookmarkEnd w:id="2"/>
      <w:r w:rsidR="004562A1">
        <w:rPr>
          <w:rFonts w:asciiTheme="majorBidi" w:hAnsiTheme="majorBidi" w:cstheme="majorBidi"/>
          <w:b w:val="0"/>
          <w:bCs w:val="0"/>
          <w:u w:val="none"/>
        </w:rPr>
        <w:t>The Global Hospitality</w:t>
      </w:r>
      <w:bookmarkStart w:id="3" w:name="_GoBack"/>
      <w:bookmarkEnd w:id="3"/>
      <w:r w:rsidRPr="009964AA">
        <w:rPr>
          <w:rFonts w:asciiTheme="majorBidi" w:hAnsiTheme="majorBidi" w:cstheme="majorBidi"/>
          <w:b w:val="0"/>
          <w:bCs w:val="0"/>
          <w:u w:val="none"/>
        </w:rPr>
        <w:t xml:space="preserve"> </w:t>
      </w:r>
      <w:r>
        <w:rPr>
          <w:rFonts w:asciiTheme="majorBidi" w:hAnsiTheme="majorBidi" w:cstheme="majorBidi"/>
          <w:b w:val="0"/>
          <w:bCs w:val="0"/>
          <w:u w:val="none"/>
        </w:rPr>
        <w:t>I</w:t>
      </w:r>
      <w:r w:rsidRPr="009964AA">
        <w:rPr>
          <w:rFonts w:asciiTheme="majorBidi" w:hAnsiTheme="majorBidi" w:cstheme="majorBidi"/>
          <w:b w:val="0"/>
          <w:bCs w:val="0"/>
          <w:u w:val="none"/>
        </w:rPr>
        <w:t>ndustry</w:t>
      </w:r>
    </w:p>
    <w:p w14:paraId="5752E273" w14:textId="6D0CB383" w:rsidR="009964AA" w:rsidRPr="00FE2507" w:rsidRDefault="009964AA" w:rsidP="009964AA">
      <w:pPr>
        <w:pStyle w:val="a"/>
        <w:spacing w:line="240" w:lineRule="auto"/>
        <w:rPr>
          <w:rFonts w:ascii="Calibri" w:hAnsi="Calibri" w:cs="Arial"/>
          <w:b w:val="0"/>
          <w:bCs w:val="0"/>
          <w:sz w:val="22"/>
          <w:szCs w:val="22"/>
          <w:u w:val="none"/>
        </w:rPr>
      </w:pPr>
      <w:r w:rsidRPr="006B3D90">
        <w:t>Code:</w:t>
      </w:r>
      <w:r>
        <w:rPr>
          <w:b w:val="0"/>
          <w:bCs w:val="0"/>
          <w:u w:val="none"/>
        </w:rPr>
        <w:t xml:space="preserve"> </w:t>
      </w:r>
      <w:r w:rsidR="00A21B1E">
        <w:rPr>
          <w:b w:val="0"/>
          <w:bCs w:val="0"/>
          <w:u w:val="none"/>
        </w:rPr>
        <w:t>229031</w:t>
      </w:r>
    </w:p>
    <w:p w14:paraId="21C62727" w14:textId="571BCF76" w:rsidR="009964AA" w:rsidRPr="00FE2507" w:rsidRDefault="009964AA" w:rsidP="009964AA">
      <w:pPr>
        <w:rPr>
          <w:rFonts w:ascii="Times New Roman" w:eastAsia="Calibri" w:hAnsi="Times New Roman" w:cs="Times New Roman"/>
          <w:sz w:val="24"/>
        </w:rPr>
      </w:pPr>
      <w:r w:rsidRPr="00FE2507">
        <w:rPr>
          <w:rFonts w:ascii="Times New Roman" w:eastAsia="Calibri" w:hAnsi="Times New Roman" w:cs="Times New Roman"/>
          <w:b/>
          <w:bCs/>
          <w:sz w:val="24"/>
          <w:u w:val="single"/>
        </w:rPr>
        <w:t>Instructor:</w:t>
      </w:r>
      <w:r w:rsidRPr="00FE2507">
        <w:rPr>
          <w:rFonts w:ascii="Times New Roman" w:eastAsia="Calibri" w:hAnsi="Times New Roman" w:cs="Times New Roman"/>
          <w:b/>
          <w:bCs/>
          <w:sz w:val="24"/>
        </w:rPr>
        <w:t xml:space="preserve"> </w:t>
      </w:r>
      <w:r>
        <w:rPr>
          <w:rFonts w:ascii="Times New Roman" w:eastAsia="Calibri" w:hAnsi="Times New Roman" w:cs="Times New Roman"/>
          <w:sz w:val="24"/>
        </w:rPr>
        <w:t>Dr. Ronen Shay</w:t>
      </w:r>
    </w:p>
    <w:p w14:paraId="49D8C0AF" w14:textId="3E299183" w:rsidR="009964AA" w:rsidRPr="00FE2507" w:rsidRDefault="009964AA" w:rsidP="009964AA">
      <w:pPr>
        <w:rPr>
          <w:rFonts w:ascii="Times New Roman" w:eastAsia="Calibri" w:hAnsi="Times New Roman" w:cs="Times New Roman"/>
          <w:sz w:val="24"/>
        </w:rPr>
      </w:pPr>
      <w:r w:rsidRPr="00FE2507">
        <w:rPr>
          <w:rFonts w:ascii="Times New Roman" w:eastAsia="Calibri" w:hAnsi="Times New Roman" w:cs="Times New Roman"/>
          <w:b/>
          <w:bCs/>
          <w:sz w:val="24"/>
          <w:u w:val="single"/>
        </w:rPr>
        <w:t>Credit hours:</w:t>
      </w:r>
      <w:r w:rsidRPr="00FE2507">
        <w:rPr>
          <w:rFonts w:ascii="Times New Roman" w:eastAsia="Calibri" w:hAnsi="Times New Roman" w:cs="Times New Roman"/>
          <w:sz w:val="24"/>
        </w:rPr>
        <w:t xml:space="preserve"> 2</w:t>
      </w:r>
      <w:r>
        <w:rPr>
          <w:rFonts w:ascii="Times New Roman" w:eastAsia="Calibri" w:hAnsi="Times New Roman" w:cs="Times New Roman"/>
          <w:sz w:val="24"/>
        </w:rPr>
        <w:t xml:space="preserve"> </w:t>
      </w:r>
      <w:r w:rsidR="00A21B1E">
        <w:rPr>
          <w:rFonts w:ascii="Times New Roman" w:eastAsia="Calibri" w:hAnsi="Times New Roman" w:cs="Times New Roman"/>
          <w:sz w:val="24"/>
        </w:rPr>
        <w:t xml:space="preserve">  16:00-17:30</w:t>
      </w:r>
    </w:p>
    <w:p w14:paraId="1B64D849" w14:textId="05E3675C" w:rsidR="009964AA" w:rsidRDefault="009964AA" w:rsidP="009964AA">
      <w:pPr>
        <w:rPr>
          <w:rFonts w:ascii="Times New Roman" w:eastAsia="Calibri" w:hAnsi="Times New Roman" w:cs="Times New Roman"/>
          <w:sz w:val="24"/>
        </w:rPr>
      </w:pPr>
      <w:r w:rsidRPr="00FE2507">
        <w:rPr>
          <w:rFonts w:ascii="Times New Roman" w:eastAsia="Calibri" w:hAnsi="Times New Roman" w:cs="Times New Roman"/>
          <w:b/>
          <w:bCs/>
          <w:sz w:val="24"/>
          <w:u w:val="single"/>
        </w:rPr>
        <w:t>Year</w:t>
      </w:r>
      <w:r w:rsidRPr="00FE2507">
        <w:rPr>
          <w:rFonts w:ascii="Times New Roman" w:eastAsia="Calibri" w:hAnsi="Times New Roman" w:cs="Times New Roman"/>
          <w:b/>
          <w:bCs/>
          <w:sz w:val="24"/>
        </w:rPr>
        <w:t>:</w:t>
      </w:r>
      <w:r w:rsidRPr="00FE2507">
        <w:rPr>
          <w:rFonts w:ascii="Times New Roman" w:eastAsia="Calibri" w:hAnsi="Times New Roman" w:cs="Times New Roman"/>
          <w:sz w:val="24"/>
        </w:rPr>
        <w:t xml:space="preserve"> </w:t>
      </w:r>
      <w:r w:rsidRPr="009964AA">
        <w:rPr>
          <w:rFonts w:ascii="Times New Roman" w:eastAsia="Calibri" w:hAnsi="Times New Roman" w:cs="Times New Roman"/>
          <w:sz w:val="24"/>
        </w:rPr>
        <w:t>1</w:t>
      </w:r>
      <w:r w:rsidRPr="009964AA">
        <w:rPr>
          <w:rFonts w:ascii="Times New Roman" w:eastAsia="Calibri" w:hAnsi="Times New Roman" w:cs="Times New Roman"/>
          <w:sz w:val="24"/>
        </w:rPr>
        <w:tab/>
      </w:r>
      <w:r w:rsidRPr="00FE2507">
        <w:rPr>
          <w:rFonts w:ascii="Times New Roman" w:eastAsia="Calibri" w:hAnsi="Times New Roman" w:cs="Times New Roman"/>
          <w:b/>
          <w:bCs/>
          <w:sz w:val="24"/>
          <w:u w:val="single"/>
        </w:rPr>
        <w:t>Semester</w:t>
      </w:r>
      <w:r w:rsidRPr="00FE2507">
        <w:rPr>
          <w:rFonts w:ascii="Times New Roman" w:eastAsia="Calibri" w:hAnsi="Times New Roman" w:cs="Times New Roman"/>
          <w:b/>
          <w:bCs/>
          <w:sz w:val="24"/>
        </w:rPr>
        <w:t>:</w:t>
      </w:r>
      <w:r w:rsidRPr="00FE2507">
        <w:rPr>
          <w:rFonts w:ascii="Times New Roman" w:eastAsia="Calibri" w:hAnsi="Times New Roman" w:cs="Times New Roman"/>
          <w:sz w:val="24"/>
        </w:rPr>
        <w:t xml:space="preserve"> </w:t>
      </w:r>
      <w:r>
        <w:rPr>
          <w:rFonts w:ascii="Times New Roman" w:eastAsia="Calibri" w:hAnsi="Times New Roman" w:cs="Times New Roman"/>
          <w:sz w:val="24"/>
        </w:rPr>
        <w:t xml:space="preserve">A  </w:t>
      </w:r>
    </w:p>
    <w:p w14:paraId="06CA32C7" w14:textId="557578A3" w:rsidR="009964AA" w:rsidRPr="00FE2507" w:rsidRDefault="009964AA" w:rsidP="009964AA">
      <w:pPr>
        <w:rPr>
          <w:rFonts w:ascii="Times New Roman" w:eastAsia="Calibri" w:hAnsi="Times New Roman" w:cs="Times New Roman"/>
          <w:sz w:val="24"/>
        </w:rPr>
      </w:pPr>
      <w:r w:rsidRPr="00F01DE7">
        <w:rPr>
          <w:rFonts w:ascii="Times New Roman" w:eastAsia="Calibri" w:hAnsi="Times New Roman" w:cs="Times New Roman"/>
          <w:b/>
          <w:bCs/>
          <w:sz w:val="24"/>
          <w:u w:val="single"/>
        </w:rPr>
        <w:t xml:space="preserve">Academic </w:t>
      </w:r>
      <w:r w:rsidR="004E7629" w:rsidRPr="00F01DE7">
        <w:rPr>
          <w:rFonts w:ascii="Times New Roman" w:eastAsia="Calibri" w:hAnsi="Times New Roman" w:cs="Times New Roman"/>
          <w:b/>
          <w:bCs/>
          <w:sz w:val="24"/>
          <w:u w:val="single"/>
        </w:rPr>
        <w:t>year</w:t>
      </w:r>
      <w:r w:rsidR="004E7629">
        <w:rPr>
          <w:rFonts w:ascii="Times New Roman" w:eastAsia="Calibri" w:hAnsi="Times New Roman" w:cs="Times New Roman"/>
          <w:sz w:val="24"/>
        </w:rPr>
        <w:t>:</w:t>
      </w:r>
      <w:r>
        <w:rPr>
          <w:rFonts w:ascii="Times New Roman" w:eastAsia="Calibri" w:hAnsi="Times New Roman" w:cs="Times New Roman"/>
          <w:sz w:val="24"/>
        </w:rPr>
        <w:t xml:space="preserve"> 2021-22</w:t>
      </w:r>
    </w:p>
    <w:p w14:paraId="160AAFFF" w14:textId="77777777" w:rsidR="009964AA" w:rsidRPr="00FE2507" w:rsidRDefault="009964AA" w:rsidP="009964AA">
      <w:pPr>
        <w:rPr>
          <w:rFonts w:ascii="Times New Roman" w:eastAsia="Calibri" w:hAnsi="Times New Roman" w:cs="Times New Roman"/>
          <w:b/>
          <w:bCs/>
          <w:sz w:val="24"/>
          <w:u w:val="single"/>
        </w:rPr>
      </w:pPr>
    </w:p>
    <w:p w14:paraId="330E89DA" w14:textId="77777777" w:rsidR="009964AA" w:rsidRPr="00FE2507" w:rsidRDefault="009964AA" w:rsidP="009964AA">
      <w:pPr>
        <w:rPr>
          <w:rFonts w:ascii="Times New Roman" w:eastAsia="Calibri" w:hAnsi="Times New Roman" w:cs="Times New Roman"/>
          <w:b/>
          <w:bCs/>
          <w:sz w:val="24"/>
          <w:u w:val="single"/>
        </w:rPr>
      </w:pPr>
      <w:r w:rsidRPr="00FE2507">
        <w:rPr>
          <w:rFonts w:ascii="Times New Roman" w:eastAsia="Calibri" w:hAnsi="Times New Roman" w:cs="Times New Roman"/>
          <w:b/>
          <w:bCs/>
          <w:sz w:val="24"/>
          <w:u w:val="single"/>
        </w:rPr>
        <w:t>Course objectives:</w:t>
      </w:r>
    </w:p>
    <w:p w14:paraId="7EDBE66F" w14:textId="77777777" w:rsidR="009964AA" w:rsidRDefault="009964AA" w:rsidP="009964AA">
      <w:pPr>
        <w:jc w:val="both"/>
        <w:rPr>
          <w:rFonts w:asciiTheme="majorBidi" w:hAnsiTheme="majorBidi" w:cstheme="majorBidi"/>
        </w:rPr>
      </w:pPr>
      <w:r>
        <w:rPr>
          <w:rFonts w:asciiTheme="majorBidi" w:hAnsiTheme="majorBidi" w:cstheme="majorBidi"/>
        </w:rPr>
        <w:t>The course will discuss key operational and logistical issues that have strategic and tactical implications for the hospitality industry. It will concentrate on general principles, techniques, concepts, of hotel operations and management. Students will examine the mechanisms employed in the management and operation. The course will also address the global trends in food and beverages and its influence on the hospitality industry. A closer look at the “real world” styles of international hotels management</w:t>
      </w:r>
      <w:r>
        <w:rPr>
          <w:rFonts w:asciiTheme="majorBidi" w:hAnsiTheme="majorBidi" w:cstheme="majorBidi" w:hint="cs"/>
          <w:rtl/>
        </w:rPr>
        <w:t>.</w:t>
      </w:r>
    </w:p>
    <w:p w14:paraId="52C897A3" w14:textId="77777777" w:rsidR="009964AA" w:rsidRPr="00FE2507" w:rsidRDefault="009964AA" w:rsidP="009964AA">
      <w:pPr>
        <w:rPr>
          <w:rFonts w:ascii="Times New Roman" w:eastAsia="Calibri" w:hAnsi="Times New Roman" w:cs="Times New Roman"/>
          <w:b/>
          <w:bCs/>
          <w:color w:val="333333"/>
          <w:sz w:val="24"/>
          <w:u w:val="single"/>
        </w:rPr>
      </w:pPr>
      <w:r w:rsidRPr="00FE2507">
        <w:rPr>
          <w:rFonts w:ascii="Times New Roman" w:eastAsia="Calibri" w:hAnsi="Times New Roman" w:cs="Times New Roman"/>
          <w:b/>
          <w:bCs/>
          <w:color w:val="333333"/>
          <w:sz w:val="24"/>
          <w:u w:val="single"/>
        </w:rPr>
        <w:t>Intended learning outcomes:</w:t>
      </w:r>
    </w:p>
    <w:p w14:paraId="746E231A" w14:textId="77777777" w:rsidR="009964AA" w:rsidRPr="00FE2507" w:rsidRDefault="009964AA" w:rsidP="009964AA">
      <w:pPr>
        <w:rPr>
          <w:rFonts w:ascii="Times New Roman" w:eastAsia="Times New Roman" w:hAnsi="Times New Roman" w:cs="Times New Roman"/>
          <w:color w:val="333333"/>
          <w:sz w:val="24"/>
          <w:bdr w:val="none" w:sz="0" w:space="0" w:color="auto" w:frame="1"/>
        </w:rPr>
      </w:pPr>
      <w:r w:rsidRPr="00FE2507">
        <w:rPr>
          <w:rFonts w:ascii="Times New Roman" w:eastAsia="Times New Roman" w:hAnsi="Times New Roman" w:cs="Times New Roman"/>
          <w:color w:val="333333"/>
          <w:sz w:val="24"/>
          <w:bdr w:val="none" w:sz="0" w:space="0" w:color="auto" w:frame="1"/>
        </w:rPr>
        <w:t>By the end of the course students will have the following abilities:</w:t>
      </w:r>
    </w:p>
    <w:p w14:paraId="404582F3" w14:textId="77777777" w:rsidR="009964AA" w:rsidRPr="00FE2507" w:rsidRDefault="009964AA" w:rsidP="009964AA">
      <w:pPr>
        <w:rPr>
          <w:rFonts w:ascii="Times New Roman" w:eastAsia="Times New Roman" w:hAnsi="Times New Roman" w:cs="Times New Roman"/>
          <w:color w:val="333333"/>
          <w:sz w:val="24"/>
          <w:bdr w:val="none" w:sz="0" w:space="0" w:color="auto" w:frame="1"/>
        </w:rPr>
      </w:pPr>
      <w:r>
        <w:rPr>
          <w:rFonts w:ascii="Times New Roman" w:eastAsia="Times New Roman" w:hAnsi="Times New Roman" w:cs="Times New Roman"/>
          <w:color w:val="333333"/>
          <w:sz w:val="24"/>
          <w:bdr w:val="none" w:sz="0" w:space="0" w:color="auto" w:frame="1"/>
        </w:rPr>
        <w:t>(Description of about 4-5 topics).</w:t>
      </w:r>
      <w:r w:rsidRPr="00FE2507">
        <w:rPr>
          <w:rFonts w:ascii="Times New Roman" w:eastAsia="Times New Roman" w:hAnsi="Times New Roman" w:cs="Times New Roman"/>
          <w:color w:val="333333"/>
          <w:sz w:val="24"/>
          <w:bdr w:val="none" w:sz="0" w:space="0" w:color="auto" w:frame="1"/>
        </w:rPr>
        <w:t xml:space="preserve">  </w:t>
      </w:r>
    </w:p>
    <w:p w14:paraId="45BD6A56" w14:textId="77777777" w:rsidR="009964AA" w:rsidRDefault="009964AA" w:rsidP="009964AA">
      <w:pPr>
        <w:rPr>
          <w:rFonts w:ascii="Times New Roman" w:eastAsia="Calibri" w:hAnsi="Times New Roman" w:cs="Times New Roman"/>
          <w:b/>
          <w:bCs/>
          <w:sz w:val="24"/>
          <w:u w:val="single"/>
        </w:rPr>
      </w:pPr>
      <w:r w:rsidRPr="00FE2507">
        <w:rPr>
          <w:rFonts w:ascii="Times New Roman" w:eastAsia="Calibri" w:hAnsi="Times New Roman" w:cs="Times New Roman"/>
          <w:b/>
          <w:bCs/>
          <w:sz w:val="24"/>
          <w:u w:val="single"/>
        </w:rPr>
        <w:t>Schedule of lessons:</w:t>
      </w:r>
    </w:p>
    <w:p w14:paraId="0EA538B7" w14:textId="77777777" w:rsidR="009964AA" w:rsidRPr="001C5B1B" w:rsidRDefault="009964AA" w:rsidP="009964AA">
      <w:pPr>
        <w:rPr>
          <w:rFonts w:ascii="Times New Roman" w:eastAsia="Calibri" w:hAnsi="Times New Roman" w:cs="Times New Roman"/>
          <w:sz w:val="24"/>
        </w:rPr>
      </w:pPr>
      <w:r>
        <w:rPr>
          <w:rFonts w:ascii="Times New Roman" w:eastAsia="Calibri" w:hAnsi="Times New Roman" w:cs="Times New Roman"/>
          <w:sz w:val="24"/>
        </w:rPr>
        <w:t>(Description of 13 lessons).</w:t>
      </w:r>
    </w:p>
    <w:tbl>
      <w:tblPr>
        <w:tblStyle w:val="19"/>
        <w:tblW w:w="0" w:type="auto"/>
        <w:tblLook w:val="04A0" w:firstRow="1" w:lastRow="0" w:firstColumn="1" w:lastColumn="0" w:noHBand="0" w:noVBand="1"/>
      </w:tblPr>
      <w:tblGrid>
        <w:gridCol w:w="1210"/>
        <w:gridCol w:w="1939"/>
        <w:gridCol w:w="3448"/>
        <w:gridCol w:w="1699"/>
      </w:tblGrid>
      <w:tr w:rsidR="009964AA" w:rsidRPr="00FE2507" w14:paraId="71FC9065" w14:textId="77777777" w:rsidTr="00BC2D65">
        <w:tc>
          <w:tcPr>
            <w:tcW w:w="1210" w:type="dxa"/>
          </w:tcPr>
          <w:p w14:paraId="737D854A" w14:textId="77777777" w:rsidR="009964AA" w:rsidRPr="00BC2D65" w:rsidRDefault="009964AA" w:rsidP="00D73C5E">
            <w:pPr>
              <w:rPr>
                <w:rFonts w:ascii="Times New Roman" w:eastAsia="Calibri" w:hAnsi="Times New Roman" w:cs="Times New Roman"/>
                <w:b/>
                <w:bCs/>
                <w:sz w:val="24"/>
              </w:rPr>
            </w:pPr>
            <w:r w:rsidRPr="00BC2D65">
              <w:rPr>
                <w:rFonts w:ascii="Times New Roman" w:eastAsia="Calibri" w:hAnsi="Times New Roman" w:cs="Times New Roman"/>
                <w:b/>
                <w:bCs/>
                <w:sz w:val="24"/>
              </w:rPr>
              <w:t>Lesson #</w:t>
            </w:r>
          </w:p>
        </w:tc>
        <w:tc>
          <w:tcPr>
            <w:tcW w:w="1939" w:type="dxa"/>
          </w:tcPr>
          <w:p w14:paraId="316F6CA8"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 xml:space="preserve">Topic </w:t>
            </w:r>
          </w:p>
        </w:tc>
        <w:tc>
          <w:tcPr>
            <w:tcW w:w="3448" w:type="dxa"/>
          </w:tcPr>
          <w:p w14:paraId="1AA83DC7"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 xml:space="preserve">Details </w:t>
            </w:r>
          </w:p>
        </w:tc>
        <w:tc>
          <w:tcPr>
            <w:tcW w:w="1699" w:type="dxa"/>
          </w:tcPr>
          <w:p w14:paraId="4356BF7A"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 xml:space="preserve">Relevant reading assignments </w:t>
            </w:r>
          </w:p>
        </w:tc>
      </w:tr>
      <w:tr w:rsidR="009964AA" w:rsidRPr="00FE2507" w14:paraId="2E6FC831" w14:textId="77777777" w:rsidTr="00BC2D65">
        <w:tc>
          <w:tcPr>
            <w:tcW w:w="1210" w:type="dxa"/>
          </w:tcPr>
          <w:p w14:paraId="013C742C" w14:textId="565DDA2B" w:rsidR="009964AA" w:rsidRPr="00BC2D65" w:rsidRDefault="009964AA" w:rsidP="00D73C5E">
            <w:pPr>
              <w:rPr>
                <w:rFonts w:ascii="Times New Roman" w:eastAsia="Calibri" w:hAnsi="Times New Roman" w:cs="Times New Roman"/>
                <w:b/>
                <w:bCs/>
                <w:sz w:val="24"/>
              </w:rPr>
            </w:pPr>
            <w:r w:rsidRPr="00BC2D65">
              <w:rPr>
                <w:rFonts w:ascii="Times New Roman" w:eastAsia="Calibri" w:hAnsi="Times New Roman" w:cs="Times New Roman"/>
                <w:b/>
                <w:bCs/>
                <w:sz w:val="24"/>
              </w:rPr>
              <w:t>1-2</w:t>
            </w:r>
          </w:p>
        </w:tc>
        <w:tc>
          <w:tcPr>
            <w:tcW w:w="1939" w:type="dxa"/>
          </w:tcPr>
          <w:p w14:paraId="07416AAB" w14:textId="7B6A5179" w:rsidR="009964AA" w:rsidRPr="00FE2507" w:rsidRDefault="009964AA" w:rsidP="00D73C5E">
            <w:pPr>
              <w:rPr>
                <w:rFonts w:ascii="Times New Roman" w:eastAsia="Calibri" w:hAnsi="Times New Roman" w:cs="Times New Roman"/>
                <w:b/>
                <w:bCs/>
                <w:sz w:val="24"/>
              </w:rPr>
            </w:pPr>
            <w:r>
              <w:rPr>
                <w:rFonts w:asciiTheme="majorBidi" w:hAnsiTheme="majorBidi" w:cstheme="majorBidi"/>
              </w:rPr>
              <w:t>Internationalization in the hospitality industry</w:t>
            </w:r>
          </w:p>
        </w:tc>
        <w:tc>
          <w:tcPr>
            <w:tcW w:w="3448" w:type="dxa"/>
          </w:tcPr>
          <w:p w14:paraId="73A5DBD0" w14:textId="1C37C242" w:rsidR="009964AA" w:rsidRPr="00FE2507" w:rsidRDefault="009964AA" w:rsidP="00BC2D65">
            <w:pPr>
              <w:rPr>
                <w:rFonts w:ascii="Times New Roman" w:eastAsia="Calibri" w:hAnsi="Times New Roman" w:cs="Times New Roman"/>
                <w:b/>
                <w:bCs/>
                <w:sz w:val="24"/>
              </w:rPr>
            </w:pPr>
            <w:r>
              <w:rPr>
                <w:rFonts w:asciiTheme="majorBidi" w:hAnsiTheme="majorBidi" w:cstheme="majorBidi"/>
              </w:rPr>
              <w:t>The hospitality environment. Multi-national companies, brands, hotel chains, franchising, management and operation. Case study of the Hilton Eilat Queen of Sheba management contract</w:t>
            </w:r>
            <w:r>
              <w:rPr>
                <w:rFonts w:asciiTheme="majorBidi" w:hAnsiTheme="majorBidi" w:cstheme="majorBidi" w:hint="cs"/>
                <w:rtl/>
              </w:rPr>
              <w:tab/>
            </w:r>
          </w:p>
        </w:tc>
        <w:tc>
          <w:tcPr>
            <w:tcW w:w="1699" w:type="dxa"/>
          </w:tcPr>
          <w:p w14:paraId="3CEEC106" w14:textId="1E00117C"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R3, Chap. 1-2, R14</w:t>
            </w:r>
            <w:r>
              <w:rPr>
                <w:rFonts w:asciiTheme="majorBidi" w:hAnsiTheme="majorBidi" w:cstheme="majorBidi"/>
                <w:rtl/>
              </w:rPr>
              <w:tab/>
            </w:r>
          </w:p>
        </w:tc>
      </w:tr>
      <w:tr w:rsidR="009964AA" w:rsidRPr="00FE2507" w14:paraId="609496B7" w14:textId="77777777" w:rsidTr="00BC2D65">
        <w:tc>
          <w:tcPr>
            <w:tcW w:w="1210" w:type="dxa"/>
          </w:tcPr>
          <w:p w14:paraId="115FBE72" w14:textId="09D56CAC" w:rsidR="009964AA" w:rsidRPr="00BC2D65" w:rsidRDefault="00BC2D65" w:rsidP="00D73C5E">
            <w:pPr>
              <w:rPr>
                <w:rFonts w:ascii="Times New Roman" w:eastAsia="Calibri" w:hAnsi="Times New Roman" w:cs="Times New Roman"/>
                <w:b/>
                <w:bCs/>
                <w:sz w:val="24"/>
              </w:rPr>
            </w:pPr>
            <w:r w:rsidRPr="00BC2D65">
              <w:rPr>
                <w:rFonts w:ascii="Times New Roman" w:eastAsia="Calibri" w:hAnsi="Times New Roman" w:cs="Times New Roman"/>
                <w:b/>
                <w:bCs/>
                <w:sz w:val="24"/>
              </w:rPr>
              <w:t>3-4</w:t>
            </w:r>
          </w:p>
        </w:tc>
        <w:tc>
          <w:tcPr>
            <w:tcW w:w="1939" w:type="dxa"/>
          </w:tcPr>
          <w:p w14:paraId="2119C933" w14:textId="2B1262F0"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Manpower and labor issues in the hospitality industry</w:t>
            </w:r>
          </w:p>
        </w:tc>
        <w:tc>
          <w:tcPr>
            <w:tcW w:w="3448" w:type="dxa"/>
          </w:tcPr>
          <w:p w14:paraId="75485C53" w14:textId="0D75E754" w:rsidR="009964AA" w:rsidRPr="00BC2D65" w:rsidRDefault="00BC2D65" w:rsidP="00BC2D65">
            <w:pPr>
              <w:rPr>
                <w:rFonts w:asciiTheme="majorBidi" w:hAnsiTheme="majorBidi" w:cstheme="majorBidi"/>
              </w:rPr>
            </w:pPr>
            <w:r>
              <w:rPr>
                <w:rFonts w:asciiTheme="majorBidi" w:hAnsiTheme="majorBidi" w:cstheme="majorBidi"/>
              </w:rPr>
              <w:t>Manpower planning involves reviewing the current manpower resource, and forecasting the future requirement of manpower.</w:t>
            </w:r>
            <w:r>
              <w:rPr>
                <w:rFonts w:asciiTheme="majorBidi" w:hAnsiTheme="majorBidi" w:cstheme="majorBidi" w:hint="cs"/>
                <w:rtl/>
              </w:rPr>
              <w:tab/>
            </w:r>
          </w:p>
        </w:tc>
        <w:tc>
          <w:tcPr>
            <w:tcW w:w="1699" w:type="dxa"/>
          </w:tcPr>
          <w:p w14:paraId="740AE232" w14:textId="6E6E02FF"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R6, R8, R14</w:t>
            </w:r>
          </w:p>
        </w:tc>
      </w:tr>
      <w:tr w:rsidR="009964AA" w:rsidRPr="00FE2507" w14:paraId="3134CA1B" w14:textId="77777777" w:rsidTr="00BC2D65">
        <w:tc>
          <w:tcPr>
            <w:tcW w:w="1210" w:type="dxa"/>
          </w:tcPr>
          <w:p w14:paraId="122130AA" w14:textId="3C55BBCC" w:rsidR="009964AA" w:rsidRPr="00BC2D65" w:rsidRDefault="00BC2D65" w:rsidP="00D73C5E">
            <w:pPr>
              <w:rPr>
                <w:rFonts w:ascii="Times New Roman" w:eastAsia="Calibri" w:hAnsi="Times New Roman" w:cs="Times New Roman"/>
                <w:b/>
                <w:bCs/>
                <w:sz w:val="24"/>
              </w:rPr>
            </w:pPr>
            <w:r w:rsidRPr="00BC2D65">
              <w:rPr>
                <w:rFonts w:asciiTheme="majorBidi" w:hAnsiTheme="majorBidi" w:cstheme="majorBidi"/>
                <w:b/>
                <w:bCs/>
                <w:rtl/>
              </w:rPr>
              <w:lastRenderedPageBreak/>
              <w:t>5-6</w:t>
            </w:r>
          </w:p>
        </w:tc>
        <w:tc>
          <w:tcPr>
            <w:tcW w:w="1939" w:type="dxa"/>
          </w:tcPr>
          <w:p w14:paraId="1E5495F8" w14:textId="5E5B95A2"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Food and Beverage as an important activity in the hospitality businesses</w:t>
            </w:r>
          </w:p>
        </w:tc>
        <w:tc>
          <w:tcPr>
            <w:tcW w:w="3448" w:type="dxa"/>
          </w:tcPr>
          <w:p w14:paraId="2E0A0504" w14:textId="2F88FF37" w:rsidR="009964AA" w:rsidRPr="00BC2D65" w:rsidRDefault="00BC2D65" w:rsidP="00BC2D65">
            <w:pPr>
              <w:rPr>
                <w:rFonts w:asciiTheme="majorBidi" w:hAnsiTheme="majorBidi" w:cstheme="majorBidi"/>
              </w:rPr>
            </w:pPr>
            <w:r>
              <w:rPr>
                <w:rFonts w:asciiTheme="majorBidi" w:hAnsiTheme="majorBidi" w:cstheme="majorBidi"/>
              </w:rPr>
              <w:t>Principles of food and Beverage preparation and processing. Food and Beverage quality aspects,</w:t>
            </w:r>
            <w:r>
              <w:rPr>
                <w:rFonts w:ascii="Times New Roman" w:eastAsia="Calibri" w:hAnsi="Times New Roman" w:cs="Times New Roman"/>
                <w:b/>
                <w:bCs/>
                <w:sz w:val="24"/>
              </w:rPr>
              <w:t xml:space="preserve"> </w:t>
            </w:r>
            <w:r>
              <w:rPr>
                <w:rFonts w:asciiTheme="majorBidi" w:hAnsiTheme="majorBidi" w:cstheme="majorBidi"/>
              </w:rPr>
              <w:t>safety, nutritional and health aspects.</w:t>
            </w:r>
          </w:p>
        </w:tc>
        <w:tc>
          <w:tcPr>
            <w:tcW w:w="1699" w:type="dxa"/>
          </w:tcPr>
          <w:p w14:paraId="516F2D97" w14:textId="3DA64A9B"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R3 Chap. 3, R4, R7, R15</w:t>
            </w:r>
          </w:p>
        </w:tc>
      </w:tr>
      <w:tr w:rsidR="009964AA" w:rsidRPr="00FE2507" w14:paraId="24DB25BD" w14:textId="77777777" w:rsidTr="00BC2D65">
        <w:tc>
          <w:tcPr>
            <w:tcW w:w="1210" w:type="dxa"/>
          </w:tcPr>
          <w:p w14:paraId="189534C6" w14:textId="3407EBF0" w:rsidR="009964AA" w:rsidRPr="00BC2D65" w:rsidRDefault="00BC2D65" w:rsidP="00D73C5E">
            <w:pPr>
              <w:rPr>
                <w:rFonts w:ascii="Times New Roman" w:eastAsia="Calibri" w:hAnsi="Times New Roman" w:cs="Times New Roman"/>
                <w:b/>
                <w:bCs/>
                <w:sz w:val="24"/>
              </w:rPr>
            </w:pPr>
            <w:r w:rsidRPr="00BC2D65">
              <w:rPr>
                <w:rFonts w:ascii="Times New Roman" w:eastAsia="Calibri" w:hAnsi="Times New Roman" w:cs="Times New Roman"/>
                <w:b/>
                <w:bCs/>
                <w:sz w:val="24"/>
              </w:rPr>
              <w:t>7-8</w:t>
            </w:r>
          </w:p>
        </w:tc>
        <w:tc>
          <w:tcPr>
            <w:tcW w:w="1939" w:type="dxa"/>
          </w:tcPr>
          <w:p w14:paraId="2F1640DC" w14:textId="5D27DFA5"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The global food trend and the effect on the hospitality industry</w:t>
            </w:r>
          </w:p>
        </w:tc>
        <w:tc>
          <w:tcPr>
            <w:tcW w:w="3448" w:type="dxa"/>
          </w:tcPr>
          <w:p w14:paraId="03C302DB" w14:textId="1B93743E" w:rsidR="009964AA" w:rsidRPr="00FE2507" w:rsidRDefault="00BC2D65" w:rsidP="00BC2D65">
            <w:pPr>
              <w:rPr>
                <w:rFonts w:ascii="Times New Roman" w:eastAsia="Calibri" w:hAnsi="Times New Roman" w:cs="Times New Roman"/>
                <w:b/>
                <w:bCs/>
                <w:sz w:val="24"/>
              </w:rPr>
            </w:pPr>
            <w:r>
              <w:rPr>
                <w:rFonts w:asciiTheme="majorBidi" w:hAnsiTheme="majorBidi" w:cstheme="majorBidi"/>
              </w:rPr>
              <w:t>Culinary trends and gastronomy. Natural food, organic food, ethnic food, sustainable food – definitions and legal aspects. The perception of consumers of such foods. Organic food and natural food. and their effect on the health balance.</w:t>
            </w:r>
            <w:r>
              <w:rPr>
                <w:rFonts w:asciiTheme="majorBidi" w:hAnsiTheme="majorBidi" w:cstheme="majorBidi"/>
                <w:rtl/>
              </w:rPr>
              <w:t xml:space="preserve"> </w:t>
            </w:r>
            <w:r>
              <w:rPr>
                <w:rFonts w:asciiTheme="majorBidi" w:hAnsiTheme="majorBidi" w:cstheme="majorBidi"/>
              </w:rPr>
              <w:t xml:space="preserve">Guest lecturer </w:t>
            </w:r>
          </w:p>
        </w:tc>
        <w:tc>
          <w:tcPr>
            <w:tcW w:w="1699" w:type="dxa"/>
          </w:tcPr>
          <w:p w14:paraId="6B51313F" w14:textId="0A7A942F"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R1, R5, R9, R10, R11</w:t>
            </w:r>
          </w:p>
        </w:tc>
      </w:tr>
      <w:tr w:rsidR="009964AA" w:rsidRPr="00FE2507" w14:paraId="4604CB3E" w14:textId="77777777" w:rsidTr="00BC2D65">
        <w:tc>
          <w:tcPr>
            <w:tcW w:w="1210" w:type="dxa"/>
          </w:tcPr>
          <w:p w14:paraId="2BFE1272" w14:textId="5DA4FBE2" w:rsidR="009964AA" w:rsidRPr="00BC2D65" w:rsidRDefault="00BC2D65" w:rsidP="00D73C5E">
            <w:pPr>
              <w:rPr>
                <w:rFonts w:ascii="Times New Roman" w:eastAsia="Calibri" w:hAnsi="Times New Roman" w:cs="Times New Roman"/>
                <w:b/>
                <w:bCs/>
                <w:sz w:val="24"/>
              </w:rPr>
            </w:pPr>
            <w:r w:rsidRPr="00BC2D65">
              <w:rPr>
                <w:rFonts w:asciiTheme="majorBidi" w:hAnsiTheme="majorBidi" w:cstheme="majorBidi"/>
                <w:b/>
                <w:bCs/>
                <w:rtl/>
              </w:rPr>
              <w:t>9-10</w:t>
            </w:r>
          </w:p>
        </w:tc>
        <w:tc>
          <w:tcPr>
            <w:tcW w:w="1939" w:type="dxa"/>
          </w:tcPr>
          <w:p w14:paraId="4D165C1B" w14:textId="0C608DC2"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The productivity challenge facing the global hospitality industry</w:t>
            </w:r>
          </w:p>
        </w:tc>
        <w:tc>
          <w:tcPr>
            <w:tcW w:w="3448" w:type="dxa"/>
          </w:tcPr>
          <w:p w14:paraId="6DD8643A" w14:textId="3EF623B7" w:rsidR="009964AA" w:rsidRPr="00BC2D65" w:rsidRDefault="00BC2D65" w:rsidP="00BC2D65">
            <w:pPr>
              <w:rPr>
                <w:rFonts w:asciiTheme="majorBidi" w:hAnsiTheme="majorBidi" w:cstheme="majorBidi"/>
              </w:rPr>
            </w:pPr>
            <w:r>
              <w:rPr>
                <w:rFonts w:asciiTheme="majorBidi" w:hAnsiTheme="majorBidi" w:cstheme="majorBidi"/>
                <w:rtl/>
              </w:rPr>
              <w:tab/>
            </w:r>
            <w:r>
              <w:rPr>
                <w:rFonts w:asciiTheme="majorBidi" w:hAnsiTheme="majorBidi" w:cstheme="majorBidi"/>
              </w:rPr>
              <w:t xml:space="preserve">Improving productivity of hospitality in the global market competition. Branding, building brand loyalty and the effect on the hospitality productivity. Case study of the Mezzo® </w:t>
            </w:r>
            <w:proofErr w:type="spellStart"/>
            <w:r>
              <w:rPr>
                <w:rFonts w:asciiTheme="majorBidi" w:hAnsiTheme="majorBidi" w:cstheme="majorBidi"/>
              </w:rPr>
              <w:t>SmartButler</w:t>
            </w:r>
            <w:proofErr w:type="spellEnd"/>
            <w:r>
              <w:rPr>
                <w:rFonts w:asciiTheme="majorBidi" w:hAnsiTheme="majorBidi" w:cstheme="majorBidi" w:hint="cs"/>
                <w:rtl/>
              </w:rPr>
              <w:t xml:space="preserve">  </w:t>
            </w:r>
          </w:p>
        </w:tc>
        <w:tc>
          <w:tcPr>
            <w:tcW w:w="1699" w:type="dxa"/>
          </w:tcPr>
          <w:p w14:paraId="2189FEE8" w14:textId="649EE64E"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R12, R14</w:t>
            </w:r>
          </w:p>
        </w:tc>
      </w:tr>
      <w:tr w:rsidR="009964AA" w:rsidRPr="00FE2507" w14:paraId="107BF1FB" w14:textId="77777777" w:rsidTr="00BC2D65">
        <w:tc>
          <w:tcPr>
            <w:tcW w:w="1210" w:type="dxa"/>
          </w:tcPr>
          <w:p w14:paraId="4EDD24C4" w14:textId="6C83E7AB" w:rsidR="009964AA" w:rsidRPr="00BC2D65" w:rsidRDefault="00BC2D65" w:rsidP="00D73C5E">
            <w:pPr>
              <w:rPr>
                <w:rFonts w:ascii="Times New Roman" w:eastAsia="Calibri" w:hAnsi="Times New Roman" w:cs="Times New Roman"/>
                <w:b/>
                <w:bCs/>
                <w:sz w:val="24"/>
              </w:rPr>
            </w:pPr>
            <w:r w:rsidRPr="00BC2D65">
              <w:rPr>
                <w:rFonts w:ascii="Times New Roman" w:eastAsia="Calibri" w:hAnsi="Times New Roman" w:cs="Times New Roman"/>
                <w:b/>
                <w:bCs/>
                <w:sz w:val="24"/>
              </w:rPr>
              <w:t>11-12</w:t>
            </w:r>
          </w:p>
        </w:tc>
        <w:tc>
          <w:tcPr>
            <w:tcW w:w="1939" w:type="dxa"/>
          </w:tcPr>
          <w:p w14:paraId="14D84BFF" w14:textId="6F2AF73B"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The service quality in the hospitality industry</w:t>
            </w:r>
          </w:p>
        </w:tc>
        <w:tc>
          <w:tcPr>
            <w:tcW w:w="3448" w:type="dxa"/>
          </w:tcPr>
          <w:p w14:paraId="48E8327A" w14:textId="6B1D2EA2" w:rsidR="009964AA" w:rsidRPr="00BC2D65" w:rsidRDefault="00BC2D65" w:rsidP="00BC2D65">
            <w:pPr>
              <w:rPr>
                <w:rFonts w:asciiTheme="majorBidi" w:hAnsiTheme="majorBidi" w:cstheme="majorBidi"/>
              </w:rPr>
            </w:pPr>
            <w:r>
              <w:rPr>
                <w:rFonts w:asciiTheme="majorBidi" w:hAnsiTheme="majorBidi" w:cstheme="majorBidi"/>
              </w:rPr>
              <w:t>The perception of quality by consumers, managers and potential visitors. The quality of service in the international hospitality industry. Case study Warranty Certificate for Ensuring Customer Service Satisfaction</w:t>
            </w:r>
            <w:r>
              <w:rPr>
                <w:rFonts w:asciiTheme="majorBidi" w:hAnsiTheme="majorBidi" w:cstheme="majorBidi"/>
                <w:rtl/>
              </w:rPr>
              <w:t xml:space="preserve"> </w:t>
            </w:r>
            <w:r>
              <w:rPr>
                <w:rFonts w:asciiTheme="majorBidi" w:hAnsiTheme="majorBidi" w:cstheme="majorBidi"/>
              </w:rPr>
              <w:t xml:space="preserve">the </w:t>
            </w:r>
            <w:proofErr w:type="spellStart"/>
            <w:r>
              <w:rPr>
                <w:rFonts w:asciiTheme="majorBidi" w:hAnsiTheme="majorBidi" w:cstheme="majorBidi"/>
              </w:rPr>
              <w:t>Isrotel</w:t>
            </w:r>
            <w:proofErr w:type="spellEnd"/>
            <w:r>
              <w:rPr>
                <w:rFonts w:asciiTheme="majorBidi" w:hAnsiTheme="majorBidi" w:cstheme="majorBidi"/>
              </w:rPr>
              <w:t xml:space="preserve"> group</w:t>
            </w:r>
            <w:r>
              <w:rPr>
                <w:rFonts w:asciiTheme="majorBidi" w:hAnsiTheme="majorBidi" w:cstheme="majorBidi" w:hint="cs"/>
                <w:rtl/>
              </w:rPr>
              <w:tab/>
            </w:r>
          </w:p>
        </w:tc>
        <w:tc>
          <w:tcPr>
            <w:tcW w:w="1699" w:type="dxa"/>
          </w:tcPr>
          <w:p w14:paraId="0EE55F0B" w14:textId="5992F4E3" w:rsidR="009964AA" w:rsidRPr="00FE2507" w:rsidRDefault="00BC2D65" w:rsidP="00D73C5E">
            <w:pPr>
              <w:rPr>
                <w:rFonts w:ascii="Times New Roman" w:eastAsia="Calibri" w:hAnsi="Times New Roman" w:cs="Times New Roman"/>
                <w:b/>
                <w:bCs/>
                <w:sz w:val="24"/>
              </w:rPr>
            </w:pPr>
            <w:r>
              <w:rPr>
                <w:rFonts w:asciiTheme="majorBidi" w:hAnsiTheme="majorBidi" w:cstheme="majorBidi"/>
              </w:rPr>
              <w:t>R2, R9, R13, R16</w:t>
            </w:r>
          </w:p>
        </w:tc>
      </w:tr>
    </w:tbl>
    <w:p w14:paraId="3796658F" w14:textId="77777777" w:rsidR="00BC2D65" w:rsidRDefault="00BC2D65" w:rsidP="009964AA">
      <w:pPr>
        <w:rPr>
          <w:rFonts w:ascii="Times New Roman" w:eastAsia="Calibri" w:hAnsi="Times New Roman" w:cs="Times New Roman"/>
          <w:b/>
          <w:bCs/>
          <w:sz w:val="24"/>
          <w:u w:val="single"/>
        </w:rPr>
      </w:pPr>
    </w:p>
    <w:p w14:paraId="69155AF4" w14:textId="4E01B1AB" w:rsidR="009964AA" w:rsidRDefault="009964AA" w:rsidP="009964AA">
      <w:pPr>
        <w:rPr>
          <w:rFonts w:ascii="Times New Roman" w:eastAsia="Calibri" w:hAnsi="Times New Roman" w:cs="Times New Roman"/>
          <w:b/>
          <w:bCs/>
          <w:sz w:val="24"/>
          <w:u w:val="single"/>
        </w:rPr>
      </w:pPr>
      <w:r w:rsidRPr="00FE2507">
        <w:rPr>
          <w:rFonts w:ascii="Times New Roman" w:eastAsia="Calibri" w:hAnsi="Times New Roman" w:cs="Times New Roman"/>
          <w:b/>
          <w:bCs/>
          <w:sz w:val="24"/>
          <w:u w:val="single"/>
        </w:rPr>
        <w:t>Grading scale:</w:t>
      </w:r>
    </w:p>
    <w:tbl>
      <w:tblPr>
        <w:tblStyle w:val="19"/>
        <w:tblW w:w="0" w:type="auto"/>
        <w:tblLook w:val="04A0" w:firstRow="1" w:lastRow="0" w:firstColumn="1" w:lastColumn="0" w:noHBand="0" w:noVBand="1"/>
      </w:tblPr>
      <w:tblGrid>
        <w:gridCol w:w="2295"/>
        <w:gridCol w:w="3303"/>
      </w:tblGrid>
      <w:tr w:rsidR="009964AA" w:rsidRPr="00FE2507" w14:paraId="1B9BC8AD" w14:textId="77777777" w:rsidTr="00D73C5E">
        <w:tc>
          <w:tcPr>
            <w:tcW w:w="2295" w:type="dxa"/>
          </w:tcPr>
          <w:p w14:paraId="3F2C5386"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Assignment</w:t>
            </w:r>
          </w:p>
        </w:tc>
        <w:tc>
          <w:tcPr>
            <w:tcW w:w="3303" w:type="dxa"/>
          </w:tcPr>
          <w:p w14:paraId="228D239B"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 xml:space="preserve">Percentage of final grade </w:t>
            </w:r>
          </w:p>
        </w:tc>
      </w:tr>
      <w:tr w:rsidR="009964AA" w:rsidRPr="00FE2507" w14:paraId="62698CA6" w14:textId="77777777" w:rsidTr="00D73C5E">
        <w:tc>
          <w:tcPr>
            <w:tcW w:w="2295" w:type="dxa"/>
          </w:tcPr>
          <w:p w14:paraId="426E66BF" w14:textId="77777777" w:rsidR="009964AA" w:rsidRPr="00FE2507" w:rsidRDefault="009964AA" w:rsidP="00D73C5E">
            <w:pPr>
              <w:rPr>
                <w:rFonts w:ascii="Times New Roman" w:eastAsia="Calibri" w:hAnsi="Times New Roman" w:cs="Times New Roman"/>
                <w:sz w:val="24"/>
              </w:rPr>
            </w:pPr>
            <w:r w:rsidRPr="00FE2507">
              <w:rPr>
                <w:rFonts w:ascii="Times New Roman" w:eastAsia="Calibri" w:hAnsi="Times New Roman" w:cs="Times New Roman"/>
                <w:sz w:val="24"/>
              </w:rPr>
              <w:t xml:space="preserve">Exercises </w:t>
            </w:r>
          </w:p>
        </w:tc>
        <w:tc>
          <w:tcPr>
            <w:tcW w:w="3303" w:type="dxa"/>
          </w:tcPr>
          <w:p w14:paraId="20687552" w14:textId="55B484A7" w:rsidR="009964AA" w:rsidRPr="00FE2507" w:rsidRDefault="00BC2D65" w:rsidP="00D73C5E">
            <w:pPr>
              <w:jc w:val="center"/>
              <w:rPr>
                <w:rFonts w:ascii="Times New Roman" w:eastAsia="Calibri" w:hAnsi="Times New Roman" w:cs="Times New Roman"/>
                <w:sz w:val="24"/>
              </w:rPr>
            </w:pPr>
            <w:r>
              <w:rPr>
                <w:rFonts w:ascii="Times New Roman" w:eastAsia="Calibri" w:hAnsi="Times New Roman" w:cs="Times New Roman"/>
                <w:sz w:val="24"/>
              </w:rPr>
              <w:t>20%</w:t>
            </w:r>
          </w:p>
        </w:tc>
      </w:tr>
      <w:tr w:rsidR="009964AA" w:rsidRPr="00FE2507" w14:paraId="6829F9DB" w14:textId="77777777" w:rsidTr="00D73C5E">
        <w:tc>
          <w:tcPr>
            <w:tcW w:w="2295" w:type="dxa"/>
          </w:tcPr>
          <w:p w14:paraId="0645AF8C" w14:textId="77777777" w:rsidR="009964AA" w:rsidRPr="00FE2507" w:rsidRDefault="009964AA" w:rsidP="00D73C5E">
            <w:pPr>
              <w:rPr>
                <w:rFonts w:ascii="Times New Roman" w:eastAsia="Calibri" w:hAnsi="Times New Roman" w:cs="Times New Roman"/>
                <w:sz w:val="24"/>
              </w:rPr>
            </w:pPr>
            <w:r>
              <w:rPr>
                <w:rFonts w:ascii="Times New Roman" w:eastAsia="Calibri" w:hAnsi="Times New Roman" w:cs="Times New Roman"/>
                <w:sz w:val="24"/>
              </w:rPr>
              <w:t>Report on analysis of global data</w:t>
            </w:r>
            <w:r w:rsidRPr="00FE2507">
              <w:rPr>
                <w:rFonts w:ascii="Times New Roman" w:eastAsia="Calibri" w:hAnsi="Times New Roman" w:cs="Times New Roman"/>
                <w:sz w:val="24"/>
              </w:rPr>
              <w:t xml:space="preserve"> </w:t>
            </w:r>
          </w:p>
        </w:tc>
        <w:tc>
          <w:tcPr>
            <w:tcW w:w="3303" w:type="dxa"/>
          </w:tcPr>
          <w:p w14:paraId="3A6C4F46" w14:textId="56F202A7" w:rsidR="009964AA" w:rsidRPr="00FE2507" w:rsidRDefault="00BC2D65" w:rsidP="00D73C5E">
            <w:pPr>
              <w:jc w:val="center"/>
              <w:rPr>
                <w:rFonts w:ascii="Times New Roman" w:eastAsia="Calibri" w:hAnsi="Times New Roman" w:cs="Times New Roman"/>
                <w:sz w:val="24"/>
              </w:rPr>
            </w:pPr>
            <w:r>
              <w:rPr>
                <w:rFonts w:ascii="Times New Roman" w:eastAsia="Calibri" w:hAnsi="Times New Roman" w:cs="Times New Roman"/>
                <w:sz w:val="24"/>
              </w:rPr>
              <w:t>80%</w:t>
            </w:r>
          </w:p>
        </w:tc>
      </w:tr>
      <w:tr w:rsidR="009964AA" w:rsidRPr="00FE2507" w14:paraId="179BBA8B" w14:textId="77777777" w:rsidTr="00D73C5E">
        <w:tc>
          <w:tcPr>
            <w:tcW w:w="2295" w:type="dxa"/>
          </w:tcPr>
          <w:p w14:paraId="2D634710" w14:textId="77777777" w:rsidR="009964AA" w:rsidRPr="00FE2507" w:rsidRDefault="009964AA" w:rsidP="00D73C5E">
            <w:pPr>
              <w:rPr>
                <w:rFonts w:ascii="Times New Roman" w:eastAsia="Calibri" w:hAnsi="Times New Roman" w:cs="Times New Roman"/>
                <w:sz w:val="24"/>
              </w:rPr>
            </w:pPr>
            <w:r w:rsidRPr="00FE2507">
              <w:rPr>
                <w:rFonts w:ascii="Times New Roman" w:eastAsia="Calibri" w:hAnsi="Times New Roman" w:cs="Times New Roman"/>
                <w:sz w:val="24"/>
              </w:rPr>
              <w:t xml:space="preserve">Attendance </w:t>
            </w:r>
          </w:p>
        </w:tc>
        <w:tc>
          <w:tcPr>
            <w:tcW w:w="3303" w:type="dxa"/>
          </w:tcPr>
          <w:p w14:paraId="54A9F7FE" w14:textId="77777777" w:rsidR="009964AA" w:rsidRPr="00FE2507" w:rsidRDefault="009964AA" w:rsidP="00D73C5E">
            <w:pPr>
              <w:jc w:val="center"/>
              <w:rPr>
                <w:rFonts w:ascii="Times New Roman" w:eastAsia="Calibri" w:hAnsi="Times New Roman" w:cs="Times New Roman"/>
                <w:sz w:val="24"/>
              </w:rPr>
            </w:pPr>
          </w:p>
        </w:tc>
      </w:tr>
      <w:tr w:rsidR="009964AA" w:rsidRPr="00FE2507" w14:paraId="075EB729" w14:textId="77777777" w:rsidTr="00D73C5E">
        <w:tc>
          <w:tcPr>
            <w:tcW w:w="2295" w:type="dxa"/>
          </w:tcPr>
          <w:p w14:paraId="4C503638" w14:textId="77777777" w:rsidR="009964AA" w:rsidRPr="00FE2507" w:rsidRDefault="009964AA" w:rsidP="00D73C5E">
            <w:pPr>
              <w:rPr>
                <w:rFonts w:ascii="Times New Roman" w:eastAsia="Calibri" w:hAnsi="Times New Roman" w:cs="Times New Roman"/>
                <w:b/>
                <w:bCs/>
                <w:sz w:val="24"/>
              </w:rPr>
            </w:pPr>
            <w:r w:rsidRPr="00FE2507">
              <w:rPr>
                <w:rFonts w:ascii="Times New Roman" w:eastAsia="Calibri" w:hAnsi="Times New Roman" w:cs="Times New Roman"/>
                <w:b/>
                <w:bCs/>
                <w:sz w:val="24"/>
              </w:rPr>
              <w:t>Total</w:t>
            </w:r>
          </w:p>
        </w:tc>
        <w:tc>
          <w:tcPr>
            <w:tcW w:w="3303" w:type="dxa"/>
          </w:tcPr>
          <w:p w14:paraId="3C3CE660" w14:textId="77777777" w:rsidR="009964AA" w:rsidRPr="00FE2507" w:rsidRDefault="009964AA" w:rsidP="00D73C5E">
            <w:pPr>
              <w:jc w:val="center"/>
              <w:rPr>
                <w:rFonts w:ascii="Times New Roman" w:eastAsia="Calibri" w:hAnsi="Times New Roman" w:cs="Times New Roman"/>
                <w:b/>
                <w:bCs/>
                <w:sz w:val="24"/>
              </w:rPr>
            </w:pPr>
            <w:r w:rsidRPr="00FE2507">
              <w:rPr>
                <w:rFonts w:ascii="Times New Roman" w:eastAsia="Calibri" w:hAnsi="Times New Roman" w:cs="Times New Roman"/>
                <w:b/>
                <w:bCs/>
                <w:sz w:val="24"/>
              </w:rPr>
              <w:t>100%</w:t>
            </w:r>
          </w:p>
        </w:tc>
      </w:tr>
    </w:tbl>
    <w:p w14:paraId="5F1FC565" w14:textId="77777777" w:rsidR="00BC2D65" w:rsidRDefault="00BC2D65" w:rsidP="009964AA">
      <w:pPr>
        <w:rPr>
          <w:rFonts w:ascii="Times New Roman" w:eastAsia="Calibri" w:hAnsi="Times New Roman" w:cs="Times New Roman"/>
          <w:sz w:val="24"/>
        </w:rPr>
      </w:pPr>
    </w:p>
    <w:p w14:paraId="3C529DDA" w14:textId="77777777" w:rsidR="00BC2D65" w:rsidRDefault="00BC2D65">
      <w:pPr>
        <w:spacing w:after="160" w:line="259" w:lineRule="auto"/>
        <w:rPr>
          <w:rFonts w:ascii="Times New Roman" w:eastAsia="Calibri" w:hAnsi="Times New Roman" w:cs="Times New Roman"/>
          <w:sz w:val="24"/>
        </w:rPr>
      </w:pPr>
      <w:r>
        <w:rPr>
          <w:rFonts w:ascii="Times New Roman" w:eastAsia="Calibri" w:hAnsi="Times New Roman" w:cs="Times New Roman"/>
          <w:sz w:val="24"/>
        </w:rPr>
        <w:br w:type="page"/>
      </w:r>
    </w:p>
    <w:p w14:paraId="3B18B590" w14:textId="77777777" w:rsidR="00BC2D65" w:rsidRDefault="00BC2D65" w:rsidP="009964AA">
      <w:pPr>
        <w:rPr>
          <w:rFonts w:ascii="Times New Roman" w:eastAsia="Calibri" w:hAnsi="Times New Roman" w:cs="Times New Roman"/>
          <w:b/>
          <w:bCs/>
          <w:sz w:val="24"/>
          <w:u w:val="single"/>
        </w:rPr>
      </w:pPr>
    </w:p>
    <w:p w14:paraId="7EA9DC17" w14:textId="487E94A1" w:rsidR="009964AA" w:rsidRPr="00E97B5F" w:rsidRDefault="009964AA" w:rsidP="009964AA">
      <w:pPr>
        <w:rPr>
          <w:rFonts w:ascii="Times New Roman" w:eastAsia="Calibri" w:hAnsi="Times New Roman" w:cs="Times New Roman"/>
          <w:b/>
          <w:bCs/>
          <w:sz w:val="24"/>
          <w:u w:val="single"/>
        </w:rPr>
      </w:pPr>
      <w:r w:rsidRPr="00E97B5F">
        <w:rPr>
          <w:rFonts w:ascii="Times New Roman" w:eastAsia="Calibri" w:hAnsi="Times New Roman" w:cs="Times New Roman"/>
          <w:b/>
          <w:bCs/>
          <w:sz w:val="24"/>
          <w:u w:val="single"/>
        </w:rPr>
        <w:t>Bibliography:</w:t>
      </w:r>
    </w:p>
    <w:p w14:paraId="679A3C62" w14:textId="77777777" w:rsidR="00BC2D65" w:rsidRPr="00BC2D65" w:rsidRDefault="00BC2D65" w:rsidP="00BC2D65">
      <w:pPr>
        <w:pStyle w:val="ListParagraph"/>
        <w:numPr>
          <w:ilvl w:val="0"/>
          <w:numId w:val="1"/>
        </w:numPr>
        <w:spacing w:line="240" w:lineRule="auto"/>
        <w:ind w:right="360"/>
        <w:rPr>
          <w:rFonts w:asciiTheme="majorBidi" w:hAnsiTheme="majorBidi" w:cstheme="majorBidi"/>
        </w:rPr>
      </w:pPr>
      <w:r w:rsidRPr="00BC2D65">
        <w:rPr>
          <w:rFonts w:asciiTheme="majorBidi" w:hAnsiTheme="majorBidi" w:cstheme="majorBidi"/>
        </w:rPr>
        <w:t>Bartelme, M.Z. and Kuhn, M.E. 2017. Counting up foodservice trends. Food Technology, 7:42-47</w:t>
      </w:r>
    </w:p>
    <w:p w14:paraId="230B7C41" w14:textId="77777777" w:rsidR="00BC2D65" w:rsidRDefault="00BC2D65" w:rsidP="00BC2D65">
      <w:pPr>
        <w:pStyle w:val="ListParagraph"/>
        <w:numPr>
          <w:ilvl w:val="0"/>
          <w:numId w:val="1"/>
        </w:numPr>
        <w:spacing w:line="240" w:lineRule="auto"/>
        <w:rPr>
          <w:rFonts w:asciiTheme="majorBidi" w:hAnsiTheme="majorBidi" w:cstheme="majorBidi"/>
        </w:rPr>
      </w:pPr>
      <w:r>
        <w:rPr>
          <w:rFonts w:asciiTheme="majorBidi" w:hAnsiTheme="majorBidi" w:cstheme="majorBidi"/>
        </w:rPr>
        <w:t xml:space="preserve">Carol Lu, C., </w:t>
      </w:r>
      <w:proofErr w:type="spellStart"/>
      <w:r>
        <w:rPr>
          <w:rFonts w:asciiTheme="majorBidi" w:hAnsiTheme="majorBidi" w:cstheme="majorBidi"/>
        </w:rPr>
        <w:t>Berchoux</w:t>
      </w:r>
      <w:proofErr w:type="spellEnd"/>
      <w:r>
        <w:rPr>
          <w:rFonts w:asciiTheme="majorBidi" w:hAnsiTheme="majorBidi" w:cstheme="majorBidi"/>
        </w:rPr>
        <w:t>, C., Marek, M.W. and Chen, B. 2015. Service quality and customer satisfaction: qualitative research implications for luxury hotels, International Journal of Culture, Tourism and Hospitality Research, 9(2)168-182</w:t>
      </w:r>
    </w:p>
    <w:p w14:paraId="0AAA9EBC" w14:textId="77777777" w:rsidR="00BC2D65" w:rsidRDefault="00BC2D65" w:rsidP="00BC2D65">
      <w:pPr>
        <w:pStyle w:val="ListParagraph"/>
        <w:numPr>
          <w:ilvl w:val="0"/>
          <w:numId w:val="1"/>
        </w:numPr>
        <w:rPr>
          <w:rFonts w:asciiTheme="majorBidi" w:eastAsia="Times New Roman" w:hAnsiTheme="majorBidi" w:cstheme="majorBidi"/>
          <w:kern w:val="36"/>
        </w:rPr>
      </w:pPr>
      <w:r>
        <w:rPr>
          <w:rFonts w:asciiTheme="majorBidi" w:eastAsia="Times New Roman" w:hAnsiTheme="majorBidi" w:cstheme="majorBidi"/>
          <w:kern w:val="36"/>
        </w:rPr>
        <w:t xml:space="preserve">Clarke, A. and Chen, W. 2007. International hospitality management – Concepts and Cases. Elsevier. </w:t>
      </w:r>
    </w:p>
    <w:p w14:paraId="4E9852F6" w14:textId="77777777" w:rsidR="00BC2D65" w:rsidRDefault="00BC2D65" w:rsidP="00BC2D65">
      <w:pPr>
        <w:pStyle w:val="ListParagraph"/>
        <w:numPr>
          <w:ilvl w:val="0"/>
          <w:numId w:val="1"/>
        </w:numPr>
        <w:spacing w:line="240" w:lineRule="auto"/>
        <w:ind w:right="360"/>
        <w:rPr>
          <w:rFonts w:asciiTheme="majorBidi" w:hAnsiTheme="majorBidi" w:cstheme="majorBidi"/>
        </w:rPr>
      </w:pPr>
      <w:r>
        <w:rPr>
          <w:rFonts w:asciiTheme="majorBidi" w:hAnsiTheme="majorBidi" w:cstheme="majorBidi"/>
        </w:rPr>
        <w:t>Despain, D. 2014. Fitting foods to lifestyles. Food Technology, 6:47-58.</w:t>
      </w:r>
    </w:p>
    <w:p w14:paraId="44B377D7" w14:textId="77777777" w:rsidR="00BC2D65" w:rsidRDefault="00BC2D65" w:rsidP="00BC2D65">
      <w:pPr>
        <w:pStyle w:val="ListParagraph"/>
        <w:numPr>
          <w:ilvl w:val="0"/>
          <w:numId w:val="1"/>
        </w:numPr>
        <w:spacing w:line="240" w:lineRule="auto"/>
        <w:ind w:right="360"/>
        <w:rPr>
          <w:rFonts w:asciiTheme="majorBidi" w:hAnsiTheme="majorBidi" w:cstheme="majorBidi"/>
        </w:rPr>
      </w:pPr>
      <w:r>
        <w:rPr>
          <w:rFonts w:asciiTheme="majorBidi" w:hAnsiTheme="majorBidi" w:cstheme="majorBidi"/>
        </w:rPr>
        <w:t>Dyson, T. 1999. World food trends and prospects to 2025.</w:t>
      </w:r>
      <w:r>
        <w:rPr>
          <w:rFonts w:asciiTheme="majorBidi" w:hAnsiTheme="majorBidi" w:cstheme="majorBidi"/>
          <w:b/>
          <w:bCs/>
          <w:i/>
          <w:iCs/>
        </w:rPr>
        <w:t xml:space="preserve"> </w:t>
      </w:r>
      <w:r>
        <w:rPr>
          <w:rFonts w:asciiTheme="majorBidi" w:hAnsiTheme="majorBidi" w:cstheme="majorBidi"/>
          <w:i/>
          <w:iCs/>
        </w:rPr>
        <w:t>Proceedings National Academy of Sciences colloquium</w:t>
      </w:r>
      <w:r>
        <w:rPr>
          <w:rFonts w:asciiTheme="majorBidi" w:hAnsiTheme="majorBidi" w:cstheme="majorBidi"/>
        </w:rPr>
        <w:t>. 96:5929-5936.</w:t>
      </w:r>
    </w:p>
    <w:p w14:paraId="34095018" w14:textId="77777777" w:rsidR="00BC2D65" w:rsidRDefault="00BC2D65" w:rsidP="00BC2D65">
      <w:pPr>
        <w:pStyle w:val="ListParagraph"/>
        <w:numPr>
          <w:ilvl w:val="0"/>
          <w:numId w:val="1"/>
        </w:numPr>
        <w:spacing w:line="240" w:lineRule="auto"/>
        <w:outlineLvl w:val="0"/>
        <w:rPr>
          <w:rFonts w:asciiTheme="majorBidi" w:hAnsiTheme="majorBidi" w:cstheme="majorBidi"/>
        </w:rPr>
      </w:pPr>
      <w:r>
        <w:rPr>
          <w:rFonts w:asciiTheme="majorBidi" w:hAnsiTheme="majorBidi" w:cstheme="majorBidi"/>
        </w:rPr>
        <w:t>De-</w:t>
      </w:r>
      <w:proofErr w:type="spellStart"/>
      <w:r>
        <w:rPr>
          <w:rFonts w:asciiTheme="majorBidi" w:hAnsiTheme="majorBidi" w:cstheme="majorBidi"/>
        </w:rPr>
        <w:t>Grosbois</w:t>
      </w:r>
      <w:proofErr w:type="spellEnd"/>
      <w:r>
        <w:rPr>
          <w:rFonts w:asciiTheme="majorBidi" w:hAnsiTheme="majorBidi" w:cstheme="majorBidi"/>
        </w:rPr>
        <w:t xml:space="preserve">, D. 2012. Corporate social responsibility reporting by the global hotel industry: Commitment, initiatives and performance. </w:t>
      </w:r>
      <w:r>
        <w:rPr>
          <w:rFonts w:asciiTheme="majorBidi" w:hAnsiTheme="majorBidi" w:cstheme="majorBidi"/>
          <w:i/>
          <w:iCs/>
        </w:rPr>
        <w:t>International Journal of Hospitality Management</w:t>
      </w:r>
      <w:r>
        <w:rPr>
          <w:rFonts w:asciiTheme="majorBidi" w:hAnsiTheme="majorBidi" w:cstheme="majorBidi"/>
        </w:rPr>
        <w:t xml:space="preserve"> 31(3)896-905. </w:t>
      </w:r>
    </w:p>
    <w:p w14:paraId="64526C27" w14:textId="77777777" w:rsidR="00BC2D65" w:rsidRDefault="00BC2D65" w:rsidP="00BC2D65">
      <w:pPr>
        <w:pStyle w:val="ListParagraph"/>
        <w:numPr>
          <w:ilvl w:val="0"/>
          <w:numId w:val="1"/>
        </w:numPr>
        <w:autoSpaceDE w:val="0"/>
        <w:autoSpaceDN w:val="0"/>
        <w:adjustRightInd w:val="0"/>
        <w:spacing w:line="240" w:lineRule="auto"/>
        <w:ind w:right="360"/>
        <w:rPr>
          <w:rFonts w:asciiTheme="majorBidi" w:hAnsiTheme="majorBidi" w:cstheme="majorBidi"/>
        </w:rPr>
      </w:pPr>
      <w:proofErr w:type="spellStart"/>
      <w:r>
        <w:rPr>
          <w:rFonts w:asciiTheme="majorBidi" w:hAnsiTheme="majorBidi" w:cstheme="majorBidi"/>
        </w:rPr>
        <w:t>Grummond</w:t>
      </w:r>
      <w:proofErr w:type="spellEnd"/>
      <w:r>
        <w:rPr>
          <w:rFonts w:asciiTheme="majorBidi" w:hAnsiTheme="majorBidi" w:cstheme="majorBidi"/>
        </w:rPr>
        <w:t xml:space="preserve">, K.E. and </w:t>
      </w:r>
      <w:proofErr w:type="spellStart"/>
      <w:r>
        <w:rPr>
          <w:rFonts w:asciiTheme="majorBidi" w:hAnsiTheme="majorBidi" w:cstheme="majorBidi"/>
        </w:rPr>
        <w:t>Brefere</w:t>
      </w:r>
      <w:proofErr w:type="spellEnd"/>
      <w:r>
        <w:rPr>
          <w:rFonts w:asciiTheme="majorBidi" w:hAnsiTheme="majorBidi" w:cstheme="majorBidi"/>
        </w:rPr>
        <w:t>, L.M. 2010. Nutrition for foodservice and culinary professionals (7</w:t>
      </w:r>
      <w:r>
        <w:rPr>
          <w:rFonts w:asciiTheme="majorBidi" w:hAnsiTheme="majorBidi" w:cstheme="majorBidi"/>
          <w:vertAlign w:val="superscript"/>
        </w:rPr>
        <w:t>th</w:t>
      </w:r>
      <w:r>
        <w:rPr>
          <w:rFonts w:asciiTheme="majorBidi" w:hAnsiTheme="majorBidi" w:cstheme="majorBidi"/>
        </w:rPr>
        <w:t xml:space="preserve"> ed.), Wiley. </w:t>
      </w:r>
    </w:p>
    <w:p w14:paraId="490C004A" w14:textId="77777777" w:rsidR="00BC2D65" w:rsidRDefault="00BC2D65" w:rsidP="00BC2D65">
      <w:pPr>
        <w:pStyle w:val="ListParagraph"/>
        <w:numPr>
          <w:ilvl w:val="0"/>
          <w:numId w:val="1"/>
        </w:numPr>
        <w:rPr>
          <w:rFonts w:asciiTheme="majorBidi" w:hAnsiTheme="majorBidi" w:cstheme="majorBidi"/>
          <w:color w:val="000000"/>
        </w:rPr>
      </w:pPr>
      <w:r>
        <w:rPr>
          <w:rFonts w:asciiTheme="majorBidi" w:hAnsiTheme="majorBidi" w:cstheme="majorBidi"/>
          <w:color w:val="000000"/>
        </w:rPr>
        <w:t xml:space="preserve">Larsson, R. and Finkelstein, S. (1999) ‘Integrating Strategic, Organizational, and Human Resource Perspectives on Mergers and Acquisitions: A Case Survey of Synergy Realization’, </w:t>
      </w:r>
      <w:r>
        <w:rPr>
          <w:rFonts w:asciiTheme="majorBidi" w:hAnsiTheme="majorBidi" w:cstheme="majorBidi"/>
          <w:i/>
          <w:iCs/>
          <w:color w:val="000000"/>
        </w:rPr>
        <w:t>Organization Science</w:t>
      </w:r>
      <w:r>
        <w:rPr>
          <w:rFonts w:asciiTheme="majorBidi" w:hAnsiTheme="majorBidi" w:cstheme="majorBidi"/>
          <w:color w:val="000000"/>
        </w:rPr>
        <w:t>, 10: 1–26.</w:t>
      </w:r>
    </w:p>
    <w:p w14:paraId="6C73F4D7" w14:textId="77777777" w:rsidR="00BC2D65" w:rsidRDefault="00BC2D65" w:rsidP="00BC2D65">
      <w:pPr>
        <w:pStyle w:val="ListParagraph"/>
        <w:numPr>
          <w:ilvl w:val="0"/>
          <w:numId w:val="1"/>
        </w:numPr>
        <w:spacing w:line="240" w:lineRule="auto"/>
        <w:ind w:right="360"/>
        <w:rPr>
          <w:rFonts w:asciiTheme="majorBidi" w:hAnsiTheme="majorBidi" w:cstheme="majorBidi"/>
        </w:rPr>
      </w:pPr>
      <w:r>
        <w:rPr>
          <w:rFonts w:asciiTheme="majorBidi" w:hAnsiTheme="majorBidi" w:cstheme="majorBidi"/>
        </w:rPr>
        <w:t>Melia, D. 2011. Trends in the Food and Beverage sector of the hospitality industry. A conference paper, Dublin Institute of Technology, School of hospitality management and tourism.</w:t>
      </w:r>
    </w:p>
    <w:p w14:paraId="3784D3C4" w14:textId="77777777" w:rsidR="00BC2D65" w:rsidRPr="00BC2D65" w:rsidRDefault="00BC2D65" w:rsidP="00BC2D65">
      <w:pPr>
        <w:pStyle w:val="ListParagraph"/>
        <w:numPr>
          <w:ilvl w:val="0"/>
          <w:numId w:val="1"/>
        </w:numPr>
        <w:spacing w:line="240" w:lineRule="auto"/>
        <w:ind w:right="360"/>
        <w:rPr>
          <w:rFonts w:asciiTheme="majorBidi" w:hAnsiTheme="majorBidi" w:cstheme="majorBidi"/>
        </w:rPr>
      </w:pPr>
      <w:r w:rsidRPr="00BC2D65">
        <w:rPr>
          <w:rFonts w:asciiTheme="majorBidi" w:hAnsiTheme="majorBidi" w:cstheme="majorBidi"/>
        </w:rPr>
        <w:t xml:space="preserve">National Restaurant Association. 2021. What’s hot: Top 10 industry trends? Available: </w:t>
      </w:r>
      <w:hyperlink r:id="rId7" w:history="1">
        <w:r w:rsidRPr="00BC2D65">
          <w:rPr>
            <w:rStyle w:val="Hyperlink"/>
            <w:rFonts w:asciiTheme="majorBidi" w:hAnsiTheme="majorBidi" w:cstheme="majorBidi"/>
          </w:rPr>
          <w:t>http://www.restaurant.org/News-Research/News/Whats-hot-Top-10-concept-trends</w:t>
        </w:r>
      </w:hyperlink>
    </w:p>
    <w:p w14:paraId="7DBCE330" w14:textId="77777777" w:rsidR="00BC2D65" w:rsidRDefault="00BC2D65" w:rsidP="00BC2D65">
      <w:pPr>
        <w:pStyle w:val="ListParagraph"/>
        <w:numPr>
          <w:ilvl w:val="0"/>
          <w:numId w:val="1"/>
        </w:numPr>
        <w:ind w:right="360"/>
        <w:rPr>
          <w:rFonts w:asciiTheme="majorBidi" w:hAnsiTheme="majorBidi" w:cstheme="majorBidi"/>
        </w:rPr>
      </w:pPr>
      <w:r>
        <w:rPr>
          <w:rFonts w:asciiTheme="majorBidi" w:hAnsiTheme="majorBidi" w:cstheme="majorBidi"/>
        </w:rPr>
        <w:t xml:space="preserve">Navaro, V., Serrano, G., Lasa, D., Aduriz, A.L. and Ayo, J. 2012. Cooking and nutritional science: Gastronomy goes further. </w:t>
      </w:r>
      <w:r>
        <w:rPr>
          <w:rFonts w:asciiTheme="majorBidi" w:hAnsiTheme="majorBidi" w:cstheme="majorBidi"/>
          <w:i/>
          <w:iCs/>
        </w:rPr>
        <w:t>International Journal of Gastronomy and Food Science</w:t>
      </w:r>
      <w:r>
        <w:rPr>
          <w:rFonts w:asciiTheme="majorBidi" w:hAnsiTheme="majorBidi" w:cstheme="majorBidi"/>
        </w:rPr>
        <w:t xml:space="preserve"> 1:37-45. </w:t>
      </w:r>
    </w:p>
    <w:p w14:paraId="5264923C" w14:textId="77777777" w:rsidR="00BC2D65" w:rsidRDefault="00BC2D65" w:rsidP="00BC2D65">
      <w:pPr>
        <w:pStyle w:val="ListParagraph"/>
        <w:numPr>
          <w:ilvl w:val="0"/>
          <w:numId w:val="1"/>
        </w:numPr>
        <w:shd w:val="clear" w:color="auto" w:fill="FFFFFF"/>
        <w:spacing w:line="240" w:lineRule="auto"/>
        <w:outlineLvl w:val="0"/>
        <w:rPr>
          <w:rFonts w:asciiTheme="majorBidi" w:eastAsia="Times New Roman" w:hAnsiTheme="majorBidi" w:cstheme="majorBidi"/>
          <w:color w:val="333333"/>
          <w:kern w:val="36"/>
        </w:rPr>
      </w:pPr>
      <w:proofErr w:type="spellStart"/>
      <w:r>
        <w:rPr>
          <w:rFonts w:asciiTheme="majorBidi" w:eastAsia="Times New Roman" w:hAnsiTheme="majorBidi" w:cstheme="majorBidi"/>
          <w:color w:val="333333"/>
          <w:kern w:val="36"/>
        </w:rPr>
        <w:t>Tveteraas</w:t>
      </w:r>
      <w:proofErr w:type="spellEnd"/>
      <w:r>
        <w:rPr>
          <w:rFonts w:asciiTheme="majorBidi" w:eastAsia="Times New Roman" w:hAnsiTheme="majorBidi" w:cstheme="majorBidi"/>
          <w:color w:val="333333"/>
          <w:kern w:val="36"/>
        </w:rPr>
        <w:t xml:space="preserve">, S.L. and Falk, M. 2016. The productivity challenge facing the global hospitality industry, in: Pappas, N. and Bregoli, I. (Eds.) “Global Dynamics in Travel, Tourism, and Hospitality”, 2016, with TOC. Business Science Reference, US. Chap. 13, p.223-238. </w:t>
      </w:r>
    </w:p>
    <w:p w14:paraId="774AF3EA" w14:textId="77777777" w:rsidR="00BC2D65" w:rsidRDefault="00BC2D65" w:rsidP="00BC2D65">
      <w:pPr>
        <w:pStyle w:val="ListParagraph"/>
        <w:numPr>
          <w:ilvl w:val="0"/>
          <w:numId w:val="1"/>
        </w:numPr>
        <w:rPr>
          <w:rFonts w:asciiTheme="majorBidi" w:hAnsiTheme="majorBidi" w:cstheme="majorBidi"/>
        </w:rPr>
      </w:pPr>
      <w:r>
        <w:rPr>
          <w:rFonts w:asciiTheme="majorBidi" w:hAnsiTheme="majorBidi" w:cstheme="majorBidi"/>
          <w:color w:val="000000"/>
        </w:rPr>
        <w:t xml:space="preserve">Su, L., Wang, L., Law, R., Chen, X., and Fong, D. 2017. Influences of Destination Social Responsibility on the Relationship Quality with Residents and Destination Economic Performance. </w:t>
      </w:r>
      <w:r>
        <w:rPr>
          <w:rFonts w:asciiTheme="majorBidi" w:hAnsiTheme="majorBidi" w:cstheme="majorBidi"/>
          <w:i/>
          <w:iCs/>
          <w:color w:val="000000"/>
        </w:rPr>
        <w:t>Journal of Travel &amp; Tourism Marketing</w:t>
      </w:r>
      <w:r>
        <w:rPr>
          <w:rFonts w:asciiTheme="majorBidi" w:hAnsiTheme="majorBidi" w:cstheme="majorBidi"/>
          <w:color w:val="000000"/>
        </w:rPr>
        <w:t>, 34(4), 488-502.</w:t>
      </w:r>
    </w:p>
    <w:p w14:paraId="117C5C56" w14:textId="77777777" w:rsidR="00BC2D65" w:rsidRDefault="00BC2D65" w:rsidP="00BC2D65">
      <w:pPr>
        <w:pStyle w:val="ListParagraph"/>
        <w:numPr>
          <w:ilvl w:val="0"/>
          <w:numId w:val="1"/>
        </w:numPr>
        <w:rPr>
          <w:rFonts w:asciiTheme="majorBidi" w:hAnsiTheme="majorBidi" w:cstheme="majorBidi"/>
        </w:rPr>
      </w:pPr>
      <w:r>
        <w:rPr>
          <w:rFonts w:asciiTheme="majorBidi" w:hAnsiTheme="majorBidi" w:cstheme="majorBidi"/>
          <w:color w:val="000000"/>
        </w:rPr>
        <w:t xml:space="preserve">Sun, S., Tong, K.T.L., and Law, R. 2017. Chinese Hotel Guest Perception of International Chain Hotels under the Same Hotel Brand in Different Travel Destinations: The Cases of InterContinental and Sheraton. </w:t>
      </w:r>
      <w:r>
        <w:rPr>
          <w:rFonts w:asciiTheme="majorBidi" w:hAnsiTheme="majorBidi" w:cstheme="majorBidi"/>
          <w:i/>
          <w:iCs/>
          <w:color w:val="000000"/>
        </w:rPr>
        <w:t>Journal of Vacation Marketing</w:t>
      </w:r>
      <w:r>
        <w:rPr>
          <w:rFonts w:asciiTheme="majorBidi" w:hAnsiTheme="majorBidi" w:cstheme="majorBidi"/>
          <w:color w:val="000000"/>
        </w:rPr>
        <w:t>, 23(2), 172-188.</w:t>
      </w:r>
    </w:p>
    <w:p w14:paraId="6AEEFA53" w14:textId="77777777" w:rsidR="00BC2D65" w:rsidRDefault="00BC2D65" w:rsidP="00BC2D65">
      <w:pPr>
        <w:pStyle w:val="ListParagraph"/>
        <w:numPr>
          <w:ilvl w:val="0"/>
          <w:numId w:val="1"/>
        </w:numPr>
        <w:rPr>
          <w:rFonts w:asciiTheme="majorBidi" w:hAnsiTheme="majorBidi" w:cstheme="majorBidi"/>
        </w:rPr>
      </w:pPr>
      <w:r>
        <w:rPr>
          <w:rFonts w:asciiTheme="majorBidi" w:hAnsiTheme="majorBidi" w:cstheme="majorBidi"/>
          <w:color w:val="000000"/>
        </w:rPr>
        <w:t xml:space="preserve">Xiao, Q., </w:t>
      </w:r>
      <w:proofErr w:type="spellStart"/>
      <w:r>
        <w:rPr>
          <w:rFonts w:asciiTheme="majorBidi" w:hAnsiTheme="majorBidi" w:cstheme="majorBidi"/>
          <w:color w:val="000000"/>
        </w:rPr>
        <w:t>Heo</w:t>
      </w:r>
      <w:proofErr w:type="spellEnd"/>
      <w:r>
        <w:rPr>
          <w:rFonts w:asciiTheme="majorBidi" w:hAnsiTheme="majorBidi" w:cstheme="majorBidi"/>
          <w:color w:val="000000"/>
        </w:rPr>
        <w:t xml:space="preserve">, C.Y., and Lee, S. 2017. How do Consumers' Perceptions Differ Across Dimensions of Corporate Social Responsibility and Hotel Types? </w:t>
      </w:r>
      <w:r>
        <w:rPr>
          <w:rFonts w:asciiTheme="majorBidi" w:hAnsiTheme="majorBidi" w:cstheme="majorBidi"/>
          <w:i/>
          <w:iCs/>
          <w:color w:val="000000"/>
        </w:rPr>
        <w:t>Journal of Travel &amp; Tourism Marketing</w:t>
      </w:r>
      <w:r>
        <w:rPr>
          <w:rFonts w:asciiTheme="majorBidi" w:hAnsiTheme="majorBidi" w:cstheme="majorBidi"/>
          <w:color w:val="000000"/>
        </w:rPr>
        <w:t>, 34(5), 694-707.</w:t>
      </w:r>
    </w:p>
    <w:p w14:paraId="6D062CFF" w14:textId="77777777" w:rsidR="00BC2D65" w:rsidRDefault="00BC2D65" w:rsidP="00BC2D65">
      <w:pPr>
        <w:pStyle w:val="ListParagraph"/>
        <w:numPr>
          <w:ilvl w:val="0"/>
          <w:numId w:val="1"/>
        </w:numPr>
        <w:rPr>
          <w:rFonts w:asciiTheme="majorBidi" w:hAnsiTheme="majorBidi" w:cstheme="majorBidi"/>
        </w:rPr>
      </w:pPr>
      <w:r>
        <w:rPr>
          <w:rFonts w:asciiTheme="majorBidi" w:hAnsiTheme="majorBidi" w:cstheme="majorBidi"/>
          <w:color w:val="000000"/>
        </w:rPr>
        <w:t xml:space="preserve">Wang, S., Kirillova, K., and Lehto, X. 2017. Travelers' Food Experience Sharing on Social Network Sites. </w:t>
      </w:r>
      <w:r>
        <w:rPr>
          <w:rFonts w:asciiTheme="majorBidi" w:hAnsiTheme="majorBidi" w:cstheme="majorBidi"/>
          <w:i/>
          <w:iCs/>
          <w:color w:val="000000"/>
        </w:rPr>
        <w:t>Journal of Travel &amp; Tourism Marketing</w:t>
      </w:r>
      <w:r>
        <w:rPr>
          <w:rFonts w:asciiTheme="majorBidi" w:hAnsiTheme="majorBidi" w:cstheme="majorBidi"/>
          <w:color w:val="000000"/>
        </w:rPr>
        <w:t>, 34(5), 680-693.</w:t>
      </w:r>
    </w:p>
    <w:p w14:paraId="5E3C37A6" w14:textId="77777777" w:rsidR="009964AA" w:rsidRPr="00C265B9" w:rsidRDefault="009964AA" w:rsidP="00BC2D65">
      <w:pPr>
        <w:shd w:val="clear" w:color="auto" w:fill="FFFFFF"/>
        <w:spacing w:after="160"/>
        <w:outlineLvl w:val="0"/>
        <w:rPr>
          <w:rFonts w:ascii="Times New Roman" w:eastAsia="Arial Unicode MS" w:hAnsi="Times New Roman" w:cs="Times New Roman"/>
          <w:b/>
          <w:bCs/>
          <w:color w:val="000000"/>
          <w:kern w:val="36"/>
          <w:sz w:val="24"/>
          <w:rtl/>
        </w:rPr>
      </w:pPr>
    </w:p>
    <w:p w14:paraId="472FC2DB" w14:textId="77777777" w:rsidR="009964AA" w:rsidRPr="00C265B9" w:rsidRDefault="009964AA" w:rsidP="009964AA">
      <w:pPr>
        <w:shd w:val="clear" w:color="auto" w:fill="FFFFFF"/>
        <w:outlineLvl w:val="0"/>
        <w:rPr>
          <w:rFonts w:ascii="Times New Roman" w:eastAsia="Arial Unicode MS" w:hAnsi="Times New Roman" w:cs="Times New Roman"/>
          <w:b/>
          <w:bCs/>
          <w:color w:val="000000"/>
          <w:kern w:val="36"/>
          <w:sz w:val="24"/>
        </w:rPr>
      </w:pPr>
    </w:p>
    <w:p w14:paraId="7EB33AF1" w14:textId="77777777" w:rsidR="009964AA" w:rsidRPr="000417CA" w:rsidRDefault="009964AA" w:rsidP="000417CA"/>
    <w:sectPr w:rsidR="009964AA" w:rsidRPr="000417CA" w:rsidSect="004E2717">
      <w:headerReference w:type="default" r:id="rId8"/>
      <w:footerReference w:type="default" r:id="rId9"/>
      <w:pgSz w:w="11906" w:h="16838"/>
      <w:pgMar w:top="171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89978" w14:textId="77777777" w:rsidR="00CF278F" w:rsidRDefault="00CF278F" w:rsidP="00C361D8">
      <w:pPr>
        <w:spacing w:after="0" w:line="240" w:lineRule="auto"/>
      </w:pPr>
      <w:r>
        <w:separator/>
      </w:r>
    </w:p>
  </w:endnote>
  <w:endnote w:type="continuationSeparator" w:id="0">
    <w:p w14:paraId="242FD6E7" w14:textId="77777777" w:rsidR="00CF278F" w:rsidRDefault="00CF278F" w:rsidP="00C36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87099" w14:textId="77777777" w:rsidR="00367BC2" w:rsidRDefault="00C3106B">
    <w:pPr>
      <w:pStyle w:val="Footer"/>
    </w:pPr>
    <w:r>
      <w:rPr>
        <w:noProof/>
      </w:rPr>
      <w:drawing>
        <wp:anchor distT="0" distB="0" distL="114300" distR="114300" simplePos="0" relativeHeight="251663360" behindDoc="1" locked="0" layoutInCell="1" allowOverlap="1" wp14:anchorId="53EB4C92" wp14:editId="04E55B27">
          <wp:simplePos x="0" y="0"/>
          <wp:positionH relativeFrom="column">
            <wp:posOffset>-1217930</wp:posOffset>
          </wp:positionH>
          <wp:positionV relativeFrom="paragraph">
            <wp:posOffset>-329416</wp:posOffset>
          </wp:positionV>
          <wp:extent cx="7722118" cy="1097883"/>
          <wp:effectExtent l="0" t="0" r="0" b="7620"/>
          <wp:wrapNone/>
          <wp:docPr id="8"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34696A" w14:textId="77777777" w:rsidR="00C361D8" w:rsidRDefault="00C361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3CBEF" w14:textId="77777777" w:rsidR="00CF278F" w:rsidRDefault="00CF278F" w:rsidP="00C361D8">
      <w:pPr>
        <w:spacing w:after="0" w:line="240" w:lineRule="auto"/>
      </w:pPr>
      <w:r>
        <w:separator/>
      </w:r>
    </w:p>
  </w:footnote>
  <w:footnote w:type="continuationSeparator" w:id="0">
    <w:p w14:paraId="09D3DC34" w14:textId="77777777" w:rsidR="00CF278F" w:rsidRDefault="00CF278F" w:rsidP="00C36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9CD15" w14:textId="77777777" w:rsidR="00C3106B" w:rsidRDefault="00C3106B">
    <w:pPr>
      <w:pStyle w:val="Header"/>
    </w:pPr>
    <w:r>
      <w:rPr>
        <w:noProof/>
      </w:rPr>
      <w:drawing>
        <wp:anchor distT="0" distB="0" distL="114300" distR="114300" simplePos="0" relativeHeight="251662336" behindDoc="1" locked="0" layoutInCell="1" allowOverlap="1" wp14:anchorId="19FDD90D" wp14:editId="3A7C76EE">
          <wp:simplePos x="0" y="0"/>
          <wp:positionH relativeFrom="column">
            <wp:posOffset>-1351280</wp:posOffset>
          </wp:positionH>
          <wp:positionV relativeFrom="paragraph">
            <wp:posOffset>-834390</wp:posOffset>
          </wp:positionV>
          <wp:extent cx="7722118" cy="1555442"/>
          <wp:effectExtent l="0" t="0" r="0" b="6985"/>
          <wp:wrapNone/>
          <wp:docPr id="5"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5554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AD7FAA" w14:textId="77777777" w:rsidR="00C361D8" w:rsidRDefault="00C361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9416E"/>
    <w:multiLevelType w:val="hybridMultilevel"/>
    <w:tmpl w:val="A51A8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079F6"/>
    <w:rsid w:val="0002404D"/>
    <w:rsid w:val="000417CA"/>
    <w:rsid w:val="001632EB"/>
    <w:rsid w:val="002E556B"/>
    <w:rsid w:val="00367BC2"/>
    <w:rsid w:val="004562A1"/>
    <w:rsid w:val="00485F17"/>
    <w:rsid w:val="004D5039"/>
    <w:rsid w:val="004E2717"/>
    <w:rsid w:val="004E7629"/>
    <w:rsid w:val="0066049C"/>
    <w:rsid w:val="006A5788"/>
    <w:rsid w:val="0080493B"/>
    <w:rsid w:val="00951A34"/>
    <w:rsid w:val="00961A44"/>
    <w:rsid w:val="00986A8F"/>
    <w:rsid w:val="009964AA"/>
    <w:rsid w:val="00A106A2"/>
    <w:rsid w:val="00A21B1E"/>
    <w:rsid w:val="00BC2D65"/>
    <w:rsid w:val="00C3106B"/>
    <w:rsid w:val="00C361D8"/>
    <w:rsid w:val="00C75D19"/>
    <w:rsid w:val="00CF278F"/>
    <w:rsid w:val="00E2201A"/>
    <w:rsid w:val="00E806FB"/>
    <w:rsid w:val="00EF112B"/>
    <w:rsid w:val="00F073B3"/>
    <w:rsid w:val="00F233DD"/>
    <w:rsid w:val="00F57E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6744D"/>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A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bidi/>
      <w:spacing w:after="0" w:line="240" w:lineRule="auto"/>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bidi/>
      <w:spacing w:after="0" w:line="240" w:lineRule="auto"/>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table" w:styleId="TableGrid">
    <w:name w:val="Table Grid"/>
    <w:basedOn w:val="TableNormal"/>
    <w:uiPriority w:val="59"/>
    <w:rsid w:val="00951A34"/>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שם הקורס"/>
    <w:basedOn w:val="Normal"/>
    <w:link w:val="a0"/>
    <w:qFormat/>
    <w:rsid w:val="009964AA"/>
    <w:rPr>
      <w:rFonts w:ascii="Times New Roman" w:eastAsia="Calibri" w:hAnsi="Times New Roman" w:cs="Times New Roman"/>
      <w:b/>
      <w:bCs/>
      <w:sz w:val="24"/>
      <w:szCs w:val="24"/>
      <w:u w:val="single"/>
    </w:rPr>
  </w:style>
  <w:style w:type="character" w:customStyle="1" w:styleId="a0">
    <w:name w:val="שם הקורס תו"/>
    <w:basedOn w:val="DefaultParagraphFont"/>
    <w:link w:val="a"/>
    <w:rsid w:val="009964AA"/>
    <w:rPr>
      <w:rFonts w:ascii="Times New Roman" w:eastAsia="Calibri" w:hAnsi="Times New Roman" w:cs="Times New Roman"/>
      <w:b/>
      <w:bCs/>
      <w:sz w:val="24"/>
      <w:szCs w:val="24"/>
      <w:u w:val="single"/>
    </w:rPr>
  </w:style>
  <w:style w:type="table" w:customStyle="1" w:styleId="19">
    <w:name w:val="רשת טבלה19"/>
    <w:basedOn w:val="TableNormal"/>
    <w:next w:val="TableGrid"/>
    <w:uiPriority w:val="59"/>
    <w:rsid w:val="00996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BC2D65"/>
    <w:rPr>
      <w:color w:val="0000FF"/>
      <w:u w:val="single"/>
    </w:rPr>
  </w:style>
  <w:style w:type="paragraph" w:styleId="ListParagraph">
    <w:name w:val="List Paragraph"/>
    <w:basedOn w:val="Normal"/>
    <w:uiPriority w:val="34"/>
    <w:qFormat/>
    <w:rsid w:val="00BC2D65"/>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639725">
      <w:bodyDiv w:val="1"/>
      <w:marLeft w:val="0"/>
      <w:marRight w:val="0"/>
      <w:marTop w:val="0"/>
      <w:marBottom w:val="0"/>
      <w:divBdr>
        <w:top w:val="none" w:sz="0" w:space="0" w:color="auto"/>
        <w:left w:val="none" w:sz="0" w:space="0" w:color="auto"/>
        <w:bottom w:val="none" w:sz="0" w:space="0" w:color="auto"/>
        <w:right w:val="none" w:sz="0" w:space="0" w:color="auto"/>
      </w:divBdr>
    </w:div>
    <w:div w:id="562176443">
      <w:bodyDiv w:val="1"/>
      <w:marLeft w:val="0"/>
      <w:marRight w:val="0"/>
      <w:marTop w:val="0"/>
      <w:marBottom w:val="0"/>
      <w:divBdr>
        <w:top w:val="none" w:sz="0" w:space="0" w:color="auto"/>
        <w:left w:val="none" w:sz="0" w:space="0" w:color="auto"/>
        <w:bottom w:val="none" w:sz="0" w:space="0" w:color="auto"/>
        <w:right w:val="none" w:sz="0" w:space="0" w:color="auto"/>
      </w:divBdr>
    </w:div>
    <w:div w:id="785662292">
      <w:bodyDiv w:val="1"/>
      <w:marLeft w:val="0"/>
      <w:marRight w:val="0"/>
      <w:marTop w:val="0"/>
      <w:marBottom w:val="0"/>
      <w:divBdr>
        <w:top w:val="none" w:sz="0" w:space="0" w:color="auto"/>
        <w:left w:val="none" w:sz="0" w:space="0" w:color="auto"/>
        <w:bottom w:val="none" w:sz="0" w:space="0" w:color="auto"/>
        <w:right w:val="none" w:sz="0" w:space="0" w:color="auto"/>
      </w:divBdr>
    </w:div>
    <w:div w:id="1272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staurant.org/News-Research/News/Whats-hot-Top-10-concept-tren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835</Words>
  <Characters>4763</Characters>
  <Application>Microsoft Office Word</Application>
  <DocSecurity>0</DocSecurity>
  <Lines>39</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HI</cp:lastModifiedBy>
  <cp:revision>6</cp:revision>
  <cp:lastPrinted>2019-05-30T06:17:00Z</cp:lastPrinted>
  <dcterms:created xsi:type="dcterms:W3CDTF">2021-08-23T12:56:00Z</dcterms:created>
  <dcterms:modified xsi:type="dcterms:W3CDTF">2021-09-01T09:45:00Z</dcterms:modified>
</cp:coreProperties>
</file>