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3C9" w:rsidRDefault="00724239" w:rsidP="00724239">
      <w:pPr>
        <w:pStyle w:val="NormalWeb"/>
        <w:spacing w:before="0" w:beforeAutospacing="0" w:after="40" w:afterAutospacing="0" w:line="360" w:lineRule="auto"/>
        <w:jc w:val="center"/>
        <w:rPr>
          <w:rFonts w:asciiTheme="majorBidi" w:eastAsia="+mn-ea" w:hAnsiTheme="majorBidi" w:cstheme="majorBidi"/>
          <w:b/>
          <w:bCs/>
          <w:color w:val="000000" w:themeColor="text1"/>
          <w:kern w:val="24"/>
        </w:rPr>
      </w:pPr>
      <w:r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 xml:space="preserve">A </w:t>
      </w:r>
      <w:r w:rsidR="001133C9" w:rsidRPr="001133C9"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>Pragmatic</w:t>
      </w:r>
      <w:r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 xml:space="preserve"> approach</w:t>
      </w:r>
      <w:r w:rsidR="001133C9" w:rsidRPr="001133C9"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 xml:space="preserve"> of the body part </w:t>
      </w:r>
      <w:r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>3ein (‘</w:t>
      </w:r>
      <w:r w:rsidR="001133C9" w:rsidRPr="001133C9"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>eye</w:t>
      </w:r>
      <w:r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>’) metaphors</w:t>
      </w:r>
      <w:r w:rsidR="001133C9" w:rsidRPr="001133C9"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 xml:space="preserve"> in Palestinian Arabic </w:t>
      </w:r>
      <w:bookmarkStart w:id="0" w:name="_GoBack"/>
      <w:bookmarkEnd w:id="0"/>
    </w:p>
    <w:p w:rsidR="00D06650" w:rsidRPr="001133C9" w:rsidRDefault="00D06650" w:rsidP="00D06650">
      <w:pPr>
        <w:pStyle w:val="NormalWeb"/>
        <w:spacing w:before="0" w:beforeAutospacing="0" w:after="40" w:afterAutospacing="0" w:line="360" w:lineRule="auto"/>
        <w:jc w:val="center"/>
        <w:rPr>
          <w:rFonts w:asciiTheme="majorBidi" w:hAnsiTheme="majorBidi" w:cstheme="majorBidi"/>
          <w:color w:val="000000" w:themeColor="text1"/>
        </w:rPr>
      </w:pPr>
      <w:r>
        <w:rPr>
          <w:rFonts w:asciiTheme="majorBidi" w:eastAsia="+mn-ea" w:hAnsiTheme="majorBidi" w:cstheme="majorBidi"/>
          <w:b/>
          <w:bCs/>
          <w:color w:val="000000" w:themeColor="text1"/>
          <w:kern w:val="24"/>
        </w:rPr>
        <w:t>Amna Byadsi</w:t>
      </w:r>
    </w:p>
    <w:p w:rsidR="001133C9" w:rsidRPr="001133C9" w:rsidRDefault="00860963" w:rsidP="001133C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Abstract:</w:t>
      </w:r>
    </w:p>
    <w:p w:rsidR="001133C9" w:rsidRPr="00D06650" w:rsidRDefault="00D06650" w:rsidP="00A57149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eastAsia="+mn-ea" w:hAnsiTheme="majorBidi" w:cstheme="majorBidi"/>
          <w:color w:val="000000" w:themeColor="text1"/>
          <w:kern w:val="24"/>
        </w:rPr>
        <w:t>T</w:t>
      </w:r>
      <w:r w:rsidR="001133C9" w:rsidRPr="00D06650">
        <w:rPr>
          <w:rFonts w:asciiTheme="majorBidi" w:eastAsia="+mn-ea" w:hAnsiTheme="majorBidi" w:cstheme="majorBidi"/>
          <w:color w:val="000000" w:themeColor="text1"/>
          <w:kern w:val="24"/>
        </w:rPr>
        <w:t xml:space="preserve">his study investigates the conventional idioms that include </w:t>
      </w:r>
      <w:r>
        <w:rPr>
          <w:rFonts w:asciiTheme="majorBidi" w:eastAsia="+mn-ea" w:hAnsiTheme="majorBidi" w:cstheme="majorBidi"/>
          <w:color w:val="000000" w:themeColor="text1"/>
          <w:kern w:val="24"/>
        </w:rPr>
        <w:t>the body part eye that</w:t>
      </w:r>
      <w:r w:rsidR="001133C9" w:rsidRPr="00D06650">
        <w:rPr>
          <w:rFonts w:asciiTheme="majorBidi" w:eastAsia="+mn-ea" w:hAnsiTheme="majorBidi" w:cstheme="majorBidi"/>
          <w:color w:val="000000" w:themeColor="text1"/>
          <w:kern w:val="24"/>
        </w:rPr>
        <w:t xml:space="preserve"> used to stand met</w:t>
      </w:r>
      <w:r>
        <w:rPr>
          <w:rFonts w:asciiTheme="majorBidi" w:eastAsia="+mn-ea" w:hAnsiTheme="majorBidi" w:cstheme="majorBidi"/>
          <w:color w:val="000000" w:themeColor="text1"/>
          <w:kern w:val="24"/>
        </w:rPr>
        <w:t>aphorically</w:t>
      </w:r>
      <w:r w:rsidR="001133C9" w:rsidRPr="00D06650">
        <w:rPr>
          <w:rFonts w:asciiTheme="majorBidi" w:eastAsia="+mn-ea" w:hAnsiTheme="majorBidi" w:cstheme="majorBidi"/>
          <w:color w:val="000000" w:themeColor="text1"/>
          <w:kern w:val="24"/>
        </w:rPr>
        <w:t xml:space="preserve"> for human states, behavior and actions. In agreement with Gibbs &amp; Wilson (2002: 524), we contend that because body parts are familiar to and </w:t>
      </w:r>
      <w:r w:rsidRPr="00D06650">
        <w:rPr>
          <w:rFonts w:asciiTheme="majorBidi" w:eastAsia="+mn-ea" w:hAnsiTheme="majorBidi" w:cstheme="majorBidi"/>
          <w:color w:val="000000" w:themeColor="text1"/>
          <w:kern w:val="24"/>
        </w:rPr>
        <w:t>well understood</w:t>
      </w:r>
      <w:r w:rsidR="001133C9" w:rsidRPr="00D06650">
        <w:rPr>
          <w:rFonts w:asciiTheme="majorBidi" w:eastAsia="+mn-ea" w:hAnsiTheme="majorBidi" w:cstheme="majorBidi"/>
          <w:color w:val="000000" w:themeColor="text1"/>
          <w:kern w:val="24"/>
        </w:rPr>
        <w:t xml:space="preserve"> by people, they are extended met</w:t>
      </w:r>
      <w:r>
        <w:rPr>
          <w:rFonts w:asciiTheme="majorBidi" w:eastAsia="+mn-ea" w:hAnsiTheme="majorBidi" w:cstheme="majorBidi"/>
          <w:color w:val="000000" w:themeColor="text1"/>
          <w:kern w:val="24"/>
        </w:rPr>
        <w:t>aphorically</w:t>
      </w:r>
      <w:r w:rsidR="001133C9" w:rsidRPr="00D06650">
        <w:rPr>
          <w:rFonts w:asciiTheme="majorBidi" w:eastAsia="+mn-ea" w:hAnsiTheme="majorBidi" w:cstheme="majorBidi"/>
          <w:color w:val="000000" w:themeColor="text1"/>
          <w:kern w:val="24"/>
        </w:rPr>
        <w:t xml:space="preserve"> as a way to understand ideas, events, and objects in this world. </w:t>
      </w:r>
    </w:p>
    <w:p w:rsidR="00D06650" w:rsidRPr="001133C9" w:rsidRDefault="00D06650" w:rsidP="00D06650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 w:rsidRPr="001133C9">
        <w:rPr>
          <w:rFonts w:asciiTheme="majorBidi" w:eastAsia="+mn-ea" w:hAnsiTheme="majorBidi" w:cstheme="majorBidi"/>
          <w:color w:val="000000" w:themeColor="text1"/>
          <w:kern w:val="24"/>
        </w:rPr>
        <w:t>The primary goal of this study is to investigate the positive and negative pragmatic implications of body-based sentences that are enhanced by metaphor.</w:t>
      </w:r>
    </w:p>
    <w:p w:rsidR="00D06650" w:rsidRPr="001133C9" w:rsidRDefault="00D06650" w:rsidP="00D06650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 w:rsidRPr="001133C9">
        <w:rPr>
          <w:rFonts w:asciiTheme="majorBidi" w:eastAsia="+mn-ea" w:hAnsiTheme="majorBidi" w:cstheme="majorBidi"/>
          <w:color w:val="000000" w:themeColor="text1"/>
          <w:kern w:val="24"/>
        </w:rPr>
        <w:t xml:space="preserve">Second, to show how rich the body part “eye” is, in terms of being a source domain of metaphor in Palestinian Arabic conversational sentences. </w:t>
      </w:r>
    </w:p>
    <w:p w:rsidR="00D06650" w:rsidRPr="00A57149" w:rsidRDefault="00D06650" w:rsidP="00A57149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eastAsia="+mn-ea" w:hAnsiTheme="majorBidi" w:cstheme="majorBidi"/>
          <w:color w:val="000000" w:themeColor="text1"/>
          <w:kern w:val="24"/>
        </w:rPr>
        <w:t>To achieve this goal, we have collected about thirty conversatio</w:t>
      </w:r>
      <w:r w:rsidR="00A57149">
        <w:rPr>
          <w:rFonts w:asciiTheme="majorBidi" w:eastAsia="+mn-ea" w:hAnsiTheme="majorBidi" w:cstheme="majorBidi"/>
          <w:color w:val="000000" w:themeColor="text1"/>
          <w:kern w:val="24"/>
        </w:rPr>
        <w:t>n</w:t>
      </w:r>
      <w:r>
        <w:rPr>
          <w:rFonts w:asciiTheme="majorBidi" w:eastAsia="+mn-ea" w:hAnsiTheme="majorBidi" w:cstheme="majorBidi"/>
          <w:color w:val="000000" w:themeColor="text1"/>
          <w:kern w:val="24"/>
        </w:rPr>
        <w:t xml:space="preserve">al </w:t>
      </w:r>
      <w:r w:rsidR="00A57149">
        <w:rPr>
          <w:rFonts w:asciiTheme="majorBidi" w:eastAsia="+mn-ea" w:hAnsiTheme="majorBidi" w:cstheme="majorBidi"/>
          <w:color w:val="000000" w:themeColor="text1"/>
          <w:kern w:val="24"/>
        </w:rPr>
        <w:t xml:space="preserve">sentences, which include the body part eye </w:t>
      </w:r>
      <w:r>
        <w:rPr>
          <w:rFonts w:asciiTheme="majorBidi" w:eastAsia="+mn-ea" w:hAnsiTheme="majorBidi" w:cstheme="majorBidi"/>
          <w:color w:val="000000" w:themeColor="text1"/>
          <w:kern w:val="24"/>
        </w:rPr>
        <w:t xml:space="preserve">that Palestinian </w:t>
      </w:r>
      <w:r w:rsidR="00A57149">
        <w:rPr>
          <w:rFonts w:asciiTheme="majorBidi" w:eastAsia="+mn-ea" w:hAnsiTheme="majorBidi" w:cstheme="majorBidi"/>
          <w:color w:val="000000" w:themeColor="text1"/>
          <w:kern w:val="24"/>
        </w:rPr>
        <w:t>Arabs</w:t>
      </w:r>
      <w:r>
        <w:rPr>
          <w:rFonts w:asciiTheme="majorBidi" w:eastAsia="+mn-ea" w:hAnsiTheme="majorBidi" w:cstheme="majorBidi"/>
          <w:color w:val="000000" w:themeColor="text1"/>
          <w:kern w:val="24"/>
        </w:rPr>
        <w:t xml:space="preserve"> use in the</w:t>
      </w:r>
      <w:r w:rsidR="00A57149">
        <w:rPr>
          <w:rFonts w:asciiTheme="majorBidi" w:eastAsia="+mn-ea" w:hAnsiTheme="majorBidi" w:cstheme="majorBidi"/>
          <w:color w:val="000000" w:themeColor="text1"/>
          <w:kern w:val="24"/>
        </w:rPr>
        <w:t xml:space="preserve">ir daily life, we have searched the theoretical background over the topic, and finally we have analyzed the sentences we have gathered according to the scientific data over the topic. </w:t>
      </w:r>
      <w:r w:rsidR="00353296">
        <w:rPr>
          <w:rFonts w:asciiTheme="majorBidi" w:eastAsia="+mn-ea" w:hAnsiTheme="majorBidi" w:cstheme="majorBidi" w:hint="cs"/>
          <w:color w:val="000000" w:themeColor="text1"/>
          <w:kern w:val="24"/>
          <w:rtl/>
        </w:rPr>
        <w:t xml:space="preserve"> </w:t>
      </w:r>
      <w:r w:rsidR="00353296">
        <w:rPr>
          <w:rFonts w:asciiTheme="majorBidi" w:eastAsia="+mn-ea" w:hAnsiTheme="majorBidi" w:cstheme="majorBidi"/>
          <w:color w:val="000000" w:themeColor="text1"/>
          <w:kern w:val="24"/>
        </w:rPr>
        <w:t xml:space="preserve">  </w:t>
      </w:r>
      <w:r w:rsidR="00A57149">
        <w:rPr>
          <w:rFonts w:asciiTheme="majorBidi" w:eastAsia="+mn-ea" w:hAnsiTheme="majorBidi" w:cstheme="majorBidi"/>
          <w:color w:val="000000" w:themeColor="text1"/>
          <w:kern w:val="24"/>
        </w:rPr>
        <w:t xml:space="preserve"> </w:t>
      </w:r>
    </w:p>
    <w:p w:rsidR="00A57149" w:rsidRDefault="00A57149" w:rsidP="00860963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As a result, we have discovered the </w:t>
      </w:r>
      <w:r w:rsidR="00860963">
        <w:rPr>
          <w:rFonts w:asciiTheme="majorBidi" w:hAnsiTheme="majorBidi" w:cstheme="majorBidi"/>
          <w:color w:val="000000" w:themeColor="text1"/>
        </w:rPr>
        <w:t xml:space="preserve">socio-linguistic </w:t>
      </w:r>
      <w:r>
        <w:rPr>
          <w:rFonts w:asciiTheme="majorBidi" w:hAnsiTheme="majorBidi" w:cstheme="majorBidi"/>
          <w:color w:val="000000" w:themeColor="text1"/>
        </w:rPr>
        <w:t xml:space="preserve">links that enable the body part eye to be one of the easy ways through which people </w:t>
      </w:r>
      <w:r w:rsidR="00860963">
        <w:rPr>
          <w:rFonts w:asciiTheme="majorBidi" w:hAnsiTheme="majorBidi" w:cstheme="majorBidi"/>
          <w:color w:val="000000" w:themeColor="text1"/>
        </w:rPr>
        <w:t xml:space="preserve">within the same area </w:t>
      </w:r>
      <w:r>
        <w:rPr>
          <w:rFonts w:asciiTheme="majorBidi" w:hAnsiTheme="majorBidi" w:cstheme="majorBidi"/>
          <w:color w:val="000000" w:themeColor="text1"/>
        </w:rPr>
        <w:t xml:space="preserve">can connect. </w:t>
      </w:r>
    </w:p>
    <w:p w:rsidR="00860963" w:rsidRPr="00D06650" w:rsidRDefault="00860963" w:rsidP="00860963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For further studies, it is highly recommended to search the same phenomenon among different areas. </w:t>
      </w:r>
    </w:p>
    <w:p w:rsidR="001133C9" w:rsidRPr="001133C9" w:rsidRDefault="001133C9" w:rsidP="001133C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133C9" w:rsidRPr="001133C9" w:rsidRDefault="001133C9" w:rsidP="001133C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1133C9" w:rsidRPr="00113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0E6"/>
    <w:multiLevelType w:val="hybridMultilevel"/>
    <w:tmpl w:val="A4142842"/>
    <w:lvl w:ilvl="0" w:tplc="D37846FC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86D0B4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E4956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12573A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5E11EC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6C3FEC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C40D88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B88832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C8BF18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B535F7E"/>
    <w:multiLevelType w:val="hybridMultilevel"/>
    <w:tmpl w:val="50F414B2"/>
    <w:lvl w:ilvl="0" w:tplc="3CB20348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60A620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5246D2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C6B27E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B28B0E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8E9168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A0711E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F86A8A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D4B9C0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C9"/>
    <w:rsid w:val="001133C9"/>
    <w:rsid w:val="00353296"/>
    <w:rsid w:val="00724239"/>
    <w:rsid w:val="007B24A1"/>
    <w:rsid w:val="00860963"/>
    <w:rsid w:val="00A57149"/>
    <w:rsid w:val="00D0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84435B-9D3A-4737-ACD6-994BCFC9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11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1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11439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475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8518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Amna Byadsi</dc:creator>
  <cp:keywords/>
  <dc:description/>
  <cp:lastModifiedBy>Amna Byadsi</cp:lastModifiedBy>
  <cp:revision>2</cp:revision>
  <dcterms:created xsi:type="dcterms:W3CDTF">2017-12-15T17:41:00Z</dcterms:created>
  <dcterms:modified xsi:type="dcterms:W3CDTF">2017-12-15T17:41:00Z</dcterms:modified>
</cp:coreProperties>
</file>