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EEC" w:rsidRPr="003A3EEC" w:rsidRDefault="003A3EEC" w:rsidP="003A3EEC">
      <w:pPr>
        <w:bidi w:val="0"/>
        <w:spacing w:before="120" w:line="360" w:lineRule="auto"/>
        <w:jc w:val="center"/>
        <w:rPr>
          <w:rFonts w:ascii="Times New Roman" w:eastAsia="Calibri" w:hAnsi="Times New Roman" w:cs="Times New Roman"/>
          <w:b/>
          <w:bCs/>
          <w:sz w:val="32"/>
          <w:szCs w:val="32"/>
          <w:lang w:bidi="ar-SA"/>
        </w:rPr>
      </w:pPr>
      <w:r w:rsidRPr="003A3EEC">
        <w:rPr>
          <w:rFonts w:ascii="Times New Roman" w:eastAsia="Calibri" w:hAnsi="Times New Roman" w:cs="Times New Roman"/>
          <w:b/>
          <w:bCs/>
          <w:sz w:val="32"/>
          <w:szCs w:val="32"/>
          <w:lang w:bidi="ar-SA"/>
        </w:rPr>
        <w:t>The relationship between openness to experiences and the potential for creativity among children in the Arab society in the Northern District</w:t>
      </w:r>
    </w:p>
    <w:p w:rsidR="003A3EEC" w:rsidRPr="003A3EEC" w:rsidRDefault="003A3EEC" w:rsidP="003A3EEC">
      <w:pPr>
        <w:bidi w:val="0"/>
        <w:spacing w:before="240" w:after="240" w:line="360" w:lineRule="auto"/>
        <w:ind w:leftChars="-1" w:left="917" w:hangingChars="327" w:hanging="919"/>
        <w:jc w:val="center"/>
        <w:rPr>
          <w:rFonts w:ascii="Times New Roman" w:eastAsia="Calibri" w:hAnsi="Times New Roman" w:cs="Times New Roman"/>
          <w:b/>
          <w:bCs/>
          <w:sz w:val="28"/>
          <w:szCs w:val="28"/>
          <w:lang w:bidi="ar-SA"/>
        </w:rPr>
      </w:pPr>
      <w:r w:rsidRPr="003A3EEC">
        <w:rPr>
          <w:rFonts w:ascii="Times New Roman" w:eastAsia="Calibri" w:hAnsi="Times New Roman" w:cs="Times New Roman"/>
          <w:b/>
          <w:bCs/>
          <w:sz w:val="28"/>
          <w:szCs w:val="28"/>
          <w:lang w:bidi="ar-SA"/>
        </w:rPr>
        <w:t xml:space="preserve">Anwar </w:t>
      </w:r>
      <w:proofErr w:type="spellStart"/>
      <w:r w:rsidRPr="003A3EEC">
        <w:rPr>
          <w:rFonts w:ascii="Times New Roman" w:eastAsia="Calibri" w:hAnsi="Times New Roman" w:cs="Times New Roman"/>
          <w:b/>
          <w:bCs/>
          <w:sz w:val="28"/>
          <w:szCs w:val="28"/>
          <w:lang w:bidi="ar-SA"/>
        </w:rPr>
        <w:t>Omari</w:t>
      </w:r>
      <w:proofErr w:type="spellEnd"/>
    </w:p>
    <w:p w:rsidR="003A3EEC" w:rsidRPr="003A3EEC" w:rsidRDefault="003A3EEC" w:rsidP="003A3EEC">
      <w:pPr>
        <w:bidi w:val="0"/>
        <w:spacing w:before="240" w:after="240" w:line="360" w:lineRule="auto"/>
        <w:ind w:leftChars="-1" w:left="-2" w:firstLine="720"/>
        <w:jc w:val="center"/>
        <w:rPr>
          <w:rFonts w:ascii="Times New Roman" w:eastAsia="Calibri" w:hAnsi="Times New Roman" w:cs="Times New Roman"/>
          <w:sz w:val="32"/>
          <w:szCs w:val="32"/>
          <w:lang w:bidi="ar-SA"/>
        </w:rPr>
      </w:pPr>
      <w:r w:rsidRPr="003A3EEC">
        <w:rPr>
          <w:rFonts w:ascii="Times New Roman" w:eastAsia="Calibri" w:hAnsi="Times New Roman" w:cs="Times New Roman"/>
          <w:b/>
          <w:bCs/>
          <w:sz w:val="32"/>
          <w:szCs w:val="32"/>
          <w:lang w:bidi="ar-SA"/>
        </w:rPr>
        <w:t>Abstract</w:t>
      </w:r>
    </w:p>
    <w:p w:rsidR="003A3EEC" w:rsidRPr="003A3EEC" w:rsidRDefault="003A3EEC" w:rsidP="003A3EEC">
      <w:pPr>
        <w:bidi w:val="0"/>
        <w:spacing w:line="360" w:lineRule="auto"/>
        <w:ind w:firstLine="720"/>
        <w:jc w:val="both"/>
        <w:rPr>
          <w:rFonts w:ascii="Times New Roman" w:eastAsia="Calibri" w:hAnsi="Times New Roman" w:cs="Times New Roman"/>
          <w:sz w:val="24"/>
          <w:szCs w:val="24"/>
        </w:rPr>
      </w:pPr>
      <w:r w:rsidRPr="003A3EEC">
        <w:rPr>
          <w:rFonts w:ascii="Times New Roman" w:eastAsia="Calibri" w:hAnsi="Times New Roman" w:cs="Times New Roman"/>
          <w:sz w:val="24"/>
          <w:szCs w:val="24"/>
        </w:rPr>
        <w:t xml:space="preserve">The recent study examined the relationship between openness to new experiences and creativity potential within Arab kindergarten children from the northern part of Israel, according to age, gender, parent's education and family income. 51 kindergarten children were chosen for this research and their teachers fulfilled for them a demographic questionnaire and an openness-to-new-experiences questionnaire, along with a restraint </w:t>
      </w:r>
      <w:proofErr w:type="spellStart"/>
      <w:r w:rsidRPr="003A3EEC">
        <w:rPr>
          <w:rFonts w:ascii="Times New Roman" w:eastAsia="Calibri" w:hAnsi="Times New Roman" w:cs="Times New Roman"/>
          <w:sz w:val="24"/>
          <w:szCs w:val="24"/>
        </w:rPr>
        <w:t>EPoC</w:t>
      </w:r>
      <w:proofErr w:type="spellEnd"/>
      <w:r w:rsidRPr="003A3EEC">
        <w:rPr>
          <w:rFonts w:ascii="Times New Roman" w:eastAsia="Calibri" w:hAnsi="Times New Roman" w:cs="Times New Roman"/>
          <w:sz w:val="24"/>
          <w:szCs w:val="24"/>
        </w:rPr>
        <w:t>- test.</w:t>
      </w:r>
    </w:p>
    <w:p w:rsidR="003A3EEC" w:rsidRPr="003A3EEC" w:rsidRDefault="003A3EEC" w:rsidP="003A3EEC">
      <w:pPr>
        <w:bidi w:val="0"/>
        <w:spacing w:line="360" w:lineRule="auto"/>
        <w:ind w:firstLine="720"/>
        <w:jc w:val="both"/>
        <w:rPr>
          <w:rFonts w:ascii="Times New Roman" w:eastAsia="Calibri" w:hAnsi="Times New Roman" w:cs="Times New Roman"/>
          <w:sz w:val="24"/>
          <w:szCs w:val="24"/>
        </w:rPr>
      </w:pPr>
      <w:r w:rsidRPr="003A3EEC">
        <w:rPr>
          <w:rFonts w:ascii="Times New Roman" w:eastAsia="Calibri" w:hAnsi="Times New Roman" w:cs="Times New Roman"/>
          <w:sz w:val="24"/>
          <w:szCs w:val="24"/>
        </w:rPr>
        <w:t>Findings show that there is a positive correlation between the level of openness to new experiences and the level of creativity potential among the children. This finding correlates with previous researches showing that a high level of openness leads to a high level of creativity. Secondly, no differences were found according to gender, except for the divergent thinking, which was in favor of boys. In addition, differences were found according to age, in favor of 6 years old children. These findings correlate with previous researches showing that there is an accumulation of experiences due to the "Cognitive maturity theory". Finally, no differences were found according to parent's education and family income, apparently because of the small, heterogenic research population.</w:t>
      </w:r>
    </w:p>
    <w:p w:rsidR="003A3EEC" w:rsidRPr="003A3EEC" w:rsidRDefault="003A3EEC" w:rsidP="003A3EEC">
      <w:pPr>
        <w:bidi w:val="0"/>
        <w:spacing w:line="360" w:lineRule="auto"/>
        <w:ind w:firstLine="720"/>
        <w:jc w:val="both"/>
        <w:rPr>
          <w:rFonts w:ascii="Times New Roman" w:eastAsia="Calibri" w:hAnsi="Times New Roman" w:cs="Times New Roman"/>
          <w:sz w:val="24"/>
          <w:szCs w:val="24"/>
        </w:rPr>
      </w:pPr>
      <w:r w:rsidRPr="003A3EEC">
        <w:rPr>
          <w:rFonts w:ascii="Times New Roman" w:eastAsia="Calibri" w:hAnsi="Times New Roman" w:cs="Times New Roman"/>
          <w:sz w:val="24"/>
          <w:szCs w:val="24"/>
        </w:rPr>
        <w:t xml:space="preserve">It is recommended that experts in the Israeli ministry of education will establish workshops focusing on the development of openness to new experiences and creativity potential skills among kindergarten teachers, so that they will be able to measure creativity potential according to the restraint test, and will better evaluate kindergarten children's creativity potential. </w:t>
      </w:r>
    </w:p>
    <w:p w:rsidR="00C57BFE" w:rsidRDefault="00C57BFE">
      <w:pPr>
        <w:rPr>
          <w:rFonts w:hint="cs"/>
          <w:rtl/>
        </w:rPr>
      </w:pPr>
    </w:p>
    <w:p w:rsidR="003A3EEC" w:rsidRDefault="003A3EEC">
      <w:pPr>
        <w:rPr>
          <w:rFonts w:hint="cs"/>
          <w:rtl/>
        </w:rPr>
      </w:pPr>
    </w:p>
    <w:p w:rsidR="003A3EEC" w:rsidRPr="003A3EEC" w:rsidRDefault="003A3EEC" w:rsidP="003A3EEC">
      <w:pPr>
        <w:spacing w:before="120" w:after="160" w:line="360" w:lineRule="auto"/>
        <w:jc w:val="center"/>
        <w:rPr>
          <w:rFonts w:ascii="Traditional Arabic" w:eastAsia="Calibri" w:hAnsi="Traditional Arabic" w:cs="Traditional Arabic"/>
          <w:b/>
          <w:bCs/>
          <w:color w:val="0070C0"/>
          <w:sz w:val="32"/>
          <w:szCs w:val="32"/>
          <w:rtl/>
          <w:lang w:bidi="ar-SA"/>
        </w:rPr>
      </w:pPr>
      <w:r w:rsidRPr="003A3EEC">
        <w:rPr>
          <w:rFonts w:ascii="Traditional Arabic" w:eastAsia="Calibri" w:hAnsi="Traditional Arabic" w:cs="Traditional Arabic"/>
          <w:b/>
          <w:bCs/>
          <w:sz w:val="32"/>
          <w:szCs w:val="32"/>
          <w:rtl/>
          <w:lang w:bidi="ar-SA"/>
        </w:rPr>
        <w:lastRenderedPageBreak/>
        <w:t xml:space="preserve">العلاقةُ بينَ الانفتاح </w:t>
      </w:r>
      <w:r w:rsidRPr="003A3EEC">
        <w:rPr>
          <w:rFonts w:ascii="Traditional Arabic" w:eastAsia="Calibri" w:hAnsi="Traditional Arabic" w:cs="Traditional Arabic" w:hint="cs"/>
          <w:b/>
          <w:bCs/>
          <w:sz w:val="32"/>
          <w:szCs w:val="32"/>
          <w:rtl/>
          <w:lang w:bidi="ar-SA"/>
        </w:rPr>
        <w:t>على الخبرة والإبداع الكامن</w:t>
      </w:r>
      <w:r w:rsidRPr="003A3EEC">
        <w:rPr>
          <w:rFonts w:ascii="Traditional Arabic" w:eastAsia="Calibri" w:hAnsi="Traditional Arabic" w:cs="Traditional Arabic"/>
          <w:b/>
          <w:bCs/>
          <w:sz w:val="32"/>
          <w:szCs w:val="32"/>
          <w:rtl/>
          <w:lang w:bidi="ar-SA"/>
        </w:rPr>
        <w:t xml:space="preserve"> لدى </w:t>
      </w:r>
      <w:r w:rsidRPr="003A3EEC">
        <w:rPr>
          <w:rFonts w:ascii="Traditional Arabic" w:eastAsia="Calibri" w:hAnsi="Traditional Arabic" w:cs="Traditional Arabic" w:hint="cs"/>
          <w:b/>
          <w:bCs/>
          <w:sz w:val="32"/>
          <w:szCs w:val="32"/>
          <w:rtl/>
          <w:lang w:bidi="ar-SA"/>
        </w:rPr>
        <w:t>الأطفال</w:t>
      </w:r>
      <w:r w:rsidRPr="003A3EEC">
        <w:rPr>
          <w:rFonts w:ascii="Traditional Arabic" w:eastAsia="Calibri" w:hAnsi="Traditional Arabic" w:cs="Traditional Arabic"/>
          <w:b/>
          <w:bCs/>
          <w:sz w:val="32"/>
          <w:szCs w:val="32"/>
          <w:rtl/>
          <w:lang w:bidi="ar-SA"/>
        </w:rPr>
        <w:t xml:space="preserve"> في المجتمع العربي</w:t>
      </w:r>
      <w:r w:rsidRPr="003A3EEC">
        <w:rPr>
          <w:rFonts w:ascii="Traditional Arabic" w:eastAsia="Calibri" w:hAnsi="Traditional Arabic" w:cs="Traditional Arabic" w:hint="cs"/>
          <w:b/>
          <w:bCs/>
          <w:sz w:val="32"/>
          <w:szCs w:val="32"/>
          <w:rtl/>
          <w:lang w:bidi="ar-SA"/>
        </w:rPr>
        <w:t xml:space="preserve"> </w:t>
      </w:r>
      <w:r w:rsidRPr="003A3EEC">
        <w:rPr>
          <w:rFonts w:ascii="Traditional Arabic" w:eastAsia="Calibri" w:hAnsi="Traditional Arabic" w:cs="Traditional Arabic"/>
          <w:b/>
          <w:bCs/>
          <w:sz w:val="32"/>
          <w:szCs w:val="32"/>
          <w:rtl/>
          <w:lang w:bidi="ar-SA"/>
        </w:rPr>
        <w:t>لواء الشمال</w:t>
      </w:r>
    </w:p>
    <w:p w:rsidR="003A3EEC" w:rsidRPr="003A3EEC" w:rsidRDefault="003A3EEC" w:rsidP="003A3EEC">
      <w:pPr>
        <w:tabs>
          <w:tab w:val="left" w:pos="2402"/>
        </w:tabs>
        <w:spacing w:line="360" w:lineRule="auto"/>
        <w:jc w:val="center"/>
        <w:rPr>
          <w:rFonts w:ascii="Traditional Arabic" w:eastAsia="Calibri" w:hAnsi="Traditional Arabic" w:cs="Traditional Arabic"/>
          <w:b/>
          <w:bCs/>
          <w:sz w:val="32"/>
          <w:szCs w:val="32"/>
          <w:rtl/>
          <w:lang w:bidi="ar-SA"/>
        </w:rPr>
      </w:pPr>
      <w:r w:rsidRPr="003A3EEC">
        <w:rPr>
          <w:rFonts w:ascii="Traditional Arabic" w:eastAsia="Calibri" w:hAnsi="Traditional Arabic" w:cs="Traditional Arabic" w:hint="cs"/>
          <w:b/>
          <w:bCs/>
          <w:sz w:val="32"/>
          <w:szCs w:val="32"/>
          <w:rtl/>
          <w:lang w:bidi="ar-SA"/>
        </w:rPr>
        <w:t>ملخص</w:t>
      </w:r>
    </w:p>
    <w:p w:rsidR="003A3EEC" w:rsidRPr="003A3EEC" w:rsidRDefault="003A3EEC" w:rsidP="003A3EEC">
      <w:pPr>
        <w:tabs>
          <w:tab w:val="left" w:pos="2402"/>
        </w:tabs>
        <w:spacing w:line="360" w:lineRule="auto"/>
        <w:jc w:val="center"/>
        <w:rPr>
          <w:rFonts w:ascii="Traditional Arabic" w:eastAsia="Calibri" w:hAnsi="Traditional Arabic" w:cs="Traditional Arabic"/>
          <w:b/>
          <w:bCs/>
          <w:sz w:val="36"/>
          <w:szCs w:val="36"/>
          <w:rtl/>
          <w:lang w:bidi="ar-SA"/>
        </w:rPr>
      </w:pPr>
      <w:proofErr w:type="gramStart"/>
      <w:r w:rsidRPr="003A3EEC">
        <w:rPr>
          <w:rFonts w:ascii="Traditional Arabic" w:eastAsia="Calibri" w:hAnsi="Traditional Arabic" w:cs="Traditional Arabic" w:hint="cs"/>
          <w:b/>
          <w:bCs/>
          <w:sz w:val="36"/>
          <w:szCs w:val="36"/>
          <w:rtl/>
          <w:lang w:bidi="ar-SA"/>
        </w:rPr>
        <w:t>أنوار</w:t>
      </w:r>
      <w:proofErr w:type="gramEnd"/>
      <w:r w:rsidRPr="003A3EEC">
        <w:rPr>
          <w:rFonts w:ascii="Traditional Arabic" w:eastAsia="Calibri" w:hAnsi="Traditional Arabic" w:cs="Traditional Arabic" w:hint="cs"/>
          <w:b/>
          <w:bCs/>
          <w:sz w:val="36"/>
          <w:szCs w:val="36"/>
          <w:rtl/>
          <w:lang w:bidi="ar-SA"/>
        </w:rPr>
        <w:t xml:space="preserve"> عمري</w:t>
      </w:r>
    </w:p>
    <w:p w:rsidR="003A3EEC" w:rsidRPr="003A3EEC" w:rsidRDefault="003A3EEC" w:rsidP="003A3EEC">
      <w:pPr>
        <w:spacing w:line="360" w:lineRule="auto"/>
        <w:jc w:val="both"/>
        <w:rPr>
          <w:rFonts w:ascii="Traditional Arabic" w:eastAsia="Calibri" w:hAnsi="Traditional Arabic" w:cs="Traditional Arabic"/>
          <w:sz w:val="28"/>
          <w:szCs w:val="28"/>
          <w:rtl/>
          <w:lang w:bidi="ar-SA"/>
        </w:rPr>
      </w:pPr>
      <w:r w:rsidRPr="003A3EEC">
        <w:rPr>
          <w:rFonts w:ascii="Traditional Arabic" w:eastAsia="Calibri" w:hAnsi="Traditional Arabic" w:cs="Traditional Arabic" w:hint="cs"/>
          <w:sz w:val="28"/>
          <w:szCs w:val="28"/>
          <w:rtl/>
          <w:lang w:bidi="ar-SA"/>
        </w:rPr>
        <w:t>هدف البحث الحالي إلى الكشف عن</w:t>
      </w:r>
      <w:r w:rsidRPr="003A3EEC">
        <w:rPr>
          <w:rFonts w:ascii="Traditional Arabic" w:eastAsia="Calibri" w:hAnsi="Traditional Arabic" w:cs="Traditional Arabic"/>
          <w:b/>
          <w:bCs/>
          <w:sz w:val="28"/>
          <w:szCs w:val="28"/>
          <w:rtl/>
          <w:lang w:bidi="ar-SA"/>
        </w:rPr>
        <w:t xml:space="preserve"> </w:t>
      </w:r>
      <w:r w:rsidRPr="003A3EEC">
        <w:rPr>
          <w:rFonts w:ascii="Traditional Arabic" w:eastAsia="Calibri" w:hAnsi="Traditional Arabic" w:cs="Traditional Arabic"/>
          <w:sz w:val="28"/>
          <w:szCs w:val="28"/>
          <w:rtl/>
          <w:lang w:bidi="ar-SA"/>
        </w:rPr>
        <w:t xml:space="preserve">العلاقةُ بينَ الانفتاح </w:t>
      </w:r>
      <w:r w:rsidRPr="003A3EEC">
        <w:rPr>
          <w:rFonts w:ascii="Traditional Arabic" w:eastAsia="Calibri" w:hAnsi="Traditional Arabic" w:cs="Traditional Arabic" w:hint="cs"/>
          <w:sz w:val="28"/>
          <w:szCs w:val="28"/>
          <w:rtl/>
          <w:lang w:bidi="ar-SA"/>
        </w:rPr>
        <w:t>على الخبرة والإبداع الكامن</w:t>
      </w:r>
      <w:r w:rsidRPr="003A3EEC">
        <w:rPr>
          <w:rFonts w:ascii="Traditional Arabic" w:eastAsia="Calibri" w:hAnsi="Traditional Arabic" w:cs="Traditional Arabic"/>
          <w:sz w:val="28"/>
          <w:szCs w:val="28"/>
          <w:rtl/>
          <w:lang w:bidi="ar-SA"/>
        </w:rPr>
        <w:t xml:space="preserve"> لدى </w:t>
      </w:r>
      <w:r w:rsidRPr="003A3EEC">
        <w:rPr>
          <w:rFonts w:ascii="Traditional Arabic" w:eastAsia="Calibri" w:hAnsi="Traditional Arabic" w:cs="Traditional Arabic" w:hint="cs"/>
          <w:sz w:val="28"/>
          <w:szCs w:val="28"/>
          <w:rtl/>
          <w:lang w:bidi="ar-SA"/>
        </w:rPr>
        <w:t>الأطفال</w:t>
      </w:r>
      <w:r w:rsidRPr="003A3EEC">
        <w:rPr>
          <w:rFonts w:ascii="Traditional Arabic" w:eastAsia="Calibri" w:hAnsi="Traditional Arabic" w:cs="Traditional Arabic"/>
          <w:sz w:val="28"/>
          <w:szCs w:val="28"/>
          <w:rtl/>
          <w:lang w:bidi="ar-SA"/>
        </w:rPr>
        <w:t xml:space="preserve"> في المجتمع العربي</w:t>
      </w:r>
      <w:r w:rsidRPr="003A3EEC">
        <w:rPr>
          <w:rFonts w:ascii="Traditional Arabic" w:eastAsia="Calibri" w:hAnsi="Traditional Arabic" w:cs="Traditional Arabic" w:hint="cs"/>
          <w:sz w:val="28"/>
          <w:szCs w:val="28"/>
          <w:rtl/>
          <w:lang w:bidi="ar-SA"/>
        </w:rPr>
        <w:t xml:space="preserve"> </w:t>
      </w:r>
      <w:r w:rsidRPr="003A3EEC">
        <w:rPr>
          <w:rFonts w:ascii="Traditional Arabic" w:eastAsia="Calibri" w:hAnsi="Traditional Arabic" w:cs="Traditional Arabic"/>
          <w:sz w:val="28"/>
          <w:szCs w:val="28"/>
          <w:rtl/>
          <w:lang w:bidi="ar-SA"/>
        </w:rPr>
        <w:t>لواء الشمال</w:t>
      </w:r>
      <w:r w:rsidRPr="003A3EEC">
        <w:rPr>
          <w:rFonts w:ascii="Traditional Arabic" w:eastAsia="Calibri" w:hAnsi="Traditional Arabic" w:cs="Traditional Arabic" w:hint="cs"/>
          <w:sz w:val="28"/>
          <w:szCs w:val="28"/>
          <w:rtl/>
          <w:lang w:bidi="ar-SA"/>
        </w:rPr>
        <w:t xml:space="preserve"> وفق المتغيرات الديموغرافية: الجيل، </w:t>
      </w:r>
      <w:proofErr w:type="spellStart"/>
      <w:r w:rsidRPr="003A3EEC">
        <w:rPr>
          <w:rFonts w:ascii="Traditional Arabic" w:eastAsia="Calibri" w:hAnsi="Traditional Arabic" w:cs="Traditional Arabic" w:hint="cs"/>
          <w:sz w:val="28"/>
          <w:szCs w:val="28"/>
          <w:rtl/>
          <w:lang w:bidi="ar-SA"/>
        </w:rPr>
        <w:t>الجندر</w:t>
      </w:r>
      <w:proofErr w:type="spellEnd"/>
      <w:r w:rsidRPr="003A3EEC">
        <w:rPr>
          <w:rFonts w:ascii="Traditional Arabic" w:eastAsia="Calibri" w:hAnsi="Traditional Arabic" w:cs="Traditional Arabic" w:hint="cs"/>
          <w:sz w:val="28"/>
          <w:szCs w:val="28"/>
          <w:rtl/>
          <w:lang w:bidi="ar-SA"/>
        </w:rPr>
        <w:t>، ثقافة الأهل ودخل الأسرة</w:t>
      </w:r>
      <w:r w:rsidRPr="003A3EEC">
        <w:rPr>
          <w:rFonts w:ascii="Traditional Arabic" w:eastAsia="Calibri" w:hAnsi="Traditional Arabic" w:cs="Traditional Arabic"/>
          <w:sz w:val="28"/>
          <w:szCs w:val="28"/>
          <w:rtl/>
          <w:lang w:bidi="ar-SA"/>
        </w:rPr>
        <w:t xml:space="preserve">. </w:t>
      </w:r>
      <w:r w:rsidRPr="003A3EEC">
        <w:rPr>
          <w:rFonts w:ascii="Traditional Arabic" w:eastAsia="Calibri" w:hAnsi="Traditional Arabic" w:cs="Traditional Arabic" w:hint="cs"/>
          <w:sz w:val="28"/>
          <w:szCs w:val="28"/>
          <w:rtl/>
          <w:lang w:bidi="ar-SA"/>
        </w:rPr>
        <w:t>و</w:t>
      </w:r>
      <w:r w:rsidRPr="003A3EEC">
        <w:rPr>
          <w:rFonts w:ascii="Traditional Arabic" w:eastAsia="Calibri" w:hAnsi="Traditional Arabic" w:cs="Traditional Arabic"/>
          <w:sz w:val="28"/>
          <w:szCs w:val="28"/>
          <w:rtl/>
          <w:lang w:bidi="ar-SA"/>
        </w:rPr>
        <w:t>لتحقيق أهداف البحث و</w:t>
      </w:r>
      <w:r w:rsidRPr="003A3EEC">
        <w:rPr>
          <w:rFonts w:ascii="Traditional Arabic" w:eastAsia="Calibri" w:hAnsi="Traditional Arabic" w:cs="Traditional Arabic" w:hint="cs"/>
          <w:sz w:val="28"/>
          <w:szCs w:val="28"/>
          <w:rtl/>
          <w:lang w:bidi="ar-SA"/>
        </w:rPr>
        <w:t xml:space="preserve">التوصل إلى النتائج تم اختيار العينة بالطريقة المتيسرة واشتملت على 51 طفل وطفلة من رياض الأطفال العربية، حيث قامت مربيات الاطفال المشتركين في البحث بتعبئة استبانتين؛ استبانة المعلومات الديموغرافية، واستبانة الانفتاح على الخبرة، بالإضافة إلى اختبار </w:t>
      </w:r>
      <w:proofErr w:type="spellStart"/>
      <w:r w:rsidRPr="003A3EEC">
        <w:rPr>
          <w:rFonts w:ascii="Traditional Arabic" w:eastAsia="Calibri" w:hAnsi="Traditional Arabic" w:cs="Traditional Arabic" w:hint="cs"/>
          <w:sz w:val="28"/>
          <w:szCs w:val="28"/>
          <w:rtl/>
          <w:lang w:bidi="ar-SA"/>
        </w:rPr>
        <w:t>الايبوك</w:t>
      </w:r>
      <w:proofErr w:type="spellEnd"/>
      <w:r w:rsidRPr="003A3EEC">
        <w:rPr>
          <w:rFonts w:ascii="Traditional Arabic" w:eastAsia="Calibri" w:hAnsi="Traditional Arabic" w:cs="Traditional Arabic" w:hint="cs"/>
          <w:sz w:val="28"/>
          <w:szCs w:val="28"/>
          <w:rtl/>
          <w:lang w:bidi="ar-SA"/>
        </w:rPr>
        <w:t>-</w:t>
      </w:r>
      <w:proofErr w:type="spellStart"/>
      <w:r w:rsidRPr="003A3EEC">
        <w:rPr>
          <w:rFonts w:ascii="Times New Roman" w:eastAsia="Calibri" w:hAnsi="Times New Roman" w:cs="Times New Roman"/>
          <w:sz w:val="24"/>
          <w:szCs w:val="24"/>
          <w:lang w:bidi="ar-SA"/>
        </w:rPr>
        <w:t>EPoC</w:t>
      </w:r>
      <w:proofErr w:type="spellEnd"/>
      <w:r w:rsidRPr="003A3EEC">
        <w:rPr>
          <w:rFonts w:ascii="Traditional Arabic" w:eastAsia="Calibri" w:hAnsi="Traditional Arabic" w:cs="Traditional Arabic"/>
          <w:sz w:val="28"/>
          <w:szCs w:val="28"/>
          <w:lang w:bidi="ar-SA"/>
        </w:rPr>
        <w:t>)</w:t>
      </w:r>
      <w:r w:rsidRPr="003A3EEC">
        <w:rPr>
          <w:rFonts w:ascii="Traditional Arabic" w:eastAsia="Calibri" w:hAnsi="Traditional Arabic" w:cs="Traditional Arabic" w:hint="cs"/>
          <w:sz w:val="28"/>
          <w:szCs w:val="28"/>
          <w:rtl/>
          <w:lang w:bidi="ar-SA"/>
        </w:rPr>
        <w:t xml:space="preserve">)  </w:t>
      </w:r>
      <w:r w:rsidRPr="003A3EEC">
        <w:rPr>
          <w:rFonts w:ascii="Traditional Arabic" w:eastAsia="Calibri" w:hAnsi="Traditional Arabic" w:cs="Traditional Arabic"/>
          <w:sz w:val="28"/>
          <w:szCs w:val="28"/>
          <w:rtl/>
          <w:lang w:bidi="ar-SA"/>
        </w:rPr>
        <w:t xml:space="preserve">الذي </w:t>
      </w:r>
      <w:r w:rsidRPr="003A3EEC">
        <w:rPr>
          <w:rFonts w:ascii="Traditional Arabic" w:eastAsia="Calibri" w:hAnsi="Traditional Arabic" w:cs="Traditional Arabic" w:hint="cs"/>
          <w:sz w:val="28"/>
          <w:szCs w:val="28"/>
          <w:rtl/>
          <w:lang w:bidi="ar-SA"/>
        </w:rPr>
        <w:t>مرر على يد الباحثة.</w:t>
      </w:r>
    </w:p>
    <w:p w:rsidR="003A3EEC" w:rsidRPr="003A3EEC" w:rsidRDefault="003A3EEC" w:rsidP="003A3EEC">
      <w:pPr>
        <w:tabs>
          <w:tab w:val="left" w:pos="2402"/>
        </w:tabs>
        <w:spacing w:line="360" w:lineRule="auto"/>
        <w:ind w:firstLine="720"/>
        <w:jc w:val="both"/>
        <w:rPr>
          <w:rFonts w:ascii="Traditional Arabic" w:eastAsia="Calibri" w:hAnsi="Traditional Arabic" w:cs="Traditional Arabic"/>
          <w:sz w:val="28"/>
          <w:szCs w:val="28"/>
          <w:rtl/>
          <w:lang w:bidi="ar-SA"/>
        </w:rPr>
      </w:pPr>
      <w:r w:rsidRPr="003A3EEC">
        <w:rPr>
          <w:rFonts w:ascii="Traditional Arabic" w:eastAsia="Calibri" w:hAnsi="Traditional Arabic" w:cs="Traditional Arabic" w:hint="cs"/>
          <w:sz w:val="28"/>
          <w:szCs w:val="28"/>
          <w:rtl/>
          <w:lang w:bidi="ar-SA"/>
        </w:rPr>
        <w:t xml:space="preserve">أشارت نتائج البحث الحالي إلى </w:t>
      </w:r>
      <w:r w:rsidRPr="003A3EEC">
        <w:rPr>
          <w:rFonts w:ascii="Traditional Arabic" w:eastAsia="Calibri" w:hAnsi="Traditional Arabic" w:cs="Traditional Arabic"/>
          <w:sz w:val="28"/>
          <w:szCs w:val="28"/>
          <w:rtl/>
          <w:lang w:bidi="ar-SA"/>
        </w:rPr>
        <w:t xml:space="preserve">وجود علاقة ارتباط ايجابية بين مستوى الانفتاح </w:t>
      </w:r>
      <w:r w:rsidRPr="003A3EEC">
        <w:rPr>
          <w:rFonts w:ascii="Traditional Arabic" w:eastAsia="Calibri" w:hAnsi="Traditional Arabic" w:cs="Traditional Arabic" w:hint="cs"/>
          <w:sz w:val="28"/>
          <w:szCs w:val="28"/>
          <w:rtl/>
          <w:lang w:bidi="ar-SA"/>
        </w:rPr>
        <w:t xml:space="preserve">على الخبرة </w:t>
      </w:r>
      <w:r w:rsidRPr="003A3EEC">
        <w:rPr>
          <w:rFonts w:ascii="Traditional Arabic" w:eastAsia="Calibri" w:hAnsi="Traditional Arabic" w:cs="Traditional Arabic"/>
          <w:sz w:val="28"/>
          <w:szCs w:val="28"/>
          <w:rtl/>
          <w:lang w:bidi="ar-SA"/>
        </w:rPr>
        <w:t xml:space="preserve">ومستوى </w:t>
      </w:r>
      <w:r w:rsidRPr="003A3EEC">
        <w:rPr>
          <w:rFonts w:ascii="Traditional Arabic" w:eastAsia="Calibri" w:hAnsi="Traditional Arabic" w:cs="Traditional Arabic" w:hint="cs"/>
          <w:sz w:val="28"/>
          <w:szCs w:val="28"/>
          <w:rtl/>
          <w:lang w:bidi="ar-SA"/>
        </w:rPr>
        <w:t>الإبداع</w:t>
      </w:r>
      <w:r w:rsidRPr="003A3EEC">
        <w:rPr>
          <w:rFonts w:ascii="Traditional Arabic" w:eastAsia="Calibri" w:hAnsi="Traditional Arabic" w:cs="Traditional Arabic"/>
          <w:sz w:val="28"/>
          <w:szCs w:val="28"/>
          <w:rtl/>
          <w:lang w:bidi="ar-SA"/>
        </w:rPr>
        <w:t xml:space="preserve"> الكامن لدى </w:t>
      </w:r>
      <w:r w:rsidRPr="003A3EEC">
        <w:rPr>
          <w:rFonts w:ascii="Traditional Arabic" w:eastAsia="Calibri" w:hAnsi="Traditional Arabic" w:cs="Traditional Arabic" w:hint="cs"/>
          <w:sz w:val="28"/>
          <w:szCs w:val="28"/>
          <w:rtl/>
          <w:lang w:bidi="ar-SA"/>
        </w:rPr>
        <w:t xml:space="preserve">الأطفال، اذ توافقت هذه النتائج مع دراسات سابقة تدعي </w:t>
      </w:r>
      <w:r w:rsidRPr="003A3EEC">
        <w:rPr>
          <w:rFonts w:ascii="Traditional Arabic" w:eastAsia="Calibri" w:hAnsi="Traditional Arabic" w:cs="Traditional Arabic"/>
          <w:sz w:val="28"/>
          <w:szCs w:val="28"/>
          <w:rtl/>
          <w:lang w:bidi="ar-SA"/>
        </w:rPr>
        <w:t xml:space="preserve">أن الأشخاص الذين يكون لديهم ارتفاع بمستوى الانفتاح يكونون </w:t>
      </w:r>
      <w:r w:rsidRPr="003A3EEC">
        <w:rPr>
          <w:rFonts w:ascii="Traditional Arabic" w:eastAsia="Calibri" w:hAnsi="Traditional Arabic" w:cs="Traditional Arabic" w:hint="cs"/>
          <w:sz w:val="28"/>
          <w:szCs w:val="28"/>
          <w:rtl/>
          <w:lang w:bidi="ar-SA"/>
        </w:rPr>
        <w:t>أكثر</w:t>
      </w:r>
      <w:r w:rsidRPr="003A3EEC">
        <w:rPr>
          <w:rFonts w:ascii="Traditional Arabic" w:eastAsia="Calibri" w:hAnsi="Traditional Arabic" w:cs="Traditional Arabic"/>
          <w:sz w:val="28"/>
          <w:szCs w:val="28"/>
          <w:rtl/>
          <w:lang w:bidi="ar-SA"/>
        </w:rPr>
        <w:t xml:space="preserve"> </w:t>
      </w:r>
      <w:r w:rsidRPr="003A3EEC">
        <w:rPr>
          <w:rFonts w:ascii="Traditional Arabic" w:eastAsia="Calibri" w:hAnsi="Traditional Arabic" w:cs="Traditional Arabic" w:hint="cs"/>
          <w:sz w:val="28"/>
          <w:szCs w:val="28"/>
          <w:rtl/>
          <w:lang w:bidi="ar-SA"/>
        </w:rPr>
        <w:t xml:space="preserve">إبداعًا، وعدم وجود فروق  بالمستويات وفق متغير </w:t>
      </w:r>
      <w:proofErr w:type="spellStart"/>
      <w:r w:rsidRPr="003A3EEC">
        <w:rPr>
          <w:rFonts w:ascii="Traditional Arabic" w:eastAsia="Calibri" w:hAnsi="Traditional Arabic" w:cs="Traditional Arabic" w:hint="cs"/>
          <w:sz w:val="28"/>
          <w:szCs w:val="28"/>
          <w:rtl/>
          <w:lang w:bidi="ar-SA"/>
        </w:rPr>
        <w:t>الجندر</w:t>
      </w:r>
      <w:proofErr w:type="spellEnd"/>
      <w:r w:rsidRPr="003A3EEC">
        <w:rPr>
          <w:rFonts w:ascii="Traditional Arabic" w:eastAsia="Calibri" w:hAnsi="Traditional Arabic" w:cs="Traditional Arabic" w:hint="cs"/>
          <w:sz w:val="28"/>
          <w:szCs w:val="28"/>
          <w:rtl/>
          <w:lang w:bidi="ar-SA"/>
        </w:rPr>
        <w:t xml:space="preserve"> باستثناء التفكير الاستكشافي اللفظي لصالح الاطفال الذكور، بالإضافة لوجود فروقات بمستوى الابداع الكامن والانفتاح على الخبرة وفق متغير الجيل لصالح الاكبر سناً، وعدم وجود فروقات وفق المتغيرات التالية: ثقافة الأهل ودخل الأسرة.</w:t>
      </w:r>
    </w:p>
    <w:p w:rsidR="003A3EEC" w:rsidRPr="003A3EEC" w:rsidRDefault="003A3EEC" w:rsidP="003A3EEC">
      <w:pPr>
        <w:tabs>
          <w:tab w:val="left" w:pos="2402"/>
        </w:tabs>
        <w:spacing w:line="360" w:lineRule="auto"/>
        <w:ind w:firstLine="720"/>
        <w:jc w:val="both"/>
        <w:rPr>
          <w:rFonts w:ascii="Traditional Arabic" w:eastAsia="Calibri" w:hAnsi="Traditional Arabic" w:cs="Traditional Arabic"/>
          <w:sz w:val="28"/>
          <w:szCs w:val="28"/>
          <w:rtl/>
          <w:lang w:bidi="ar-SA"/>
        </w:rPr>
      </w:pPr>
      <w:r w:rsidRPr="003A3EEC">
        <w:rPr>
          <w:rFonts w:ascii="Traditional Arabic" w:eastAsia="Calibri" w:hAnsi="Traditional Arabic" w:cs="Traditional Arabic" w:hint="cs"/>
          <w:sz w:val="28"/>
          <w:szCs w:val="28"/>
          <w:rtl/>
          <w:lang w:bidi="ar-SA"/>
        </w:rPr>
        <w:t xml:space="preserve">توصل البحث إلى التوصيات التالية: تركيز </w:t>
      </w:r>
      <w:r w:rsidRPr="003A3EEC">
        <w:rPr>
          <w:rFonts w:ascii="Traditional Arabic" w:eastAsia="Calibri" w:hAnsi="Traditional Arabic" w:cs="Traditional Arabic"/>
          <w:sz w:val="28"/>
          <w:szCs w:val="28"/>
          <w:rtl/>
          <w:lang w:bidi="ar-SA"/>
        </w:rPr>
        <w:t xml:space="preserve">اهتمام المختصين في جهاز التربية والتعليم لإقامة ورشات عمل للمربيات ترتكز على </w:t>
      </w:r>
      <w:r w:rsidRPr="003A3EEC">
        <w:rPr>
          <w:rFonts w:ascii="Traditional Arabic" w:eastAsia="Calibri" w:hAnsi="Traditional Arabic" w:cs="Traditional Arabic" w:hint="cs"/>
          <w:sz w:val="28"/>
          <w:szCs w:val="28"/>
          <w:rtl/>
          <w:lang w:bidi="ar-SA"/>
        </w:rPr>
        <w:t xml:space="preserve">عامل </w:t>
      </w:r>
      <w:r w:rsidRPr="003A3EEC">
        <w:rPr>
          <w:rFonts w:ascii="Traditional Arabic" w:eastAsia="Calibri" w:hAnsi="Traditional Arabic" w:cs="Traditional Arabic"/>
          <w:sz w:val="28"/>
          <w:szCs w:val="28"/>
          <w:rtl/>
          <w:lang w:bidi="ar-SA"/>
        </w:rPr>
        <w:t>الانفتاح على الخبرة</w:t>
      </w:r>
      <w:r w:rsidRPr="003A3EEC">
        <w:rPr>
          <w:rFonts w:ascii="Traditional Arabic" w:eastAsia="Calibri" w:hAnsi="Traditional Arabic" w:cs="Traditional Arabic" w:hint="cs"/>
          <w:sz w:val="28"/>
          <w:szCs w:val="28"/>
          <w:rtl/>
          <w:lang w:bidi="ar-SA"/>
        </w:rPr>
        <w:t xml:space="preserve"> والابداع الكامن لإدراك اهميتهم، وكيفية قياس الإبداع الكامن</w:t>
      </w:r>
      <w:r w:rsidRPr="003A3EEC">
        <w:rPr>
          <w:rFonts w:ascii="Traditional Arabic" w:eastAsia="Calibri" w:hAnsi="Traditional Arabic" w:cs="Traditional Arabic"/>
          <w:sz w:val="28"/>
          <w:szCs w:val="28"/>
          <w:rtl/>
          <w:lang w:bidi="ar-SA"/>
        </w:rPr>
        <w:t xml:space="preserve"> لدى الأطفال</w:t>
      </w:r>
      <w:r w:rsidRPr="003A3EEC">
        <w:rPr>
          <w:rFonts w:ascii="Traditional Arabic" w:eastAsia="Calibri" w:hAnsi="Traditional Arabic" w:cs="Traditional Arabic" w:hint="cs"/>
          <w:sz w:val="28"/>
          <w:szCs w:val="28"/>
          <w:rtl/>
          <w:lang w:bidi="ar-SA"/>
        </w:rPr>
        <w:t xml:space="preserve"> باستخدام اداة </w:t>
      </w:r>
      <w:proofErr w:type="spellStart"/>
      <w:r w:rsidRPr="003A3EEC">
        <w:rPr>
          <w:rFonts w:ascii="Traditional Arabic" w:eastAsia="Calibri" w:hAnsi="Traditional Arabic" w:cs="Traditional Arabic" w:hint="cs"/>
          <w:sz w:val="28"/>
          <w:szCs w:val="28"/>
          <w:rtl/>
          <w:lang w:bidi="ar-SA"/>
        </w:rPr>
        <w:t>الايبوك</w:t>
      </w:r>
      <w:proofErr w:type="spellEnd"/>
      <w:r w:rsidRPr="003A3EEC">
        <w:rPr>
          <w:rFonts w:ascii="Times New Roman" w:eastAsia="Calibri" w:hAnsi="Times New Roman" w:cs="Times New Roman" w:hint="cs"/>
          <w:sz w:val="24"/>
          <w:szCs w:val="24"/>
          <w:rtl/>
          <w:lang w:bidi="ar-SA"/>
        </w:rPr>
        <w:t>-</w:t>
      </w:r>
      <w:proofErr w:type="spellStart"/>
      <w:r w:rsidRPr="003A3EEC">
        <w:rPr>
          <w:rFonts w:ascii="Times New Roman" w:eastAsia="Calibri" w:hAnsi="Times New Roman" w:cs="Times New Roman"/>
          <w:sz w:val="24"/>
          <w:szCs w:val="24"/>
          <w:lang w:bidi="ar-SA"/>
        </w:rPr>
        <w:t>EPoC</w:t>
      </w:r>
      <w:proofErr w:type="spellEnd"/>
      <w:r w:rsidRPr="003A3EEC">
        <w:rPr>
          <w:rFonts w:ascii="Traditional Arabic" w:eastAsia="Calibri" w:hAnsi="Traditional Arabic" w:cs="Traditional Arabic"/>
          <w:sz w:val="28"/>
          <w:szCs w:val="28"/>
          <w:lang w:bidi="ar-SA"/>
        </w:rPr>
        <w:t>)</w:t>
      </w:r>
      <w:r w:rsidRPr="003A3EEC">
        <w:rPr>
          <w:rFonts w:ascii="Traditional Arabic" w:eastAsia="Calibri" w:hAnsi="Traditional Arabic" w:cs="Traditional Arabic" w:hint="cs"/>
          <w:sz w:val="28"/>
          <w:szCs w:val="28"/>
          <w:rtl/>
          <w:lang w:bidi="ar-SA"/>
        </w:rPr>
        <w:t xml:space="preserve">) إذ </w:t>
      </w:r>
      <w:r w:rsidRPr="003A3EEC">
        <w:rPr>
          <w:rFonts w:ascii="Traditional Arabic" w:eastAsia="Calibri" w:hAnsi="Traditional Arabic" w:cs="Traditional Arabic"/>
          <w:sz w:val="28"/>
          <w:szCs w:val="28"/>
          <w:rtl/>
          <w:lang w:bidi="ar-SA"/>
        </w:rPr>
        <w:t>من شأنها أن تساعد في تشخيص شخصية الطفل</w:t>
      </w:r>
      <w:r w:rsidRPr="003A3EEC">
        <w:rPr>
          <w:rFonts w:ascii="Traditional Arabic" w:eastAsia="Calibri" w:hAnsi="Traditional Arabic" w:cs="Traditional Arabic" w:hint="cs"/>
          <w:sz w:val="28"/>
          <w:szCs w:val="28"/>
          <w:rtl/>
          <w:lang w:bidi="ar-SA"/>
        </w:rPr>
        <w:t xml:space="preserve"> المبدع و</w:t>
      </w:r>
      <w:r w:rsidRPr="003A3EEC">
        <w:rPr>
          <w:rFonts w:ascii="Traditional Arabic" w:eastAsia="Calibri" w:hAnsi="Traditional Arabic" w:cs="Traditional Arabic"/>
          <w:sz w:val="28"/>
          <w:szCs w:val="28"/>
          <w:rtl/>
          <w:lang w:bidi="ar-SA"/>
        </w:rPr>
        <w:t xml:space="preserve">المنفتح على </w:t>
      </w:r>
      <w:r w:rsidRPr="003A3EEC">
        <w:rPr>
          <w:rFonts w:ascii="Traditional Arabic" w:eastAsia="Calibri" w:hAnsi="Traditional Arabic" w:cs="Traditional Arabic" w:hint="cs"/>
          <w:sz w:val="28"/>
          <w:szCs w:val="28"/>
          <w:rtl/>
          <w:lang w:bidi="ar-SA"/>
        </w:rPr>
        <w:t xml:space="preserve"> الخبرة.</w:t>
      </w:r>
    </w:p>
    <w:p w:rsidR="003A3EEC" w:rsidRDefault="003A3EEC">
      <w:pPr>
        <w:rPr>
          <w:rFonts w:hint="cs"/>
          <w:rtl/>
        </w:rPr>
      </w:pPr>
      <w:bookmarkStart w:id="0" w:name="_GoBack"/>
      <w:bookmarkEnd w:id="0"/>
    </w:p>
    <w:p w:rsidR="003A3EEC" w:rsidRDefault="003A3EEC">
      <w:pPr>
        <w:rPr>
          <w:rFonts w:hint="cs"/>
          <w:rtl/>
        </w:rPr>
      </w:pPr>
    </w:p>
    <w:p w:rsidR="003A3EEC" w:rsidRPr="003A3EEC" w:rsidRDefault="003A3EEC">
      <w:pPr>
        <w:rPr>
          <w:rFonts w:hint="cs"/>
        </w:rPr>
      </w:pPr>
    </w:p>
    <w:sectPr w:rsidR="003A3EEC" w:rsidRPr="003A3EEC" w:rsidSect="0017416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EEC"/>
    <w:rsid w:val="00174161"/>
    <w:rsid w:val="003A3EEC"/>
    <w:rsid w:val="00C57BF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531</Words>
  <Characters>2660</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2017-12-16T20:41:00Z</dcterms:created>
  <dcterms:modified xsi:type="dcterms:W3CDTF">2017-12-16T20:45:00Z</dcterms:modified>
</cp:coreProperties>
</file>