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C592F" w14:textId="77777777" w:rsidR="00A10F85" w:rsidRPr="00986E40" w:rsidRDefault="00A10F85" w:rsidP="00124014">
      <w:pPr>
        <w:pStyle w:val="Title"/>
        <w:jc w:val="center"/>
        <w:rPr>
          <w:rFonts w:ascii="CG Times" w:eastAsia="Times New Roman" w:hAnsi="CG Times" w:cs="Times New Roman"/>
          <w:caps/>
          <w:color w:val="auto"/>
          <w:spacing w:val="0"/>
          <w:kern w:val="0"/>
          <w:sz w:val="26"/>
          <w:szCs w:val="24"/>
          <w:lang w:bidi="ar-SA"/>
        </w:rPr>
      </w:pPr>
      <w:r w:rsidRPr="00986E40">
        <w:rPr>
          <w:rFonts w:ascii="CG Times" w:eastAsia="Times New Roman" w:hAnsi="CG Times" w:cs="Times New Roman"/>
          <w:caps/>
          <w:color w:val="auto"/>
          <w:spacing w:val="0"/>
          <w:kern w:val="0"/>
          <w:sz w:val="26"/>
          <w:szCs w:val="24"/>
          <w:lang w:bidi="ar-SA"/>
        </w:rPr>
        <w:t>Behavioral Instruments in Consumer Contract Law</w:t>
      </w:r>
      <w:r w:rsidR="0067754B" w:rsidRPr="00986E40">
        <w:rPr>
          <w:rFonts w:ascii="CG Times" w:eastAsia="Times New Roman" w:hAnsi="CG Times" w:cs="Times New Roman"/>
          <w:caps/>
          <w:color w:val="auto"/>
          <w:spacing w:val="0"/>
          <w:kern w:val="0"/>
          <w:sz w:val="26"/>
          <w:szCs w:val="24"/>
          <w:lang w:bidi="ar-SA"/>
        </w:rPr>
        <w:t xml:space="preserve"> (A Lecture)</w:t>
      </w:r>
    </w:p>
    <w:p w14:paraId="6836362A" w14:textId="77777777" w:rsidR="0071397D" w:rsidRPr="00986E40" w:rsidRDefault="00986E40" w:rsidP="00986E40">
      <w:pPr>
        <w:jc w:val="center"/>
        <w:rPr>
          <w:rFonts w:ascii="CG Times" w:hAnsi="CG Times" w:cstheme="majorBidi"/>
        </w:rPr>
      </w:pPr>
      <w:r w:rsidRPr="00986E40">
        <w:rPr>
          <w:rFonts w:ascii="CG Times" w:hAnsi="CG Times" w:cstheme="majorBidi"/>
          <w:sz w:val="26"/>
          <w:szCs w:val="26"/>
        </w:rPr>
        <w:t>Meirav Furth-Matzkin</w:t>
      </w:r>
      <w:r w:rsidRPr="00986E40">
        <w:rPr>
          <w:rStyle w:val="FootnoteReference"/>
          <w:rFonts w:ascii="CG Times" w:hAnsi="CG Times" w:cstheme="majorBidi"/>
          <w:sz w:val="26"/>
          <w:szCs w:val="26"/>
        </w:rPr>
        <w:footnoteReference w:customMarkFollows="1" w:id="1"/>
        <w:t>*</w:t>
      </w:r>
    </w:p>
    <w:p w14:paraId="02C8DE26" w14:textId="72F0907F" w:rsidR="0067754B" w:rsidRPr="00986E40" w:rsidRDefault="0067754B" w:rsidP="007F2674">
      <w:pPr>
        <w:ind w:firstLine="720"/>
        <w:jc w:val="both"/>
        <w:rPr>
          <w:rFonts w:ascii="CG Times" w:hAnsi="CG Times" w:cstheme="majorBidi"/>
          <w:sz w:val="28"/>
          <w:szCs w:val="28"/>
        </w:rPr>
      </w:pPr>
      <w:r w:rsidRPr="00986E40">
        <w:rPr>
          <w:rFonts w:ascii="CG Times" w:hAnsi="CG Times" w:cstheme="majorBidi"/>
          <w:sz w:val="28"/>
          <w:szCs w:val="28"/>
        </w:rPr>
        <w:t xml:space="preserve">I would like to begin by thanking Professors Brigitta Lurger and Karl Stoeger for inviting me to give a lecture at the conference on Nudging and Information </w:t>
      </w:r>
      <w:r w:rsidR="004510B7">
        <w:rPr>
          <w:rFonts w:ascii="CG Times" w:hAnsi="CG Times" w:cstheme="majorBidi"/>
          <w:sz w:val="28"/>
          <w:szCs w:val="28"/>
        </w:rPr>
        <w:t>at</w:t>
      </w:r>
      <w:r w:rsidR="004510B7" w:rsidRPr="00986E40">
        <w:rPr>
          <w:rFonts w:ascii="CG Times" w:hAnsi="CG Times" w:cstheme="majorBidi"/>
          <w:sz w:val="28"/>
          <w:szCs w:val="28"/>
        </w:rPr>
        <w:t xml:space="preserve"> </w:t>
      </w:r>
      <w:r w:rsidRPr="00986E40">
        <w:rPr>
          <w:rFonts w:ascii="CG Times" w:hAnsi="CG Times" w:cstheme="majorBidi"/>
          <w:sz w:val="28"/>
          <w:szCs w:val="28"/>
        </w:rPr>
        <w:t xml:space="preserve">the University of </w:t>
      </w:r>
      <w:r w:rsidRPr="00986E40">
        <w:rPr>
          <w:rFonts w:asciiTheme="majorBidi" w:hAnsiTheme="majorBidi" w:cstheme="majorBidi"/>
          <w:sz w:val="28"/>
          <w:szCs w:val="28"/>
        </w:rPr>
        <w:t>Graz</w:t>
      </w:r>
      <w:r w:rsidRPr="00986E40">
        <w:rPr>
          <w:rFonts w:ascii="CG Times" w:hAnsi="CG Times" w:cstheme="majorBidi"/>
          <w:sz w:val="28"/>
          <w:szCs w:val="28"/>
        </w:rPr>
        <w:t xml:space="preserve">. </w:t>
      </w:r>
      <w:r w:rsidR="007F2674">
        <w:rPr>
          <w:rFonts w:ascii="CG Times" w:hAnsi="CG Times" w:cstheme="majorBidi"/>
          <w:sz w:val="28"/>
          <w:szCs w:val="28"/>
        </w:rPr>
        <w:t>The topic of this talk is:</w:t>
      </w:r>
      <w:r w:rsidR="00FB7B33" w:rsidRPr="00986E40">
        <w:rPr>
          <w:rFonts w:ascii="CG Times" w:hAnsi="CG Times" w:cstheme="majorBidi"/>
          <w:sz w:val="28"/>
          <w:szCs w:val="28"/>
        </w:rPr>
        <w:t xml:space="preserve"> </w:t>
      </w:r>
      <w:r w:rsidR="007F2674">
        <w:rPr>
          <w:rFonts w:ascii="CG Times" w:hAnsi="CG Times" w:cstheme="majorBidi"/>
          <w:sz w:val="28"/>
          <w:szCs w:val="28"/>
        </w:rPr>
        <w:t>“</w:t>
      </w:r>
      <w:r w:rsidR="00FB7B33" w:rsidRPr="00986E40">
        <w:rPr>
          <w:rFonts w:ascii="CG Times" w:hAnsi="CG Times" w:cstheme="majorBidi"/>
          <w:sz w:val="28"/>
          <w:szCs w:val="28"/>
        </w:rPr>
        <w:t>behavioral instr</w:t>
      </w:r>
      <w:r w:rsidR="007F2674">
        <w:rPr>
          <w:rFonts w:ascii="CG Times" w:hAnsi="CG Times" w:cstheme="majorBidi"/>
          <w:sz w:val="28"/>
          <w:szCs w:val="28"/>
        </w:rPr>
        <w:t>uments in consumer contract law</w:t>
      </w:r>
      <w:bookmarkStart w:id="0" w:name="_GoBack"/>
      <w:bookmarkEnd w:id="0"/>
      <w:r w:rsidR="007F2674">
        <w:rPr>
          <w:rFonts w:ascii="CG Times" w:hAnsi="CG Times" w:cstheme="majorBidi"/>
          <w:sz w:val="28"/>
          <w:szCs w:val="28"/>
        </w:rPr>
        <w:t>,” and</w:t>
      </w:r>
      <w:r w:rsidR="00FB7B33" w:rsidRPr="00986E40">
        <w:rPr>
          <w:rFonts w:ascii="CG Times" w:hAnsi="CG Times" w:cstheme="majorBidi"/>
          <w:sz w:val="28"/>
          <w:szCs w:val="28"/>
        </w:rPr>
        <w:t xml:space="preserve"> I was specifically asked to </w:t>
      </w:r>
      <w:r w:rsidR="007F2674">
        <w:rPr>
          <w:rFonts w:ascii="CG Times" w:hAnsi="CG Times" w:cstheme="majorBidi"/>
          <w:sz w:val="28"/>
          <w:szCs w:val="28"/>
        </w:rPr>
        <w:t>focus on</w:t>
      </w:r>
      <w:r w:rsidR="00FB7B33" w:rsidRPr="00986E40">
        <w:rPr>
          <w:rFonts w:ascii="CG Times" w:hAnsi="CG Times" w:cstheme="majorBidi"/>
          <w:sz w:val="28"/>
          <w:szCs w:val="28"/>
        </w:rPr>
        <w:t xml:space="preserve"> the U.S. approach.</w:t>
      </w:r>
    </w:p>
    <w:p w14:paraId="6EFF1911" w14:textId="1AD0510E" w:rsidR="00124014" w:rsidRPr="00986E40" w:rsidRDefault="00FB7B33" w:rsidP="004C7B93">
      <w:pPr>
        <w:ind w:firstLine="720"/>
        <w:jc w:val="both"/>
        <w:rPr>
          <w:rFonts w:ascii="CG Times" w:hAnsi="CG Times" w:cstheme="majorBidi"/>
          <w:sz w:val="28"/>
          <w:szCs w:val="28"/>
        </w:rPr>
      </w:pPr>
      <w:r w:rsidRPr="00986E40">
        <w:rPr>
          <w:rFonts w:ascii="CG Times" w:hAnsi="CG Times" w:cstheme="majorBidi"/>
          <w:sz w:val="28"/>
          <w:szCs w:val="28"/>
        </w:rPr>
        <w:t xml:space="preserve">But first, let me give you </w:t>
      </w:r>
      <w:r w:rsidR="004C7B93">
        <w:rPr>
          <w:rFonts w:ascii="CG Times" w:hAnsi="CG Times" w:cstheme="majorBidi"/>
          <w:sz w:val="28"/>
          <w:szCs w:val="28"/>
        </w:rPr>
        <w:t>a little background</w:t>
      </w:r>
      <w:r w:rsidRPr="00986E40">
        <w:rPr>
          <w:rFonts w:ascii="CG Times" w:hAnsi="CG Times" w:cstheme="majorBidi"/>
          <w:sz w:val="28"/>
          <w:szCs w:val="28"/>
        </w:rPr>
        <w:t xml:space="preserve">. </w:t>
      </w:r>
    </w:p>
    <w:p w14:paraId="4B718309" w14:textId="77777777" w:rsidR="00400174" w:rsidRPr="00986E40" w:rsidRDefault="00400174" w:rsidP="00400174">
      <w:pPr>
        <w:jc w:val="both"/>
        <w:rPr>
          <w:rFonts w:ascii="CG Times" w:hAnsi="CG Times" w:cstheme="majorBidi"/>
          <w:sz w:val="28"/>
          <w:szCs w:val="28"/>
        </w:rPr>
      </w:pPr>
    </w:p>
    <w:p w14:paraId="5CBCC35D" w14:textId="77777777" w:rsidR="00124014" w:rsidRPr="00986E40" w:rsidRDefault="00124014" w:rsidP="00124014">
      <w:pPr>
        <w:pStyle w:val="ListParagraph"/>
        <w:numPr>
          <w:ilvl w:val="0"/>
          <w:numId w:val="2"/>
        </w:numPr>
        <w:jc w:val="both"/>
        <w:rPr>
          <w:rFonts w:ascii="CG Times" w:hAnsi="CG Times" w:cstheme="majorBidi"/>
          <w:i/>
          <w:iCs/>
          <w:sz w:val="28"/>
          <w:szCs w:val="28"/>
        </w:rPr>
      </w:pPr>
      <w:r w:rsidRPr="00986E40">
        <w:rPr>
          <w:rFonts w:ascii="CG Times" w:hAnsi="CG Times" w:cstheme="majorBidi"/>
          <w:i/>
          <w:iCs/>
          <w:sz w:val="28"/>
          <w:szCs w:val="28"/>
        </w:rPr>
        <w:t xml:space="preserve">Behavioral Market Failures in Consumer Markets </w:t>
      </w:r>
    </w:p>
    <w:p w14:paraId="509FB17B" w14:textId="6B257A65" w:rsidR="00366471" w:rsidRPr="00986E40" w:rsidRDefault="00FB7B33" w:rsidP="001757DB">
      <w:pPr>
        <w:ind w:firstLine="720"/>
        <w:jc w:val="both"/>
        <w:rPr>
          <w:rFonts w:ascii="CG Times" w:hAnsi="CG Times" w:cstheme="majorBidi"/>
          <w:sz w:val="28"/>
          <w:szCs w:val="28"/>
        </w:rPr>
      </w:pPr>
      <w:r w:rsidRPr="00986E40">
        <w:rPr>
          <w:rFonts w:ascii="CG Times" w:hAnsi="CG Times" w:cstheme="majorBidi"/>
          <w:sz w:val="28"/>
          <w:szCs w:val="28"/>
        </w:rPr>
        <w:t>By now, i</w:t>
      </w:r>
      <w:r w:rsidR="00366471" w:rsidRPr="00986E40">
        <w:rPr>
          <w:rFonts w:ascii="CG Times" w:hAnsi="CG Times" w:cstheme="majorBidi"/>
          <w:sz w:val="28"/>
          <w:szCs w:val="28"/>
        </w:rPr>
        <w:t>t is an undisputable and universally acknowledged truth that consumers almost never read the fine print before signing or clicking “I agree</w:t>
      </w:r>
      <w:r w:rsidR="002C01D8" w:rsidRPr="00986E40">
        <w:rPr>
          <w:rFonts w:ascii="CG Times" w:hAnsi="CG Times" w:cstheme="majorBidi"/>
          <w:sz w:val="28"/>
          <w:szCs w:val="28"/>
        </w:rPr>
        <w:t>.</w:t>
      </w:r>
      <w:r w:rsidR="00366471" w:rsidRPr="00986E40">
        <w:rPr>
          <w:rFonts w:ascii="CG Times" w:hAnsi="CG Times" w:cstheme="majorBidi"/>
          <w:sz w:val="28"/>
          <w:szCs w:val="28"/>
        </w:rPr>
        <w:t>”</w:t>
      </w:r>
      <w:r w:rsidR="002C01D8" w:rsidRPr="00986E40">
        <w:rPr>
          <w:rStyle w:val="FootnoteReference"/>
          <w:rFonts w:ascii="CG Times" w:hAnsi="CG Times" w:cstheme="majorBidi"/>
          <w:sz w:val="28"/>
          <w:szCs w:val="28"/>
        </w:rPr>
        <w:footnoteReference w:id="2"/>
      </w:r>
      <w:r w:rsidR="002C01D8" w:rsidRPr="00986E40">
        <w:rPr>
          <w:rFonts w:ascii="CG Times" w:hAnsi="CG Times" w:cstheme="majorBidi"/>
          <w:sz w:val="28"/>
          <w:szCs w:val="28"/>
        </w:rPr>
        <w:t xml:space="preserve"> </w:t>
      </w:r>
      <w:r w:rsidR="00366471" w:rsidRPr="00986E40">
        <w:rPr>
          <w:rFonts w:ascii="CG Times" w:hAnsi="CG Times" w:cstheme="majorBidi"/>
          <w:sz w:val="28"/>
          <w:szCs w:val="28"/>
        </w:rPr>
        <w:t xml:space="preserve">In fact, researchers have already found that non-reading consumers may even agree to sell their first-born child in order to </w:t>
      </w:r>
      <w:r w:rsidR="001757DB">
        <w:rPr>
          <w:rFonts w:ascii="CG Times" w:hAnsi="CG Times" w:cstheme="majorBidi"/>
          <w:sz w:val="28"/>
          <w:szCs w:val="28"/>
        </w:rPr>
        <w:t>obtain</w:t>
      </w:r>
      <w:r w:rsidR="00366471" w:rsidRPr="00986E40">
        <w:rPr>
          <w:rFonts w:ascii="CG Times" w:hAnsi="CG Times" w:cstheme="majorBidi"/>
          <w:sz w:val="28"/>
          <w:szCs w:val="28"/>
        </w:rPr>
        <w:t xml:space="preserve"> </w:t>
      </w:r>
      <w:r w:rsidR="0067515F" w:rsidRPr="00986E40">
        <w:rPr>
          <w:rFonts w:ascii="CG Times" w:hAnsi="CG Times" w:cstheme="majorBidi"/>
          <w:sz w:val="28"/>
          <w:szCs w:val="28"/>
        </w:rPr>
        <w:t>W</w:t>
      </w:r>
      <w:r w:rsidR="007416D7">
        <w:rPr>
          <w:rFonts w:ascii="CG Times" w:hAnsi="CG Times" w:cstheme="majorBidi"/>
          <w:sz w:val="28"/>
          <w:szCs w:val="28"/>
        </w:rPr>
        <w:t>i-</w:t>
      </w:r>
      <w:r w:rsidR="0067515F" w:rsidRPr="00986E40">
        <w:rPr>
          <w:rFonts w:ascii="CG Times" w:hAnsi="CG Times" w:cstheme="majorBidi"/>
          <w:sz w:val="28"/>
          <w:szCs w:val="28"/>
        </w:rPr>
        <w:t>F</w:t>
      </w:r>
      <w:r w:rsidR="007416D7">
        <w:rPr>
          <w:rFonts w:ascii="CG Times" w:hAnsi="CG Times" w:cstheme="majorBidi"/>
          <w:sz w:val="28"/>
          <w:szCs w:val="28"/>
        </w:rPr>
        <w:t>i</w:t>
      </w:r>
      <w:r w:rsidR="00366471" w:rsidRPr="00986E40">
        <w:rPr>
          <w:rFonts w:ascii="CG Times" w:hAnsi="CG Times" w:cstheme="majorBidi"/>
          <w:sz w:val="28"/>
          <w:szCs w:val="28"/>
        </w:rPr>
        <w:t xml:space="preserve"> access, or </w:t>
      </w:r>
      <w:r w:rsidRPr="00986E40">
        <w:rPr>
          <w:rFonts w:ascii="CG Times" w:hAnsi="CG Times" w:cstheme="majorBidi"/>
          <w:sz w:val="28"/>
          <w:szCs w:val="28"/>
        </w:rPr>
        <w:t xml:space="preserve">to give </w:t>
      </w:r>
      <w:r w:rsidR="00366471" w:rsidRPr="00986E40">
        <w:rPr>
          <w:rFonts w:ascii="CG Times" w:hAnsi="CG Times" w:cstheme="majorBidi"/>
          <w:sz w:val="28"/>
          <w:szCs w:val="28"/>
        </w:rPr>
        <w:t>their soul to the devil for a videogame.</w:t>
      </w:r>
      <w:r w:rsidR="0067515F" w:rsidRPr="00986E40">
        <w:rPr>
          <w:rStyle w:val="FootnoteReference"/>
          <w:rFonts w:ascii="CG Times" w:hAnsi="CG Times" w:cstheme="majorBidi"/>
          <w:sz w:val="28"/>
          <w:szCs w:val="28"/>
        </w:rPr>
        <w:footnoteReference w:id="3"/>
      </w:r>
      <w:r w:rsidR="0067515F" w:rsidRPr="00986E40">
        <w:rPr>
          <w:rFonts w:ascii="CG Times" w:hAnsi="CG Times" w:cstheme="majorBidi"/>
          <w:sz w:val="28"/>
          <w:szCs w:val="28"/>
        </w:rPr>
        <w:t xml:space="preserve"> </w:t>
      </w:r>
      <w:r w:rsidR="00366471" w:rsidRPr="00986E40">
        <w:rPr>
          <w:rFonts w:ascii="CG Times" w:hAnsi="CG Times" w:cstheme="majorBidi"/>
          <w:sz w:val="28"/>
          <w:szCs w:val="28"/>
        </w:rPr>
        <w:t xml:space="preserve">Consumers face an incredible amount of fine print in their </w:t>
      </w:r>
      <w:r w:rsidR="00366471" w:rsidRPr="00986E40">
        <w:rPr>
          <w:rFonts w:ascii="CG Times" w:hAnsi="CG Times" w:cstheme="majorBidi"/>
          <w:sz w:val="28"/>
          <w:szCs w:val="28"/>
        </w:rPr>
        <w:lastRenderedPageBreak/>
        <w:t>daily lives, and it’s practically impossible</w:t>
      </w:r>
      <w:r w:rsidRPr="00986E40">
        <w:rPr>
          <w:rFonts w:ascii="CG Times" w:hAnsi="CG Times" w:cstheme="majorBidi"/>
          <w:sz w:val="28"/>
          <w:szCs w:val="28"/>
        </w:rPr>
        <w:t xml:space="preserve"> for them</w:t>
      </w:r>
      <w:r w:rsidR="00366471" w:rsidRPr="00986E40">
        <w:rPr>
          <w:rFonts w:ascii="CG Times" w:hAnsi="CG Times" w:cstheme="majorBidi"/>
          <w:sz w:val="28"/>
          <w:szCs w:val="28"/>
        </w:rPr>
        <w:t xml:space="preserve"> to read every contract they sign or click through.</w:t>
      </w:r>
      <w:r w:rsidR="0067515F" w:rsidRPr="00986E40">
        <w:rPr>
          <w:rStyle w:val="FootnoteReference"/>
          <w:rFonts w:ascii="CG Times" w:hAnsi="CG Times" w:cstheme="majorBidi"/>
          <w:sz w:val="28"/>
          <w:szCs w:val="28"/>
        </w:rPr>
        <w:footnoteReference w:id="4"/>
      </w:r>
      <w:r w:rsidR="00366471" w:rsidRPr="00986E40">
        <w:rPr>
          <w:rFonts w:ascii="CG Times" w:hAnsi="CG Times" w:cstheme="majorBidi"/>
          <w:sz w:val="28"/>
          <w:szCs w:val="28"/>
        </w:rPr>
        <w:t xml:space="preserve"> </w:t>
      </w:r>
    </w:p>
    <w:p w14:paraId="1968AEB4" w14:textId="77777777" w:rsidR="0067515F" w:rsidRPr="00986E40" w:rsidRDefault="00366471" w:rsidP="0071397D">
      <w:pPr>
        <w:ind w:firstLine="720"/>
        <w:jc w:val="both"/>
        <w:rPr>
          <w:rFonts w:ascii="CG Times" w:hAnsi="CG Times" w:cstheme="majorBidi"/>
          <w:sz w:val="28"/>
          <w:szCs w:val="28"/>
        </w:rPr>
      </w:pPr>
      <w:r w:rsidRPr="00986E40">
        <w:rPr>
          <w:rFonts w:ascii="CG Times" w:hAnsi="CG Times" w:cstheme="majorBidi"/>
          <w:sz w:val="28"/>
          <w:szCs w:val="28"/>
        </w:rPr>
        <w:t xml:space="preserve">If </w:t>
      </w:r>
      <w:r w:rsidR="0067515F" w:rsidRPr="00986E40">
        <w:rPr>
          <w:rFonts w:ascii="CG Times" w:hAnsi="CG Times" w:cstheme="majorBidi"/>
          <w:sz w:val="28"/>
          <w:szCs w:val="28"/>
        </w:rPr>
        <w:t>this is</w:t>
      </w:r>
      <w:r w:rsidRPr="00986E40">
        <w:rPr>
          <w:rFonts w:ascii="CG Times" w:hAnsi="CG Times" w:cstheme="majorBidi"/>
          <w:sz w:val="28"/>
          <w:szCs w:val="28"/>
        </w:rPr>
        <w:t xml:space="preserve"> not</w:t>
      </w:r>
      <w:r w:rsidR="0067515F" w:rsidRPr="00986E40">
        <w:rPr>
          <w:rFonts w:ascii="CG Times" w:hAnsi="CG Times" w:cstheme="majorBidi"/>
          <w:sz w:val="28"/>
          <w:szCs w:val="28"/>
        </w:rPr>
        <w:t xml:space="preserve"> problematic</w:t>
      </w:r>
      <w:r w:rsidRPr="00986E40">
        <w:rPr>
          <w:rFonts w:ascii="CG Times" w:hAnsi="CG Times" w:cstheme="majorBidi"/>
          <w:sz w:val="28"/>
          <w:szCs w:val="28"/>
        </w:rPr>
        <w:t xml:space="preserve"> enough, sellers often make it even harder for consumers to read and understand these standardized agreements by using long forms, small fonts</w:t>
      </w:r>
      <w:r w:rsidR="007416D7">
        <w:rPr>
          <w:rFonts w:ascii="CG Times" w:hAnsi="CG Times" w:cstheme="majorBidi"/>
          <w:sz w:val="28"/>
          <w:szCs w:val="28"/>
        </w:rPr>
        <w:t>,</w:t>
      </w:r>
      <w:r w:rsidRPr="00986E40">
        <w:rPr>
          <w:rFonts w:ascii="CG Times" w:hAnsi="CG Times" w:cstheme="majorBidi"/>
          <w:sz w:val="28"/>
          <w:szCs w:val="28"/>
        </w:rPr>
        <w:t xml:space="preserve"> and complex legal jargon.</w:t>
      </w:r>
      <w:r w:rsidR="0067515F" w:rsidRPr="00986E40">
        <w:rPr>
          <w:rStyle w:val="FootnoteReference"/>
          <w:rFonts w:ascii="CG Times" w:hAnsi="CG Times" w:cstheme="majorBidi"/>
          <w:sz w:val="28"/>
          <w:szCs w:val="28"/>
        </w:rPr>
        <w:footnoteReference w:id="5"/>
      </w:r>
      <w:r w:rsidR="0067515F" w:rsidRPr="00986E40">
        <w:rPr>
          <w:rFonts w:ascii="CG Times" w:hAnsi="CG Times" w:cstheme="majorBidi"/>
          <w:sz w:val="28"/>
          <w:szCs w:val="28"/>
        </w:rPr>
        <w:t xml:space="preserve"> </w:t>
      </w:r>
      <w:r w:rsidRPr="00986E40">
        <w:rPr>
          <w:rFonts w:ascii="CG Times" w:hAnsi="CG Times" w:cstheme="majorBidi"/>
          <w:sz w:val="28"/>
          <w:szCs w:val="28"/>
        </w:rPr>
        <w:t>It</w:t>
      </w:r>
      <w:r w:rsidR="0074718B" w:rsidRPr="00986E40">
        <w:rPr>
          <w:rFonts w:ascii="CG Times" w:hAnsi="CG Times" w:cstheme="majorBidi"/>
          <w:sz w:val="28"/>
          <w:szCs w:val="28"/>
        </w:rPr>
        <w:t xml:space="preserve"> is</w:t>
      </w:r>
      <w:r w:rsidRPr="00986E40">
        <w:rPr>
          <w:rFonts w:ascii="CG Times" w:hAnsi="CG Times" w:cstheme="majorBidi"/>
          <w:sz w:val="28"/>
          <w:szCs w:val="28"/>
        </w:rPr>
        <w:t xml:space="preserve"> not surprising that no one reads these</w:t>
      </w:r>
      <w:r w:rsidR="0067515F" w:rsidRPr="00986E40">
        <w:rPr>
          <w:rFonts w:ascii="CG Times" w:hAnsi="CG Times" w:cstheme="majorBidi"/>
          <w:sz w:val="28"/>
          <w:szCs w:val="28"/>
        </w:rPr>
        <w:t xml:space="preserve"> egregiously lengthy</w:t>
      </w:r>
      <w:r w:rsidR="0071397D" w:rsidRPr="00986E40">
        <w:rPr>
          <w:rFonts w:ascii="CG Times" w:hAnsi="CG Times" w:cstheme="majorBidi"/>
          <w:sz w:val="28"/>
          <w:szCs w:val="28"/>
        </w:rPr>
        <w:t xml:space="preserve"> and often unintelligible</w:t>
      </w:r>
      <w:r w:rsidR="0074718B" w:rsidRPr="00986E40">
        <w:rPr>
          <w:rFonts w:ascii="CG Times" w:hAnsi="CG Times" w:cstheme="majorBidi"/>
          <w:sz w:val="28"/>
          <w:szCs w:val="28"/>
        </w:rPr>
        <w:t xml:space="preserve"> agreements. In fact, it is</w:t>
      </w:r>
      <w:r w:rsidRPr="00986E40">
        <w:rPr>
          <w:rFonts w:ascii="CG Times" w:hAnsi="CG Times" w:cstheme="majorBidi"/>
          <w:sz w:val="28"/>
          <w:szCs w:val="28"/>
        </w:rPr>
        <w:t xml:space="preserve"> probably even rational not to read them.</w:t>
      </w:r>
      <w:r w:rsidR="0074718B" w:rsidRPr="00986E40">
        <w:rPr>
          <w:rStyle w:val="FootnoteReference"/>
          <w:rFonts w:ascii="CG Times" w:hAnsi="CG Times" w:cstheme="majorBidi"/>
          <w:sz w:val="28"/>
          <w:szCs w:val="28"/>
        </w:rPr>
        <w:footnoteReference w:id="6"/>
      </w:r>
      <w:r w:rsidRPr="00986E40">
        <w:rPr>
          <w:rFonts w:ascii="CG Times" w:hAnsi="CG Times" w:cstheme="majorBidi"/>
          <w:sz w:val="28"/>
          <w:szCs w:val="28"/>
        </w:rPr>
        <w:t xml:space="preserve"> </w:t>
      </w:r>
      <w:r w:rsidR="0074718B" w:rsidRPr="00986E40">
        <w:rPr>
          <w:rFonts w:ascii="CG Times" w:hAnsi="CG Times" w:cstheme="majorBidi"/>
          <w:sz w:val="28"/>
          <w:szCs w:val="28"/>
        </w:rPr>
        <w:t>But</w:t>
      </w:r>
      <w:r w:rsidRPr="00986E40">
        <w:rPr>
          <w:rFonts w:ascii="CG Times" w:hAnsi="CG Times" w:cstheme="majorBidi"/>
          <w:sz w:val="28"/>
          <w:szCs w:val="28"/>
        </w:rPr>
        <w:t xml:space="preserve"> </w:t>
      </w:r>
      <w:r w:rsidR="0071397D" w:rsidRPr="00986E40">
        <w:rPr>
          <w:rFonts w:ascii="CG Times" w:hAnsi="CG Times" w:cstheme="majorBidi"/>
          <w:sz w:val="28"/>
          <w:szCs w:val="28"/>
        </w:rPr>
        <w:t>overall</w:t>
      </w:r>
      <w:r w:rsidR="007416D7">
        <w:rPr>
          <w:rFonts w:ascii="CG Times" w:hAnsi="CG Times" w:cstheme="majorBidi"/>
          <w:sz w:val="28"/>
          <w:szCs w:val="28"/>
        </w:rPr>
        <w:t>,</w:t>
      </w:r>
      <w:r w:rsidR="0071397D" w:rsidRPr="00986E40">
        <w:rPr>
          <w:rFonts w:ascii="CG Times" w:hAnsi="CG Times" w:cstheme="majorBidi"/>
          <w:sz w:val="28"/>
          <w:szCs w:val="28"/>
        </w:rPr>
        <w:t xml:space="preserve"> these agreements are legally binding</w:t>
      </w:r>
      <w:r w:rsidRPr="00986E40">
        <w:rPr>
          <w:rFonts w:ascii="CG Times" w:hAnsi="CG Times" w:cstheme="majorBidi"/>
          <w:sz w:val="28"/>
          <w:szCs w:val="28"/>
        </w:rPr>
        <w:t>.</w:t>
      </w:r>
    </w:p>
    <w:p w14:paraId="6002DBE5" w14:textId="1F966427" w:rsidR="00FB7B33" w:rsidRPr="00986E40" w:rsidRDefault="00366471" w:rsidP="0071397D">
      <w:pPr>
        <w:ind w:firstLine="720"/>
        <w:jc w:val="both"/>
        <w:rPr>
          <w:rFonts w:ascii="CG Times" w:hAnsi="CG Times" w:cstheme="majorBidi"/>
          <w:sz w:val="28"/>
          <w:szCs w:val="28"/>
        </w:rPr>
      </w:pPr>
      <w:r w:rsidRPr="00986E40">
        <w:rPr>
          <w:rFonts w:ascii="CG Times" w:hAnsi="CG Times" w:cstheme="majorBidi"/>
          <w:sz w:val="28"/>
          <w:szCs w:val="28"/>
        </w:rPr>
        <w:t>Sellers gain from consumers’ non-readership because they can insert unfair and one-sided terms into their boilerplates without worrying that some consumers will be discouraged from entering the tran</w:t>
      </w:r>
      <w:r w:rsidR="00FB7B33" w:rsidRPr="00986E40">
        <w:rPr>
          <w:rFonts w:ascii="CG Times" w:hAnsi="CG Times" w:cstheme="majorBidi"/>
          <w:sz w:val="28"/>
          <w:szCs w:val="28"/>
        </w:rPr>
        <w:t>saction because of these terms.</w:t>
      </w:r>
      <w:r w:rsidR="0074718B" w:rsidRPr="00986E40">
        <w:rPr>
          <w:rStyle w:val="FootnoteReference"/>
          <w:rFonts w:ascii="CG Times" w:hAnsi="CG Times" w:cstheme="majorBidi"/>
          <w:sz w:val="28"/>
          <w:szCs w:val="28"/>
        </w:rPr>
        <w:footnoteReference w:id="7"/>
      </w:r>
      <w:r w:rsidR="0074718B" w:rsidRPr="00986E40">
        <w:rPr>
          <w:rFonts w:ascii="CG Times" w:hAnsi="CG Times" w:cstheme="majorBidi"/>
          <w:sz w:val="28"/>
          <w:szCs w:val="28"/>
        </w:rPr>
        <w:t xml:space="preserve"> </w:t>
      </w:r>
      <w:r w:rsidRPr="00986E40">
        <w:rPr>
          <w:rFonts w:ascii="CG Times" w:hAnsi="CG Times" w:cstheme="majorBidi"/>
          <w:sz w:val="28"/>
          <w:szCs w:val="28"/>
        </w:rPr>
        <w:t>Such terms may include, for example waivers of the consumer’s right to a jury trial, arbitration clauses, class action waivers, and choice-of-law clauses.</w:t>
      </w:r>
      <w:r w:rsidR="0074718B" w:rsidRPr="00986E40">
        <w:rPr>
          <w:rStyle w:val="FootnoteReference"/>
          <w:rFonts w:ascii="CG Times" w:hAnsi="CG Times" w:cstheme="majorBidi"/>
          <w:sz w:val="28"/>
          <w:szCs w:val="28"/>
        </w:rPr>
        <w:footnoteReference w:id="8"/>
      </w:r>
      <w:r w:rsidRPr="00986E40">
        <w:rPr>
          <w:rFonts w:ascii="CG Times" w:hAnsi="CG Times" w:cstheme="majorBidi"/>
          <w:sz w:val="28"/>
          <w:szCs w:val="28"/>
        </w:rPr>
        <w:t xml:space="preserve"> </w:t>
      </w:r>
    </w:p>
    <w:p w14:paraId="68BADC58" w14:textId="6E7D1843" w:rsidR="00366471" w:rsidRPr="00986E40" w:rsidRDefault="0074718B" w:rsidP="00981130">
      <w:pPr>
        <w:ind w:firstLine="720"/>
        <w:jc w:val="both"/>
        <w:rPr>
          <w:rFonts w:ascii="CG Times" w:hAnsi="CG Times" w:cstheme="majorBidi"/>
          <w:sz w:val="28"/>
          <w:szCs w:val="28"/>
        </w:rPr>
      </w:pPr>
      <w:r w:rsidRPr="00986E40">
        <w:rPr>
          <w:rFonts w:ascii="CG Times" w:hAnsi="CG Times" w:cstheme="majorBidi"/>
          <w:sz w:val="28"/>
          <w:szCs w:val="28"/>
        </w:rPr>
        <w:t>But</w:t>
      </w:r>
      <w:r w:rsidR="00366471" w:rsidRPr="00986E40">
        <w:rPr>
          <w:rFonts w:ascii="CG Times" w:hAnsi="CG Times" w:cstheme="majorBidi"/>
          <w:sz w:val="28"/>
          <w:szCs w:val="28"/>
        </w:rPr>
        <w:t xml:space="preserve"> even if certain terms are clearly disclosed so that consumers are made aware of them, sellers often design contracts in ways that take advantage of consumers’ cognitive biases and systematic misperceptions.</w:t>
      </w:r>
      <w:r w:rsidRPr="00986E40">
        <w:rPr>
          <w:rStyle w:val="FootnoteReference"/>
          <w:rFonts w:ascii="CG Times" w:hAnsi="CG Times" w:cstheme="majorBidi"/>
          <w:sz w:val="28"/>
          <w:szCs w:val="28"/>
        </w:rPr>
        <w:footnoteReference w:id="9"/>
      </w:r>
      <w:r w:rsidR="00366471" w:rsidRPr="00986E40">
        <w:rPr>
          <w:rFonts w:ascii="CG Times" w:hAnsi="CG Times" w:cstheme="majorBidi"/>
          <w:sz w:val="28"/>
          <w:szCs w:val="28"/>
        </w:rPr>
        <w:t xml:space="preserve"> For example, consumers may </w:t>
      </w:r>
      <w:r w:rsidRPr="00986E40">
        <w:rPr>
          <w:rFonts w:ascii="CG Times" w:hAnsi="CG Times" w:cstheme="majorBidi"/>
          <w:sz w:val="28"/>
          <w:szCs w:val="28"/>
        </w:rPr>
        <w:t>under</w:t>
      </w:r>
      <w:r w:rsidR="00366471" w:rsidRPr="00986E40">
        <w:rPr>
          <w:rFonts w:ascii="CG Times" w:hAnsi="CG Times" w:cstheme="majorBidi"/>
          <w:sz w:val="28"/>
          <w:szCs w:val="28"/>
        </w:rPr>
        <w:t>estimate the probability that a product will fail to work or cause damage. As a result, sellers might be incentivized not to provide a warranty, because consumers will not be willing to pay the full costs of the warranty.</w:t>
      </w:r>
      <w:r w:rsidRPr="00986E40">
        <w:rPr>
          <w:rStyle w:val="FootnoteReference"/>
          <w:rFonts w:ascii="CG Times" w:hAnsi="CG Times" w:cstheme="majorBidi"/>
          <w:sz w:val="28"/>
          <w:szCs w:val="28"/>
        </w:rPr>
        <w:footnoteReference w:id="10"/>
      </w:r>
      <w:r w:rsidR="00366471" w:rsidRPr="00986E40">
        <w:rPr>
          <w:rFonts w:ascii="CG Times" w:hAnsi="CG Times" w:cstheme="majorBidi"/>
          <w:sz w:val="28"/>
          <w:szCs w:val="28"/>
        </w:rPr>
        <w:t xml:space="preserve"> Or take another example</w:t>
      </w:r>
      <w:r w:rsidR="00981130" w:rsidRPr="006E259F">
        <w:rPr>
          <w:i/>
          <w:sz w:val="20"/>
        </w:rPr>
        <w:t>—</w:t>
      </w:r>
      <w:r w:rsidR="00366471" w:rsidRPr="00986E40">
        <w:rPr>
          <w:rFonts w:ascii="CG Times" w:hAnsi="CG Times" w:cstheme="majorBidi"/>
          <w:sz w:val="28"/>
          <w:szCs w:val="28"/>
        </w:rPr>
        <w:t>credit card late payment fees.</w:t>
      </w:r>
      <w:r w:rsidRPr="00986E40">
        <w:rPr>
          <w:rFonts w:ascii="CG Times" w:hAnsi="CG Times" w:cstheme="majorBidi"/>
          <w:sz w:val="28"/>
          <w:szCs w:val="28"/>
        </w:rPr>
        <w:t xml:space="preserve"> </w:t>
      </w:r>
      <w:r w:rsidR="00366471" w:rsidRPr="00986E40">
        <w:rPr>
          <w:rFonts w:ascii="CG Times" w:hAnsi="CG Times" w:cstheme="majorBidi"/>
          <w:sz w:val="28"/>
          <w:szCs w:val="28"/>
        </w:rPr>
        <w:t>Consumers, being over</w:t>
      </w:r>
      <w:r w:rsidR="007416D7">
        <w:rPr>
          <w:rFonts w:ascii="CG Times" w:hAnsi="CG Times" w:cstheme="majorBidi"/>
          <w:sz w:val="28"/>
          <w:szCs w:val="28"/>
        </w:rPr>
        <w:t xml:space="preserve">ly </w:t>
      </w:r>
      <w:r w:rsidR="00366471" w:rsidRPr="00986E40">
        <w:rPr>
          <w:rFonts w:ascii="CG Times" w:hAnsi="CG Times" w:cstheme="majorBidi"/>
          <w:sz w:val="28"/>
          <w:szCs w:val="28"/>
        </w:rPr>
        <w:t>optimistic, might underestimate the probability they will not pay their credit card bills on time</w:t>
      </w:r>
      <w:r w:rsidRPr="00986E40">
        <w:rPr>
          <w:rFonts w:ascii="CG Times" w:hAnsi="CG Times" w:cstheme="majorBidi"/>
          <w:sz w:val="28"/>
          <w:szCs w:val="28"/>
        </w:rPr>
        <w:t>.</w:t>
      </w:r>
      <w:r w:rsidRPr="00986E40">
        <w:rPr>
          <w:rStyle w:val="FootnoteReference"/>
          <w:rFonts w:ascii="CG Times" w:hAnsi="CG Times" w:cstheme="majorBidi"/>
          <w:sz w:val="28"/>
          <w:szCs w:val="28"/>
        </w:rPr>
        <w:footnoteReference w:id="11"/>
      </w:r>
      <w:r w:rsidRPr="00986E40">
        <w:rPr>
          <w:rFonts w:ascii="CG Times" w:hAnsi="CG Times" w:cstheme="majorBidi"/>
          <w:sz w:val="28"/>
          <w:szCs w:val="28"/>
        </w:rPr>
        <w:t xml:space="preserve"> </w:t>
      </w:r>
      <w:r w:rsidR="00366471" w:rsidRPr="00986E40">
        <w:rPr>
          <w:rFonts w:ascii="CG Times" w:hAnsi="CG Times" w:cstheme="majorBidi"/>
          <w:sz w:val="28"/>
          <w:szCs w:val="28"/>
        </w:rPr>
        <w:t>In these cases, credit</w:t>
      </w:r>
      <w:r w:rsidR="0071397D" w:rsidRPr="00986E40">
        <w:rPr>
          <w:rFonts w:ascii="CG Times" w:hAnsi="CG Times" w:cstheme="majorBidi"/>
          <w:sz w:val="28"/>
          <w:szCs w:val="28"/>
        </w:rPr>
        <w:t xml:space="preserve"> card issuers can increase the late payment fees</w:t>
      </w:r>
      <w:r w:rsidR="00366471" w:rsidRPr="00986E40">
        <w:rPr>
          <w:rFonts w:ascii="CG Times" w:hAnsi="CG Times" w:cstheme="majorBidi"/>
          <w:sz w:val="28"/>
          <w:szCs w:val="28"/>
        </w:rPr>
        <w:t>, while seducing consumers to enter the agreement by lowering the more salient, annual fees.</w:t>
      </w:r>
      <w:r w:rsidR="0071397D" w:rsidRPr="00986E40">
        <w:rPr>
          <w:rStyle w:val="FootnoteReference"/>
          <w:rFonts w:ascii="CG Times" w:hAnsi="CG Times" w:cstheme="majorBidi"/>
          <w:sz w:val="28"/>
          <w:szCs w:val="28"/>
        </w:rPr>
        <w:footnoteReference w:id="12"/>
      </w:r>
      <w:r w:rsidR="0071397D" w:rsidRPr="00986E40">
        <w:rPr>
          <w:rFonts w:ascii="CG Times" w:hAnsi="CG Times" w:cstheme="majorBidi"/>
          <w:sz w:val="28"/>
          <w:szCs w:val="28"/>
        </w:rPr>
        <w:t xml:space="preserve"> Consequently,</w:t>
      </w:r>
      <w:r w:rsidR="00366471" w:rsidRPr="00986E40">
        <w:rPr>
          <w:rFonts w:ascii="CG Times" w:hAnsi="CG Times" w:cstheme="majorBidi"/>
          <w:sz w:val="28"/>
          <w:szCs w:val="28"/>
        </w:rPr>
        <w:t xml:space="preserve"> consumers </w:t>
      </w:r>
      <w:r w:rsidR="0071397D" w:rsidRPr="00986E40">
        <w:rPr>
          <w:rFonts w:ascii="CG Times" w:hAnsi="CG Times" w:cstheme="majorBidi"/>
          <w:sz w:val="28"/>
          <w:szCs w:val="28"/>
        </w:rPr>
        <w:t>might</w:t>
      </w:r>
      <w:r w:rsidR="00366471" w:rsidRPr="00986E40">
        <w:rPr>
          <w:rFonts w:ascii="CG Times" w:hAnsi="CG Times" w:cstheme="majorBidi"/>
          <w:sz w:val="28"/>
          <w:szCs w:val="28"/>
        </w:rPr>
        <w:t xml:space="preserve"> enter into inefficient transactions. </w:t>
      </w:r>
    </w:p>
    <w:p w14:paraId="63A41B58" w14:textId="77777777" w:rsidR="00124014" w:rsidRPr="00986E40" w:rsidRDefault="00124014" w:rsidP="00124014">
      <w:pPr>
        <w:pStyle w:val="ListParagraph"/>
        <w:numPr>
          <w:ilvl w:val="0"/>
          <w:numId w:val="2"/>
        </w:numPr>
        <w:jc w:val="both"/>
        <w:rPr>
          <w:rFonts w:ascii="CG Times" w:hAnsi="CG Times" w:cstheme="majorBidi"/>
          <w:i/>
          <w:iCs/>
          <w:sz w:val="28"/>
          <w:szCs w:val="28"/>
        </w:rPr>
      </w:pPr>
      <w:r w:rsidRPr="00986E40">
        <w:rPr>
          <w:rFonts w:ascii="CG Times" w:hAnsi="CG Times" w:cstheme="majorBidi"/>
          <w:i/>
          <w:iCs/>
          <w:sz w:val="28"/>
          <w:szCs w:val="28"/>
        </w:rPr>
        <w:t>Regulatory Solutions</w:t>
      </w:r>
    </w:p>
    <w:p w14:paraId="29B9F715" w14:textId="5018A535" w:rsidR="00FB7B33" w:rsidRPr="00986E40" w:rsidRDefault="0071397D" w:rsidP="00FB7B33">
      <w:pPr>
        <w:ind w:firstLine="720"/>
        <w:jc w:val="both"/>
        <w:rPr>
          <w:rFonts w:ascii="CG Times" w:hAnsi="CG Times" w:cstheme="majorBidi"/>
          <w:sz w:val="28"/>
          <w:szCs w:val="28"/>
        </w:rPr>
      </w:pPr>
      <w:r w:rsidRPr="00986E40">
        <w:rPr>
          <w:rFonts w:ascii="CG Times" w:hAnsi="CG Times" w:cstheme="majorBidi"/>
          <w:sz w:val="28"/>
          <w:szCs w:val="28"/>
        </w:rPr>
        <w:t>I</w:t>
      </w:r>
      <w:r w:rsidR="00366471" w:rsidRPr="00986E40">
        <w:rPr>
          <w:rFonts w:ascii="CG Times" w:hAnsi="CG Times" w:cstheme="majorBidi"/>
          <w:sz w:val="28"/>
          <w:szCs w:val="28"/>
        </w:rPr>
        <w:t>n light of the recognition that sellers often insert one-sided or exploitative terms in</w:t>
      </w:r>
      <w:r w:rsidRPr="00986E40">
        <w:rPr>
          <w:rFonts w:ascii="CG Times" w:hAnsi="CG Times" w:cstheme="majorBidi"/>
          <w:sz w:val="28"/>
          <w:szCs w:val="28"/>
        </w:rPr>
        <w:t>to</w:t>
      </w:r>
      <w:r w:rsidR="00366471" w:rsidRPr="00986E40">
        <w:rPr>
          <w:rFonts w:ascii="CG Times" w:hAnsi="CG Times" w:cstheme="majorBidi"/>
          <w:sz w:val="28"/>
          <w:szCs w:val="28"/>
        </w:rPr>
        <w:t xml:space="preserve"> their boilerplates, scholars have consistently called for stronger, broader regulation of consumer contracts, and regulators have followed suit.</w:t>
      </w:r>
      <w:r w:rsidRPr="00986E40">
        <w:rPr>
          <w:rStyle w:val="FootnoteReference"/>
          <w:rFonts w:ascii="CG Times" w:hAnsi="CG Times" w:cstheme="majorBidi"/>
          <w:sz w:val="28"/>
          <w:szCs w:val="28"/>
        </w:rPr>
        <w:footnoteReference w:id="13"/>
      </w:r>
      <w:r w:rsidR="00366471" w:rsidRPr="00986E40">
        <w:rPr>
          <w:rFonts w:ascii="CG Times" w:hAnsi="CG Times" w:cstheme="majorBidi"/>
          <w:sz w:val="28"/>
          <w:szCs w:val="28"/>
        </w:rPr>
        <w:t xml:space="preserve"> </w:t>
      </w:r>
      <w:r w:rsidR="00FB7B33" w:rsidRPr="00986E40">
        <w:rPr>
          <w:rFonts w:ascii="CG Times" w:hAnsi="CG Times" w:cstheme="majorBidi"/>
          <w:sz w:val="28"/>
          <w:szCs w:val="28"/>
        </w:rPr>
        <w:t xml:space="preserve">I </w:t>
      </w:r>
      <w:r w:rsidR="007416D7">
        <w:rPr>
          <w:rFonts w:ascii="CG Times" w:hAnsi="CG Times" w:cstheme="majorBidi"/>
          <w:sz w:val="28"/>
          <w:szCs w:val="28"/>
        </w:rPr>
        <w:t>will</w:t>
      </w:r>
      <w:r w:rsidR="007416D7" w:rsidRPr="00986E40">
        <w:rPr>
          <w:rFonts w:ascii="CG Times" w:hAnsi="CG Times" w:cstheme="majorBidi"/>
          <w:sz w:val="28"/>
          <w:szCs w:val="28"/>
        </w:rPr>
        <w:t xml:space="preserve"> </w:t>
      </w:r>
      <w:r w:rsidR="00FB7B33" w:rsidRPr="00986E40">
        <w:rPr>
          <w:rFonts w:ascii="CG Times" w:hAnsi="CG Times" w:cstheme="majorBidi"/>
          <w:sz w:val="28"/>
          <w:szCs w:val="28"/>
        </w:rPr>
        <w:t xml:space="preserve">now address the various regulatory instruments governing U.S. consumer contract law. </w:t>
      </w:r>
    </w:p>
    <w:p w14:paraId="2260B63B" w14:textId="5C86C2D6" w:rsidR="00366471" w:rsidRPr="00986E40" w:rsidRDefault="00124014" w:rsidP="00981130">
      <w:pPr>
        <w:ind w:firstLine="720"/>
        <w:jc w:val="both"/>
        <w:rPr>
          <w:rFonts w:ascii="CG Times" w:hAnsi="CG Times" w:cstheme="majorBidi"/>
          <w:sz w:val="28"/>
          <w:szCs w:val="28"/>
        </w:rPr>
      </w:pPr>
      <w:r w:rsidRPr="00986E40">
        <w:rPr>
          <w:rFonts w:ascii="CG Times" w:hAnsi="CG Times" w:cstheme="majorBidi"/>
          <w:sz w:val="28"/>
          <w:szCs w:val="28"/>
        </w:rPr>
        <w:t>One principal instrument is disclosure. Indeed, d</w:t>
      </w:r>
      <w:r w:rsidR="00366471" w:rsidRPr="00986E40">
        <w:rPr>
          <w:rFonts w:ascii="CG Times" w:hAnsi="CG Times" w:cstheme="majorBidi"/>
          <w:sz w:val="28"/>
          <w:szCs w:val="28"/>
        </w:rPr>
        <w:t>isclosure is probably the most commonly used tool in American consumer protection law today.</w:t>
      </w:r>
      <w:r w:rsidR="0071397D" w:rsidRPr="00986E40">
        <w:rPr>
          <w:rStyle w:val="FootnoteReference"/>
          <w:rFonts w:ascii="CG Times" w:hAnsi="CG Times" w:cstheme="majorBidi"/>
          <w:sz w:val="28"/>
          <w:szCs w:val="28"/>
        </w:rPr>
        <w:footnoteReference w:id="14"/>
      </w:r>
      <w:r w:rsidR="00366471" w:rsidRPr="00986E40">
        <w:rPr>
          <w:rFonts w:ascii="CG Times" w:hAnsi="CG Times" w:cstheme="majorBidi"/>
          <w:sz w:val="28"/>
          <w:szCs w:val="28"/>
        </w:rPr>
        <w:t xml:space="preserve"> </w:t>
      </w:r>
      <w:r w:rsidR="0071397D" w:rsidRPr="00986E40">
        <w:rPr>
          <w:rFonts w:ascii="CG Times" w:hAnsi="CG Times" w:cstheme="majorBidi"/>
          <w:sz w:val="28"/>
          <w:szCs w:val="28"/>
        </w:rPr>
        <w:t xml:space="preserve">Disclosure mandates are </w:t>
      </w:r>
      <w:r w:rsidR="00366471" w:rsidRPr="00986E40">
        <w:rPr>
          <w:rFonts w:ascii="CG Times" w:hAnsi="CG Times" w:cstheme="majorBidi"/>
          <w:sz w:val="28"/>
          <w:szCs w:val="28"/>
        </w:rPr>
        <w:t xml:space="preserve">attractive because </w:t>
      </w:r>
      <w:r w:rsidR="0071397D" w:rsidRPr="00986E40">
        <w:rPr>
          <w:rFonts w:ascii="CG Times" w:hAnsi="CG Times" w:cstheme="majorBidi"/>
          <w:sz w:val="28"/>
          <w:szCs w:val="28"/>
        </w:rPr>
        <w:t>disclosure</w:t>
      </w:r>
      <w:r w:rsidR="00366471" w:rsidRPr="00986E40">
        <w:rPr>
          <w:rFonts w:ascii="CG Times" w:hAnsi="CG Times" w:cstheme="majorBidi"/>
          <w:sz w:val="28"/>
          <w:szCs w:val="28"/>
        </w:rPr>
        <w:t xml:space="preserve"> provides information to consumers without intervening too strongly in the market.</w:t>
      </w:r>
      <w:r w:rsidR="00366471" w:rsidRPr="00986E40">
        <w:rPr>
          <w:rFonts w:ascii="CG Times" w:hAnsi="CG Times" w:cstheme="majorBidi"/>
          <w:b/>
          <w:bCs/>
          <w:sz w:val="28"/>
          <w:szCs w:val="28"/>
        </w:rPr>
        <w:t xml:space="preserve"> </w:t>
      </w:r>
      <w:r w:rsidR="0071397D" w:rsidRPr="00986E40">
        <w:rPr>
          <w:rFonts w:ascii="CG Times" w:hAnsi="CG Times" w:cstheme="majorBidi"/>
          <w:sz w:val="28"/>
          <w:szCs w:val="28"/>
        </w:rPr>
        <w:t xml:space="preserve">The only problem is that </w:t>
      </w:r>
      <w:r w:rsidR="00BB08F1">
        <w:rPr>
          <w:rFonts w:ascii="CG Times" w:hAnsi="CG Times" w:cstheme="majorBidi"/>
          <w:sz w:val="28"/>
          <w:szCs w:val="28"/>
        </w:rPr>
        <w:t>they</w:t>
      </w:r>
      <w:r w:rsidR="00BB08F1" w:rsidRPr="00986E40">
        <w:rPr>
          <w:rFonts w:ascii="CG Times" w:hAnsi="CG Times" w:cstheme="majorBidi"/>
          <w:sz w:val="28"/>
          <w:szCs w:val="28"/>
        </w:rPr>
        <w:t xml:space="preserve"> </w:t>
      </w:r>
      <w:r w:rsidR="00366471" w:rsidRPr="00986E40">
        <w:rPr>
          <w:rFonts w:ascii="CG Times" w:hAnsi="CG Times" w:cstheme="majorBidi"/>
          <w:sz w:val="28"/>
          <w:szCs w:val="28"/>
        </w:rPr>
        <w:t xml:space="preserve">usually </w:t>
      </w:r>
      <w:r w:rsidR="0071397D" w:rsidRPr="00986E40">
        <w:rPr>
          <w:rFonts w:ascii="CG Times" w:hAnsi="CG Times" w:cstheme="majorBidi"/>
          <w:sz w:val="28"/>
          <w:szCs w:val="28"/>
        </w:rPr>
        <w:t>do not</w:t>
      </w:r>
      <w:r w:rsidR="00366471" w:rsidRPr="00986E40">
        <w:rPr>
          <w:rFonts w:ascii="CG Times" w:hAnsi="CG Times" w:cstheme="majorBidi"/>
          <w:sz w:val="28"/>
          <w:szCs w:val="28"/>
        </w:rPr>
        <w:t xml:space="preserve"> work.</w:t>
      </w:r>
      <w:r w:rsidR="0071397D" w:rsidRPr="00986E40">
        <w:rPr>
          <w:rStyle w:val="FootnoteReference"/>
          <w:rFonts w:ascii="CG Times" w:hAnsi="CG Times" w:cstheme="majorBidi"/>
          <w:sz w:val="28"/>
          <w:szCs w:val="28"/>
        </w:rPr>
        <w:footnoteReference w:id="15"/>
      </w:r>
      <w:r w:rsidR="0071397D" w:rsidRPr="00986E40">
        <w:rPr>
          <w:rFonts w:ascii="CG Times" w:hAnsi="CG Times" w:cstheme="majorBidi"/>
          <w:sz w:val="28"/>
          <w:szCs w:val="28"/>
        </w:rPr>
        <w:t xml:space="preserve"> </w:t>
      </w:r>
      <w:r w:rsidR="00366471" w:rsidRPr="00986E40">
        <w:rPr>
          <w:rFonts w:ascii="CG Times" w:hAnsi="CG Times" w:cstheme="majorBidi"/>
          <w:sz w:val="28"/>
          <w:szCs w:val="28"/>
        </w:rPr>
        <w:t xml:space="preserve">And </w:t>
      </w:r>
      <w:r w:rsidR="00BB08F1">
        <w:rPr>
          <w:rFonts w:ascii="CG Times" w:hAnsi="CG Times" w:cstheme="majorBidi"/>
          <w:sz w:val="28"/>
          <w:szCs w:val="28"/>
        </w:rPr>
        <w:t>they</w:t>
      </w:r>
      <w:r w:rsidR="00BB08F1" w:rsidRPr="00986E40">
        <w:rPr>
          <w:rFonts w:ascii="CG Times" w:hAnsi="CG Times" w:cstheme="majorBidi"/>
          <w:sz w:val="28"/>
          <w:szCs w:val="28"/>
        </w:rPr>
        <w:t xml:space="preserve"> </w:t>
      </w:r>
      <w:r w:rsidR="0071397D" w:rsidRPr="00986E40">
        <w:rPr>
          <w:rFonts w:ascii="CG Times" w:hAnsi="CG Times" w:cstheme="majorBidi"/>
          <w:sz w:val="28"/>
          <w:szCs w:val="28"/>
        </w:rPr>
        <w:t>do not</w:t>
      </w:r>
      <w:r w:rsidR="00366471" w:rsidRPr="00986E40">
        <w:rPr>
          <w:rFonts w:ascii="CG Times" w:hAnsi="CG Times" w:cstheme="majorBidi"/>
          <w:sz w:val="28"/>
          <w:szCs w:val="28"/>
        </w:rPr>
        <w:t xml:space="preserve"> work mainly because, just like the rest of the fine print, disclosures largely remain unread</w:t>
      </w:r>
      <w:r w:rsidR="0071397D" w:rsidRPr="00986E40">
        <w:rPr>
          <w:rFonts w:ascii="CG Times" w:hAnsi="CG Times" w:cstheme="majorBidi"/>
          <w:sz w:val="28"/>
          <w:szCs w:val="28"/>
        </w:rPr>
        <w:t>.</w:t>
      </w:r>
      <w:r w:rsidR="00366471" w:rsidRPr="00986E40">
        <w:rPr>
          <w:rFonts w:ascii="CG Times" w:hAnsi="CG Times" w:cstheme="majorBidi"/>
          <w:sz w:val="28"/>
          <w:szCs w:val="28"/>
        </w:rPr>
        <w:t xml:space="preserve"> </w:t>
      </w:r>
      <w:r w:rsidR="0071397D" w:rsidRPr="00986E40">
        <w:rPr>
          <w:rFonts w:ascii="CG Times" w:hAnsi="CG Times" w:cstheme="majorBidi"/>
          <w:sz w:val="28"/>
          <w:szCs w:val="28"/>
        </w:rPr>
        <w:t>Furthermore,</w:t>
      </w:r>
      <w:r w:rsidR="00366471" w:rsidRPr="00986E40">
        <w:rPr>
          <w:rFonts w:ascii="CG Times" w:hAnsi="CG Times" w:cstheme="majorBidi"/>
          <w:sz w:val="28"/>
          <w:szCs w:val="28"/>
        </w:rPr>
        <w:t xml:space="preserve"> even if consumers try to read </w:t>
      </w:r>
      <w:r w:rsidR="0071397D" w:rsidRPr="00986E40">
        <w:rPr>
          <w:rFonts w:ascii="CG Times" w:hAnsi="CG Times" w:cstheme="majorBidi"/>
          <w:sz w:val="28"/>
          <w:szCs w:val="28"/>
        </w:rPr>
        <w:t>the disclosed information</w:t>
      </w:r>
      <w:r w:rsidR="00366471" w:rsidRPr="00986E40">
        <w:rPr>
          <w:rFonts w:ascii="CG Times" w:hAnsi="CG Times" w:cstheme="majorBidi"/>
          <w:sz w:val="28"/>
          <w:szCs w:val="28"/>
        </w:rPr>
        <w:t xml:space="preserve">, they often </w:t>
      </w:r>
      <w:r w:rsidR="0071397D" w:rsidRPr="00986E40">
        <w:rPr>
          <w:rFonts w:ascii="CG Times" w:hAnsi="CG Times" w:cstheme="majorBidi"/>
          <w:sz w:val="28"/>
          <w:szCs w:val="28"/>
        </w:rPr>
        <w:t>do not understand it</w:t>
      </w:r>
      <w:r w:rsidR="00366471" w:rsidRPr="00986E40">
        <w:rPr>
          <w:rFonts w:ascii="CG Times" w:hAnsi="CG Times" w:cstheme="majorBidi"/>
          <w:sz w:val="28"/>
          <w:szCs w:val="28"/>
        </w:rPr>
        <w:t xml:space="preserve">, let alone succeed in incorporating </w:t>
      </w:r>
      <w:r w:rsidR="0071397D" w:rsidRPr="00986E40">
        <w:rPr>
          <w:rFonts w:ascii="CG Times" w:hAnsi="CG Times" w:cstheme="majorBidi"/>
          <w:sz w:val="28"/>
          <w:szCs w:val="28"/>
        </w:rPr>
        <w:t xml:space="preserve">this information </w:t>
      </w:r>
      <w:r w:rsidR="00366471" w:rsidRPr="00986E40">
        <w:rPr>
          <w:rFonts w:ascii="CG Times" w:hAnsi="CG Times" w:cstheme="majorBidi"/>
          <w:sz w:val="28"/>
          <w:szCs w:val="28"/>
        </w:rPr>
        <w:t xml:space="preserve">into their decision-making processes. </w:t>
      </w:r>
      <w:r w:rsidRPr="00986E40">
        <w:rPr>
          <w:rFonts w:ascii="CG Times" w:hAnsi="CG Times" w:cstheme="majorBidi"/>
          <w:sz w:val="28"/>
          <w:szCs w:val="28"/>
        </w:rPr>
        <w:t>S</w:t>
      </w:r>
      <w:r w:rsidR="00366471" w:rsidRPr="00986E40">
        <w:rPr>
          <w:rFonts w:ascii="CG Times" w:hAnsi="CG Times" w:cstheme="majorBidi"/>
          <w:sz w:val="28"/>
          <w:szCs w:val="28"/>
        </w:rPr>
        <w:t>ellers are not incentivized to convey the disclosed information in an effective manner</w:t>
      </w:r>
      <w:r w:rsidR="0067754B" w:rsidRPr="00986E40">
        <w:rPr>
          <w:rFonts w:ascii="CG Times" w:hAnsi="CG Times" w:cstheme="majorBidi"/>
          <w:sz w:val="28"/>
          <w:szCs w:val="28"/>
        </w:rPr>
        <w:t>. I</w:t>
      </w:r>
      <w:r w:rsidR="00366471" w:rsidRPr="00986E40">
        <w:rPr>
          <w:rFonts w:ascii="CG Times" w:hAnsi="CG Times" w:cstheme="majorBidi"/>
          <w:sz w:val="28"/>
          <w:szCs w:val="28"/>
        </w:rPr>
        <w:t>n fact</w:t>
      </w:r>
      <w:r w:rsidR="00BB08F1">
        <w:rPr>
          <w:rFonts w:ascii="CG Times" w:hAnsi="CG Times" w:cstheme="majorBidi"/>
          <w:sz w:val="28"/>
          <w:szCs w:val="28"/>
        </w:rPr>
        <w:t>,</w:t>
      </w:r>
      <w:r w:rsidR="00366471" w:rsidRPr="00986E40">
        <w:rPr>
          <w:rFonts w:ascii="CG Times" w:hAnsi="CG Times" w:cstheme="majorBidi"/>
          <w:sz w:val="28"/>
          <w:szCs w:val="28"/>
        </w:rPr>
        <w:t xml:space="preserve"> they have the opposite incentives.</w:t>
      </w:r>
      <w:r w:rsidR="0067754B" w:rsidRPr="00986E40">
        <w:rPr>
          <w:rFonts w:ascii="CG Times" w:hAnsi="CG Times" w:cstheme="majorBidi"/>
          <w:sz w:val="28"/>
          <w:szCs w:val="28"/>
        </w:rPr>
        <w:t xml:space="preserve"> Take the following anecdote.</w:t>
      </w:r>
      <w:r w:rsidR="00366471" w:rsidRPr="00986E40">
        <w:rPr>
          <w:rFonts w:ascii="CG Times" w:hAnsi="CG Times" w:cstheme="majorBidi"/>
          <w:sz w:val="28"/>
          <w:szCs w:val="28"/>
        </w:rPr>
        <w:t xml:space="preserve"> When I visited Bank of America a few days ago, the bank officer </w:t>
      </w:r>
      <w:r w:rsidR="0067754B" w:rsidRPr="00986E40">
        <w:rPr>
          <w:rFonts w:ascii="CG Times" w:hAnsi="CG Times" w:cstheme="majorBidi"/>
          <w:sz w:val="28"/>
          <w:szCs w:val="28"/>
        </w:rPr>
        <w:t>persuaded</w:t>
      </w:r>
      <w:r w:rsidR="00366471" w:rsidRPr="00986E40">
        <w:rPr>
          <w:rFonts w:ascii="CG Times" w:hAnsi="CG Times" w:cstheme="majorBidi"/>
          <w:sz w:val="28"/>
          <w:szCs w:val="28"/>
        </w:rPr>
        <w:t xml:space="preserve"> me to enroll in another credit card program, and he made me extremely uncomfortable when I tried to actually read before clicking through. He said</w:t>
      </w:r>
      <w:r w:rsidR="0067754B" w:rsidRPr="00986E40">
        <w:rPr>
          <w:rFonts w:ascii="CG Times" w:hAnsi="CG Times" w:cstheme="majorBidi"/>
          <w:sz w:val="28"/>
          <w:szCs w:val="28"/>
        </w:rPr>
        <w:t>:</w:t>
      </w:r>
      <w:r w:rsidR="00366471" w:rsidRPr="00986E40">
        <w:rPr>
          <w:rFonts w:ascii="CG Times" w:hAnsi="CG Times" w:cstheme="majorBidi"/>
          <w:sz w:val="28"/>
          <w:szCs w:val="28"/>
        </w:rPr>
        <w:t xml:space="preserve"> “trust me, that just says what I told you a few minutes ago, you can sign here”</w:t>
      </w:r>
      <w:r w:rsidR="0067754B" w:rsidRPr="00986E40">
        <w:rPr>
          <w:rFonts w:ascii="CG Times" w:hAnsi="CG Times" w:cstheme="majorBidi"/>
          <w:sz w:val="28"/>
          <w:szCs w:val="28"/>
        </w:rPr>
        <w:t xml:space="preserve"> and made it very clear that I am</w:t>
      </w:r>
      <w:r w:rsidR="00366471" w:rsidRPr="00986E40">
        <w:rPr>
          <w:rFonts w:ascii="CG Times" w:hAnsi="CG Times" w:cstheme="majorBidi"/>
          <w:sz w:val="28"/>
          <w:szCs w:val="28"/>
        </w:rPr>
        <w:t xml:space="preserve"> expected </w:t>
      </w:r>
      <w:r w:rsidR="00BB08F1">
        <w:rPr>
          <w:rFonts w:ascii="CG Times" w:hAnsi="CG Times" w:cstheme="majorBidi"/>
          <w:sz w:val="28"/>
          <w:szCs w:val="28"/>
        </w:rPr>
        <w:t>not to read, and to just trust him</w:t>
      </w:r>
      <w:r w:rsidR="00366471" w:rsidRPr="00986E40">
        <w:rPr>
          <w:rFonts w:ascii="CG Times" w:hAnsi="CG Times" w:cstheme="majorBidi"/>
          <w:sz w:val="28"/>
          <w:szCs w:val="28"/>
        </w:rPr>
        <w:t xml:space="preserve">. </w:t>
      </w:r>
      <w:r w:rsidR="0067754B" w:rsidRPr="00986E40">
        <w:rPr>
          <w:rFonts w:ascii="CG Times" w:hAnsi="CG Times" w:cstheme="majorBidi"/>
          <w:sz w:val="28"/>
          <w:szCs w:val="28"/>
        </w:rPr>
        <w:t>The bottom line is that</w:t>
      </w:r>
      <w:r w:rsidR="00366471" w:rsidRPr="00986E40">
        <w:rPr>
          <w:rFonts w:ascii="CG Times" w:hAnsi="CG Times" w:cstheme="majorBidi"/>
          <w:sz w:val="28"/>
          <w:szCs w:val="28"/>
        </w:rPr>
        <w:t xml:space="preserve"> disclosure has generally failed</w:t>
      </w:r>
      <w:r w:rsidR="0067754B" w:rsidRPr="00986E40">
        <w:rPr>
          <w:rFonts w:ascii="CG Times" w:hAnsi="CG Times" w:cstheme="majorBidi"/>
          <w:sz w:val="28"/>
          <w:szCs w:val="28"/>
        </w:rPr>
        <w:t xml:space="preserve"> to adequately protect consumers from exploitative practices and contract terms.</w:t>
      </w:r>
      <w:r w:rsidR="0067754B" w:rsidRPr="00986E40">
        <w:rPr>
          <w:rStyle w:val="FootnoteReference"/>
          <w:rFonts w:ascii="CG Times" w:hAnsi="CG Times" w:cstheme="majorBidi"/>
          <w:sz w:val="28"/>
          <w:szCs w:val="28"/>
        </w:rPr>
        <w:footnoteReference w:id="16"/>
      </w:r>
      <w:r w:rsidR="00366471" w:rsidRPr="00986E40">
        <w:rPr>
          <w:rFonts w:ascii="CG Times" w:hAnsi="CG Times" w:cstheme="majorBidi"/>
          <w:sz w:val="28"/>
          <w:szCs w:val="28"/>
        </w:rPr>
        <w:t xml:space="preserve"> </w:t>
      </w:r>
    </w:p>
    <w:p w14:paraId="733BC18F" w14:textId="38ED6AC1" w:rsidR="00366471" w:rsidRPr="00986E40" w:rsidRDefault="00124014" w:rsidP="00124014">
      <w:pPr>
        <w:ind w:firstLine="720"/>
        <w:jc w:val="both"/>
        <w:rPr>
          <w:rFonts w:ascii="CG Times" w:hAnsi="CG Times" w:cstheme="majorBidi"/>
          <w:sz w:val="28"/>
          <w:szCs w:val="28"/>
        </w:rPr>
      </w:pPr>
      <w:r w:rsidRPr="00986E40">
        <w:rPr>
          <w:rFonts w:ascii="CG Times" w:hAnsi="CG Times" w:cstheme="majorBidi"/>
          <w:sz w:val="28"/>
          <w:szCs w:val="28"/>
        </w:rPr>
        <w:t>I</w:t>
      </w:r>
      <w:r w:rsidR="00366471" w:rsidRPr="00986E40">
        <w:rPr>
          <w:rFonts w:ascii="CG Times" w:hAnsi="CG Times" w:cstheme="majorBidi"/>
          <w:sz w:val="28"/>
          <w:szCs w:val="28"/>
        </w:rPr>
        <w:t>n light of the recognition that disclosure alone cannot provide a solution, there is an ongoing trend towards increasing consumer protection by adopting stronger and more coercive</w:t>
      </w:r>
      <w:r w:rsidR="00981130">
        <w:rPr>
          <w:rFonts w:ascii="CG Times" w:hAnsi="CG Times" w:cstheme="majorBidi"/>
          <w:sz w:val="28"/>
          <w:szCs w:val="28"/>
        </w:rPr>
        <w:t xml:space="preserve"> regulatory</w:t>
      </w:r>
      <w:r w:rsidR="00366471" w:rsidRPr="00986E40">
        <w:rPr>
          <w:rFonts w:ascii="CG Times" w:hAnsi="CG Times" w:cstheme="majorBidi"/>
          <w:sz w:val="28"/>
          <w:szCs w:val="28"/>
        </w:rPr>
        <w:t xml:space="preserve"> tools.</w:t>
      </w:r>
      <w:r w:rsidRPr="00986E40">
        <w:rPr>
          <w:rFonts w:ascii="CG Times" w:hAnsi="CG Times" w:cstheme="majorBidi"/>
          <w:sz w:val="28"/>
          <w:szCs w:val="28"/>
        </w:rPr>
        <w:t xml:space="preserve"> </w:t>
      </w:r>
      <w:r w:rsidR="00366471" w:rsidRPr="00986E40">
        <w:rPr>
          <w:rFonts w:ascii="CG Times" w:hAnsi="CG Times" w:cstheme="majorBidi"/>
          <w:sz w:val="28"/>
          <w:szCs w:val="28"/>
        </w:rPr>
        <w:t>We can divide these tools roughly into two main types</w:t>
      </w:r>
      <w:r w:rsidRPr="00986E40">
        <w:rPr>
          <w:rFonts w:ascii="CG Times" w:hAnsi="CG Times" w:cstheme="majorBidi"/>
          <w:sz w:val="28"/>
          <w:szCs w:val="28"/>
        </w:rPr>
        <w:t xml:space="preserve">. </w:t>
      </w:r>
      <w:r w:rsidR="00366471" w:rsidRPr="00986E40">
        <w:rPr>
          <w:rFonts w:ascii="CG Times" w:hAnsi="CG Times" w:cstheme="majorBidi"/>
          <w:sz w:val="28"/>
          <w:szCs w:val="28"/>
        </w:rPr>
        <w:t xml:space="preserve">The first one consists of judicial intervention </w:t>
      </w:r>
      <w:r w:rsidR="00366471" w:rsidRPr="00986E40">
        <w:rPr>
          <w:rFonts w:ascii="CG Times" w:hAnsi="CG Times" w:cstheme="majorBidi"/>
          <w:i/>
          <w:iCs/>
          <w:sz w:val="28"/>
          <w:szCs w:val="28"/>
        </w:rPr>
        <w:t>ex post</w:t>
      </w:r>
      <w:r w:rsidR="00366471" w:rsidRPr="00986E40">
        <w:rPr>
          <w:rFonts w:ascii="CG Times" w:hAnsi="CG Times" w:cstheme="majorBidi"/>
          <w:sz w:val="28"/>
          <w:szCs w:val="28"/>
        </w:rPr>
        <w:t xml:space="preserve">: </w:t>
      </w:r>
      <w:r w:rsidRPr="00986E40">
        <w:rPr>
          <w:rFonts w:ascii="CG Times" w:hAnsi="CG Times" w:cstheme="majorBidi"/>
          <w:sz w:val="28"/>
          <w:szCs w:val="28"/>
        </w:rPr>
        <w:t>C</w:t>
      </w:r>
      <w:r w:rsidR="00366471" w:rsidRPr="00986E40">
        <w:rPr>
          <w:rFonts w:ascii="CG Times" w:hAnsi="CG Times" w:cstheme="majorBidi"/>
          <w:sz w:val="28"/>
          <w:szCs w:val="28"/>
        </w:rPr>
        <w:t>ourts can police contract terms by using common-law doctrines such as unconscionability or fraud to strike out clauses that are considered exploitative or extremely unfair.</w:t>
      </w:r>
      <w:r w:rsidRPr="00986E40">
        <w:rPr>
          <w:rFonts w:ascii="CG Times" w:hAnsi="CG Times" w:cstheme="majorBidi"/>
          <w:sz w:val="28"/>
          <w:szCs w:val="28"/>
        </w:rPr>
        <w:t xml:space="preserve"> </w:t>
      </w:r>
      <w:r w:rsidR="00366471" w:rsidRPr="00986E40">
        <w:rPr>
          <w:rFonts w:ascii="CG Times" w:hAnsi="CG Times" w:cstheme="majorBidi"/>
          <w:sz w:val="28"/>
          <w:szCs w:val="28"/>
        </w:rPr>
        <w:t xml:space="preserve">The second one consists of mandatory restrictions on permissible contracting </w:t>
      </w:r>
      <w:r w:rsidR="00366471" w:rsidRPr="00986E40">
        <w:rPr>
          <w:rFonts w:ascii="CG Times" w:hAnsi="CG Times" w:cstheme="majorBidi"/>
          <w:i/>
          <w:iCs/>
          <w:sz w:val="28"/>
          <w:szCs w:val="28"/>
        </w:rPr>
        <w:t>ex ante</w:t>
      </w:r>
      <w:r w:rsidR="00366471" w:rsidRPr="00986E40">
        <w:rPr>
          <w:rFonts w:ascii="CG Times" w:hAnsi="CG Times" w:cstheme="majorBidi"/>
          <w:sz w:val="28"/>
          <w:szCs w:val="28"/>
        </w:rPr>
        <w:t>. These restrictions either prohibit the inclusion of certain contract terms, or force sellers to include certain terms in their contracts.</w:t>
      </w:r>
      <w:r w:rsidRPr="00986E40">
        <w:rPr>
          <w:rStyle w:val="FootnoteReference"/>
          <w:rFonts w:ascii="CG Times" w:hAnsi="CG Times" w:cstheme="majorBidi"/>
          <w:sz w:val="28"/>
          <w:szCs w:val="28"/>
        </w:rPr>
        <w:footnoteReference w:id="17"/>
      </w:r>
      <w:r w:rsidRPr="00986E40">
        <w:rPr>
          <w:rFonts w:ascii="CG Times" w:hAnsi="CG Times" w:cstheme="majorBidi"/>
          <w:sz w:val="28"/>
          <w:szCs w:val="28"/>
        </w:rPr>
        <w:t xml:space="preserve"> </w:t>
      </w:r>
      <w:r w:rsidR="00366471" w:rsidRPr="00986E40">
        <w:rPr>
          <w:rFonts w:ascii="CG Times" w:hAnsi="CG Times" w:cstheme="majorBidi"/>
          <w:sz w:val="28"/>
          <w:szCs w:val="28"/>
        </w:rPr>
        <w:t xml:space="preserve">For example, the U.S. residential rental market is </w:t>
      </w:r>
      <w:r w:rsidRPr="00986E40">
        <w:rPr>
          <w:rFonts w:ascii="CG Times" w:hAnsi="CG Times" w:cstheme="majorBidi"/>
          <w:sz w:val="28"/>
          <w:szCs w:val="28"/>
        </w:rPr>
        <w:t xml:space="preserve">characterized by comprehensive </w:t>
      </w:r>
      <w:r w:rsidRPr="00986E40">
        <w:rPr>
          <w:rFonts w:ascii="CG Times" w:hAnsi="CG Times" w:cstheme="majorBidi"/>
          <w:i/>
          <w:iCs/>
          <w:sz w:val="28"/>
          <w:szCs w:val="28"/>
        </w:rPr>
        <w:t xml:space="preserve">ex ante </w:t>
      </w:r>
      <w:r w:rsidRPr="00986E40">
        <w:rPr>
          <w:rFonts w:ascii="CG Times" w:hAnsi="CG Times" w:cstheme="majorBidi"/>
          <w:sz w:val="28"/>
          <w:szCs w:val="28"/>
        </w:rPr>
        <w:t>regulation</w:t>
      </w:r>
      <w:r w:rsidR="00366471" w:rsidRPr="00986E40">
        <w:rPr>
          <w:rFonts w:ascii="CG Times" w:hAnsi="CG Times" w:cstheme="majorBidi"/>
          <w:sz w:val="28"/>
          <w:szCs w:val="28"/>
        </w:rPr>
        <w:t>. Landlords are prohibited, among other things, from disclaiming the warranty of habitability, or from disclaiming their liability for loss or damage caused to the tenant or to third parties on the leased premises as a result of the landlord’s negligence.</w:t>
      </w:r>
      <w:r w:rsidRPr="00986E40">
        <w:rPr>
          <w:rStyle w:val="FootnoteReference"/>
          <w:rFonts w:ascii="CG Times" w:hAnsi="CG Times" w:cstheme="majorBidi"/>
          <w:sz w:val="28"/>
          <w:szCs w:val="28"/>
        </w:rPr>
        <w:footnoteReference w:id="18"/>
      </w:r>
      <w:r w:rsidRPr="00986E40">
        <w:rPr>
          <w:rFonts w:ascii="CG Times" w:hAnsi="CG Times" w:cstheme="majorBidi"/>
          <w:sz w:val="28"/>
          <w:szCs w:val="28"/>
        </w:rPr>
        <w:t xml:space="preserve"> T</w:t>
      </w:r>
      <w:r w:rsidR="00366471" w:rsidRPr="00986E40">
        <w:rPr>
          <w:rFonts w:ascii="CG Times" w:hAnsi="CG Times" w:cstheme="majorBidi"/>
          <w:sz w:val="28"/>
          <w:szCs w:val="28"/>
        </w:rPr>
        <w:t>here are many other markets in which mandatory regulation has been adopted, including the credit card and insurance markets.</w:t>
      </w:r>
      <w:r w:rsidRPr="00986E40">
        <w:rPr>
          <w:rStyle w:val="FootnoteReference"/>
          <w:rFonts w:ascii="CG Times" w:hAnsi="CG Times" w:cstheme="majorBidi"/>
          <w:sz w:val="28"/>
          <w:szCs w:val="28"/>
        </w:rPr>
        <w:footnoteReference w:id="19"/>
      </w:r>
      <w:r w:rsidR="00366471" w:rsidRPr="00986E40">
        <w:rPr>
          <w:rFonts w:ascii="CG Times" w:hAnsi="CG Times" w:cstheme="majorBidi"/>
          <w:sz w:val="28"/>
          <w:szCs w:val="28"/>
        </w:rPr>
        <w:t xml:space="preserve"> </w:t>
      </w:r>
    </w:p>
    <w:p w14:paraId="567D79C4" w14:textId="77777777" w:rsidR="00124014" w:rsidRPr="00986E40" w:rsidRDefault="00124014" w:rsidP="00124014">
      <w:pPr>
        <w:pStyle w:val="ListParagraph"/>
        <w:numPr>
          <w:ilvl w:val="0"/>
          <w:numId w:val="2"/>
        </w:numPr>
        <w:jc w:val="both"/>
        <w:rPr>
          <w:rFonts w:ascii="CG Times" w:hAnsi="CG Times" w:cstheme="majorBidi"/>
          <w:i/>
          <w:iCs/>
          <w:sz w:val="28"/>
          <w:szCs w:val="28"/>
        </w:rPr>
      </w:pPr>
      <w:r w:rsidRPr="00986E40">
        <w:rPr>
          <w:rFonts w:ascii="CG Times" w:hAnsi="CG Times" w:cstheme="majorBidi"/>
          <w:i/>
          <w:iCs/>
          <w:sz w:val="28"/>
          <w:szCs w:val="28"/>
        </w:rPr>
        <w:t>Does Substantive Regulation Adequately Protect Consumers?</w:t>
      </w:r>
    </w:p>
    <w:p w14:paraId="26B546EC" w14:textId="069FF854" w:rsidR="00366471" w:rsidRPr="00986E40" w:rsidRDefault="00366471" w:rsidP="00124014">
      <w:pPr>
        <w:ind w:firstLine="360"/>
        <w:jc w:val="both"/>
        <w:rPr>
          <w:rFonts w:ascii="CG Times" w:hAnsi="CG Times" w:cstheme="majorBidi"/>
          <w:sz w:val="28"/>
          <w:szCs w:val="28"/>
        </w:rPr>
      </w:pPr>
      <w:r w:rsidRPr="00986E40">
        <w:rPr>
          <w:rFonts w:ascii="CG Times" w:hAnsi="CG Times" w:cstheme="majorBidi"/>
          <w:sz w:val="28"/>
          <w:szCs w:val="28"/>
        </w:rPr>
        <w:t>In the time I have left, I will focus on these more substantive measures, and I will try to convince you that we should at least be worried that even these stronger techniques might not adequately protect consumers.</w:t>
      </w:r>
      <w:r w:rsidR="00124014" w:rsidRPr="00986E40">
        <w:rPr>
          <w:rFonts w:ascii="CG Times" w:hAnsi="CG Times" w:cstheme="majorBidi"/>
          <w:sz w:val="28"/>
          <w:szCs w:val="28"/>
        </w:rPr>
        <w:t xml:space="preserve"> </w:t>
      </w:r>
      <w:r w:rsidRPr="00986E40">
        <w:rPr>
          <w:rFonts w:ascii="CG Times" w:hAnsi="CG Times" w:cstheme="majorBidi"/>
          <w:sz w:val="28"/>
          <w:szCs w:val="28"/>
        </w:rPr>
        <w:t>This is because all of these regulatory measures heavily rely on consumers to take action against a non-compliant seller. Yet, in many cases, consumers might perceive the contract as enforceable and binding</w:t>
      </w:r>
      <w:r w:rsidR="00BB08F1">
        <w:rPr>
          <w:rFonts w:ascii="CG Times" w:hAnsi="CG Times" w:cstheme="majorBidi"/>
          <w:sz w:val="28"/>
          <w:szCs w:val="28"/>
        </w:rPr>
        <w:t>,</w:t>
      </w:r>
      <w:r w:rsidRPr="00986E40">
        <w:rPr>
          <w:rFonts w:ascii="CG Times" w:hAnsi="CG Times" w:cstheme="majorBidi"/>
          <w:sz w:val="28"/>
          <w:szCs w:val="28"/>
        </w:rPr>
        <w:t xml:space="preserve"> even when it is voidable or already is void under the law.</w:t>
      </w:r>
      <w:r w:rsidR="00124014" w:rsidRPr="00986E40">
        <w:rPr>
          <w:rStyle w:val="FootnoteReference"/>
          <w:rFonts w:ascii="CG Times" w:hAnsi="CG Times" w:cstheme="majorBidi"/>
          <w:sz w:val="28"/>
          <w:szCs w:val="28"/>
        </w:rPr>
        <w:footnoteReference w:id="20"/>
      </w:r>
    </w:p>
    <w:p w14:paraId="136E82BC" w14:textId="0A181CE1" w:rsidR="00124014" w:rsidRPr="00986E40" w:rsidRDefault="00366471" w:rsidP="007F2674">
      <w:pPr>
        <w:ind w:firstLine="720"/>
        <w:jc w:val="both"/>
        <w:rPr>
          <w:rFonts w:ascii="CG Times" w:hAnsi="CG Times" w:cstheme="majorBidi"/>
          <w:sz w:val="28"/>
          <w:szCs w:val="28"/>
        </w:rPr>
      </w:pPr>
      <w:r w:rsidRPr="00986E40">
        <w:rPr>
          <w:rFonts w:ascii="CG Times" w:hAnsi="CG Times" w:cstheme="majorBidi"/>
          <w:sz w:val="28"/>
          <w:szCs w:val="28"/>
        </w:rPr>
        <w:t xml:space="preserve">Now, I will quickly </w:t>
      </w:r>
      <w:r w:rsidR="00124014" w:rsidRPr="00986E40">
        <w:rPr>
          <w:rFonts w:ascii="CG Times" w:hAnsi="CG Times" w:cstheme="majorBidi"/>
          <w:sz w:val="28"/>
          <w:szCs w:val="28"/>
        </w:rPr>
        <w:t>point out</w:t>
      </w:r>
      <w:r w:rsidRPr="00986E40">
        <w:rPr>
          <w:rFonts w:ascii="CG Times" w:hAnsi="CG Times" w:cstheme="majorBidi"/>
          <w:sz w:val="28"/>
          <w:szCs w:val="28"/>
        </w:rPr>
        <w:t xml:space="preserve"> that</w:t>
      </w:r>
      <w:r w:rsidR="00BB08F1">
        <w:rPr>
          <w:rFonts w:ascii="CG Times" w:hAnsi="CG Times" w:cstheme="majorBidi"/>
          <w:sz w:val="28"/>
          <w:szCs w:val="28"/>
        </w:rPr>
        <w:t>,</w:t>
      </w:r>
      <w:r w:rsidRPr="00986E40">
        <w:rPr>
          <w:rFonts w:ascii="CG Times" w:hAnsi="CG Times" w:cstheme="majorBidi"/>
          <w:sz w:val="28"/>
          <w:szCs w:val="28"/>
        </w:rPr>
        <w:t xml:space="preserve"> like in Europe, the U.S. has public </w:t>
      </w:r>
      <w:r w:rsidR="00124014" w:rsidRPr="00986E40">
        <w:rPr>
          <w:rFonts w:ascii="CG Times" w:hAnsi="CG Times" w:cstheme="majorBidi"/>
          <w:sz w:val="28"/>
          <w:szCs w:val="28"/>
        </w:rPr>
        <w:t>enforcement</w:t>
      </w:r>
      <w:r w:rsidRPr="00986E40">
        <w:rPr>
          <w:rFonts w:ascii="CG Times" w:hAnsi="CG Times" w:cstheme="majorBidi"/>
          <w:sz w:val="28"/>
          <w:szCs w:val="28"/>
        </w:rPr>
        <w:t xml:space="preserve"> mechanisms and consumer advocacy groups that may help to protect consumers</w:t>
      </w:r>
      <w:r w:rsidR="00BB08F1">
        <w:rPr>
          <w:rFonts w:ascii="CG Times" w:hAnsi="CG Times" w:cstheme="majorBidi"/>
          <w:sz w:val="28"/>
          <w:szCs w:val="28"/>
        </w:rPr>
        <w:t>;</w:t>
      </w:r>
      <w:r w:rsidRPr="00986E40">
        <w:rPr>
          <w:rFonts w:ascii="CG Times" w:hAnsi="CG Times" w:cstheme="majorBidi"/>
          <w:sz w:val="28"/>
          <w:szCs w:val="28"/>
        </w:rPr>
        <w:t xml:space="preserve"> but these</w:t>
      </w:r>
      <w:r w:rsidR="00124014" w:rsidRPr="00986E40">
        <w:rPr>
          <w:rFonts w:ascii="CG Times" w:hAnsi="CG Times" w:cstheme="majorBidi"/>
          <w:sz w:val="28"/>
          <w:szCs w:val="28"/>
        </w:rPr>
        <w:t>,</w:t>
      </w:r>
      <w:r w:rsidRPr="00986E40">
        <w:rPr>
          <w:rFonts w:ascii="CG Times" w:hAnsi="CG Times" w:cstheme="majorBidi"/>
          <w:sz w:val="28"/>
          <w:szCs w:val="28"/>
        </w:rPr>
        <w:t xml:space="preserve"> too</w:t>
      </w:r>
      <w:r w:rsidR="00124014" w:rsidRPr="00986E40">
        <w:rPr>
          <w:rFonts w:ascii="CG Times" w:hAnsi="CG Times" w:cstheme="majorBidi"/>
          <w:sz w:val="28"/>
          <w:szCs w:val="28"/>
        </w:rPr>
        <w:t>,</w:t>
      </w:r>
      <w:r w:rsidRPr="00986E40">
        <w:rPr>
          <w:rFonts w:ascii="CG Times" w:hAnsi="CG Times" w:cstheme="majorBidi"/>
          <w:sz w:val="28"/>
          <w:szCs w:val="28"/>
        </w:rPr>
        <w:t xml:space="preserve"> often rely on consumers’ complaints.</w:t>
      </w:r>
      <w:r w:rsidR="00124014" w:rsidRPr="00986E40">
        <w:rPr>
          <w:rStyle w:val="FootnoteReference"/>
          <w:rFonts w:ascii="CG Times" w:hAnsi="CG Times" w:cstheme="majorBidi"/>
          <w:sz w:val="28"/>
          <w:szCs w:val="28"/>
        </w:rPr>
        <w:footnoteReference w:id="21"/>
      </w:r>
      <w:r w:rsidRPr="00986E40">
        <w:rPr>
          <w:rFonts w:ascii="CG Times" w:hAnsi="CG Times" w:cstheme="majorBidi"/>
          <w:sz w:val="28"/>
          <w:szCs w:val="28"/>
        </w:rPr>
        <w:t xml:space="preserve"> </w:t>
      </w:r>
    </w:p>
    <w:p w14:paraId="119A2637" w14:textId="77777777" w:rsidR="00366471" w:rsidRPr="00986E40" w:rsidRDefault="00366471" w:rsidP="00124014">
      <w:pPr>
        <w:ind w:firstLine="720"/>
        <w:jc w:val="both"/>
        <w:rPr>
          <w:rFonts w:ascii="CG Times" w:hAnsi="CG Times" w:cstheme="majorBidi"/>
          <w:sz w:val="28"/>
          <w:szCs w:val="28"/>
        </w:rPr>
      </w:pPr>
      <w:r w:rsidRPr="00986E40">
        <w:rPr>
          <w:rFonts w:ascii="CG Times" w:hAnsi="CG Times" w:cstheme="majorBidi"/>
          <w:sz w:val="28"/>
          <w:szCs w:val="28"/>
        </w:rPr>
        <w:t xml:space="preserve">I will now present two studies casting doubt on the possibility that consumers will complain when they face a contractual arrangement that is simply unenforceable or deceptive. </w:t>
      </w:r>
    </w:p>
    <w:p w14:paraId="61B8BD22" w14:textId="77777777" w:rsidR="00366471" w:rsidRPr="00986E40" w:rsidRDefault="00124014" w:rsidP="00124014">
      <w:pPr>
        <w:pStyle w:val="ListParagraph"/>
        <w:numPr>
          <w:ilvl w:val="1"/>
          <w:numId w:val="2"/>
        </w:numPr>
        <w:jc w:val="both"/>
        <w:rPr>
          <w:rFonts w:ascii="CG Times" w:hAnsi="CG Times" w:cstheme="majorBidi"/>
          <w:i/>
          <w:iCs/>
          <w:sz w:val="28"/>
          <w:szCs w:val="28"/>
        </w:rPr>
      </w:pPr>
      <w:r w:rsidRPr="00986E40">
        <w:rPr>
          <w:rFonts w:ascii="CG Times" w:hAnsi="CG Times" w:cstheme="majorBidi"/>
          <w:i/>
          <w:iCs/>
          <w:sz w:val="28"/>
          <w:szCs w:val="28"/>
        </w:rPr>
        <w:t>Unenforceable Terms in the Residential Rental Market</w:t>
      </w:r>
    </w:p>
    <w:p w14:paraId="073CA130" w14:textId="5A18A18E" w:rsidR="00366471" w:rsidRPr="00986E40" w:rsidRDefault="00FE1212" w:rsidP="00CC789B">
      <w:pPr>
        <w:ind w:firstLine="720"/>
        <w:jc w:val="both"/>
        <w:rPr>
          <w:rFonts w:ascii="CG Times" w:hAnsi="CG Times" w:cstheme="majorBidi"/>
          <w:sz w:val="28"/>
          <w:szCs w:val="28"/>
        </w:rPr>
      </w:pPr>
      <w:r w:rsidRPr="00986E40">
        <w:rPr>
          <w:rFonts w:ascii="CG Times" w:hAnsi="CG Times" w:cstheme="majorBidi"/>
          <w:sz w:val="28"/>
          <w:szCs w:val="28"/>
        </w:rPr>
        <w:t>Let us</w:t>
      </w:r>
      <w:r w:rsidR="00366471" w:rsidRPr="00986E40">
        <w:rPr>
          <w:rFonts w:ascii="CG Times" w:hAnsi="CG Times" w:cstheme="majorBidi"/>
          <w:sz w:val="28"/>
          <w:szCs w:val="28"/>
        </w:rPr>
        <w:t xml:space="preserve"> take the residential rental market </w:t>
      </w:r>
      <w:r w:rsidRPr="00986E40">
        <w:rPr>
          <w:rFonts w:ascii="CG Times" w:hAnsi="CG Times" w:cstheme="majorBidi"/>
          <w:sz w:val="28"/>
          <w:szCs w:val="28"/>
        </w:rPr>
        <w:t xml:space="preserve">as a first example. </w:t>
      </w:r>
      <w:r w:rsidR="00366471" w:rsidRPr="00986E40">
        <w:rPr>
          <w:rFonts w:ascii="CG Times" w:hAnsi="CG Times" w:cstheme="majorBidi"/>
          <w:sz w:val="28"/>
          <w:szCs w:val="28"/>
        </w:rPr>
        <w:t>As I mentioned, landlords are not allowed to include clauses disclaiming their negligence liability in their residential lease agreements.</w:t>
      </w:r>
      <w:r w:rsidR="00CC789B" w:rsidRPr="00986E40">
        <w:rPr>
          <w:rStyle w:val="FootnoteReference"/>
          <w:rFonts w:ascii="CG Times" w:hAnsi="CG Times" w:cstheme="majorBidi"/>
          <w:sz w:val="28"/>
          <w:szCs w:val="28"/>
        </w:rPr>
        <w:footnoteReference w:id="22"/>
      </w:r>
      <w:r w:rsidR="00366471" w:rsidRPr="00986E40">
        <w:rPr>
          <w:rFonts w:ascii="CG Times" w:hAnsi="CG Times" w:cstheme="majorBidi"/>
          <w:sz w:val="28"/>
          <w:szCs w:val="28"/>
        </w:rPr>
        <w:t xml:space="preserve"> But what happens if they </w:t>
      </w:r>
      <w:r w:rsidR="00366471" w:rsidRPr="00986E40">
        <w:rPr>
          <w:rFonts w:ascii="CG Times" w:hAnsi="CG Times" w:cstheme="majorBidi"/>
          <w:i/>
          <w:iCs/>
          <w:sz w:val="28"/>
          <w:szCs w:val="28"/>
        </w:rPr>
        <w:t>do</w:t>
      </w:r>
      <w:r w:rsidR="00366471" w:rsidRPr="00986E40">
        <w:rPr>
          <w:rFonts w:ascii="CG Times" w:hAnsi="CG Times" w:cstheme="majorBidi"/>
          <w:sz w:val="28"/>
          <w:szCs w:val="28"/>
        </w:rPr>
        <w:t xml:space="preserve"> include such terms?</w:t>
      </w:r>
      <w:r w:rsidR="00CC789B" w:rsidRPr="00986E40">
        <w:rPr>
          <w:rFonts w:ascii="CG Times" w:hAnsi="CG Times" w:cstheme="majorBidi"/>
          <w:sz w:val="28"/>
          <w:szCs w:val="28"/>
        </w:rPr>
        <w:t xml:space="preserve"> </w:t>
      </w:r>
      <w:r w:rsidR="00366471" w:rsidRPr="00986E40">
        <w:rPr>
          <w:rFonts w:ascii="CG Times" w:hAnsi="CG Times" w:cstheme="majorBidi"/>
          <w:sz w:val="28"/>
          <w:szCs w:val="28"/>
        </w:rPr>
        <w:t>One possibility is that nothing will happen because the terms are unenforceable and therefore legally meaningless and because residential leases, like other ty</w:t>
      </w:r>
      <w:r w:rsidR="00CC789B" w:rsidRPr="00986E40">
        <w:rPr>
          <w:rFonts w:ascii="CG Times" w:hAnsi="CG Times" w:cstheme="majorBidi"/>
          <w:sz w:val="28"/>
          <w:szCs w:val="28"/>
        </w:rPr>
        <w:t>pes of standard form contracts,</w:t>
      </w:r>
      <w:r w:rsidR="00366471" w:rsidRPr="00986E40">
        <w:rPr>
          <w:rFonts w:ascii="CG Times" w:hAnsi="CG Times" w:cstheme="majorBidi"/>
          <w:sz w:val="28"/>
          <w:szCs w:val="28"/>
        </w:rPr>
        <w:t xml:space="preserve"> </w:t>
      </w:r>
      <w:r w:rsidR="00CC789B" w:rsidRPr="00986E40">
        <w:rPr>
          <w:rFonts w:ascii="CG Times" w:hAnsi="CG Times" w:cstheme="majorBidi"/>
          <w:sz w:val="28"/>
          <w:szCs w:val="28"/>
        </w:rPr>
        <w:t>typically</w:t>
      </w:r>
      <w:r w:rsidR="00366471" w:rsidRPr="00986E40">
        <w:rPr>
          <w:rFonts w:ascii="CG Times" w:hAnsi="CG Times" w:cstheme="majorBidi"/>
          <w:sz w:val="28"/>
          <w:szCs w:val="28"/>
        </w:rPr>
        <w:t xml:space="preserve"> remain unread and are therefore harmless. And indeed, this is the conventional wisdom in consumer contracts scholarship today.</w:t>
      </w:r>
    </w:p>
    <w:p w14:paraId="3C006E21" w14:textId="11C4F6F9" w:rsidR="00366471" w:rsidRPr="00986E40" w:rsidRDefault="00366471" w:rsidP="00CC789B">
      <w:pPr>
        <w:ind w:firstLine="720"/>
        <w:jc w:val="both"/>
        <w:rPr>
          <w:rFonts w:ascii="CG Times" w:hAnsi="CG Times" w:cstheme="majorBidi"/>
          <w:sz w:val="28"/>
          <w:szCs w:val="28"/>
        </w:rPr>
      </w:pPr>
      <w:r w:rsidRPr="00986E40">
        <w:rPr>
          <w:rFonts w:ascii="CG Times" w:hAnsi="CG Times" w:cstheme="majorBidi"/>
          <w:sz w:val="28"/>
          <w:szCs w:val="28"/>
        </w:rPr>
        <w:t>But here</w:t>
      </w:r>
      <w:r w:rsidR="00CC789B" w:rsidRPr="00986E40">
        <w:rPr>
          <w:rFonts w:ascii="CG Times" w:hAnsi="CG Times" w:cstheme="majorBidi"/>
          <w:sz w:val="28"/>
          <w:szCs w:val="28"/>
        </w:rPr>
        <w:t xml:space="preserve">, </w:t>
      </w:r>
      <w:r w:rsidRPr="00986E40">
        <w:rPr>
          <w:rFonts w:ascii="CG Times" w:hAnsi="CG Times" w:cstheme="majorBidi"/>
          <w:sz w:val="28"/>
          <w:szCs w:val="28"/>
        </w:rPr>
        <w:t>it is important to make two importan</w:t>
      </w:r>
      <w:r w:rsidR="00CC789B" w:rsidRPr="00986E40">
        <w:rPr>
          <w:rFonts w:ascii="CG Times" w:hAnsi="CG Times" w:cstheme="majorBidi"/>
          <w:sz w:val="28"/>
          <w:szCs w:val="28"/>
        </w:rPr>
        <w:t xml:space="preserve">t distinctions. </w:t>
      </w:r>
      <w:r w:rsidRPr="00986E40">
        <w:rPr>
          <w:rFonts w:ascii="CG Times" w:hAnsi="CG Times" w:cstheme="majorBidi"/>
          <w:sz w:val="28"/>
          <w:szCs w:val="28"/>
        </w:rPr>
        <w:t>First, there are different types of consumer contracts, and it is possible that even if certain types</w:t>
      </w:r>
      <w:r w:rsidR="00617CEC">
        <w:rPr>
          <w:rFonts w:ascii="CG Times" w:hAnsi="CG Times" w:cstheme="majorBidi"/>
          <w:sz w:val="28"/>
          <w:szCs w:val="28"/>
        </w:rPr>
        <w:t>—</w:t>
      </w:r>
      <w:r w:rsidRPr="00986E40">
        <w:rPr>
          <w:rFonts w:ascii="CG Times" w:hAnsi="CG Times" w:cstheme="majorBidi"/>
          <w:sz w:val="28"/>
          <w:szCs w:val="28"/>
        </w:rPr>
        <w:t>mostly involving low-stake transactions, like the purchase of online software</w:t>
      </w:r>
      <w:r w:rsidR="00617CEC">
        <w:rPr>
          <w:rFonts w:ascii="CG Times" w:hAnsi="CG Times" w:cstheme="majorBidi"/>
          <w:sz w:val="28"/>
          <w:szCs w:val="28"/>
        </w:rPr>
        <w:t>—</w:t>
      </w:r>
      <w:r w:rsidRPr="00986E40">
        <w:rPr>
          <w:rFonts w:ascii="CG Times" w:hAnsi="CG Times" w:cstheme="majorBidi"/>
          <w:sz w:val="28"/>
          <w:szCs w:val="28"/>
        </w:rPr>
        <w:t xml:space="preserve">largely remain unread, substantial proportions of consumers </w:t>
      </w:r>
      <w:r w:rsidRPr="007F2674">
        <w:rPr>
          <w:rFonts w:ascii="CG Times" w:hAnsi="CG Times" w:cstheme="majorBidi"/>
          <w:i/>
          <w:sz w:val="28"/>
          <w:szCs w:val="28"/>
        </w:rPr>
        <w:t>will</w:t>
      </w:r>
      <w:r w:rsidRPr="00986E40">
        <w:rPr>
          <w:rFonts w:ascii="CG Times" w:hAnsi="CG Times" w:cstheme="majorBidi"/>
          <w:sz w:val="28"/>
          <w:szCs w:val="28"/>
        </w:rPr>
        <w:t xml:space="preserve"> read contracts in the context of high-stake transactions, like renting or buying a house.</w:t>
      </w:r>
      <w:r w:rsidR="00CC789B" w:rsidRPr="00986E40">
        <w:rPr>
          <w:rStyle w:val="FootnoteReference"/>
          <w:rFonts w:ascii="CG Times" w:hAnsi="CG Times" w:cstheme="majorBidi"/>
          <w:sz w:val="28"/>
          <w:szCs w:val="28"/>
        </w:rPr>
        <w:footnoteReference w:id="23"/>
      </w:r>
      <w:r w:rsidRPr="00986E40">
        <w:rPr>
          <w:rFonts w:ascii="CG Times" w:hAnsi="CG Times" w:cstheme="majorBidi"/>
          <w:sz w:val="28"/>
          <w:szCs w:val="28"/>
        </w:rPr>
        <w:t xml:space="preserve"> </w:t>
      </w:r>
    </w:p>
    <w:p w14:paraId="778DAA99" w14:textId="7CB16904" w:rsidR="00366471" w:rsidRPr="00986E40" w:rsidRDefault="00366471" w:rsidP="008C55A5">
      <w:pPr>
        <w:ind w:firstLine="720"/>
        <w:jc w:val="both"/>
        <w:rPr>
          <w:rFonts w:ascii="CG Times" w:hAnsi="CG Times" w:cstheme="majorBidi"/>
          <w:sz w:val="28"/>
          <w:szCs w:val="28"/>
        </w:rPr>
      </w:pPr>
      <w:r w:rsidRPr="00986E40">
        <w:rPr>
          <w:rFonts w:ascii="CG Times" w:hAnsi="CG Times" w:cstheme="majorBidi"/>
          <w:sz w:val="28"/>
          <w:szCs w:val="28"/>
        </w:rPr>
        <w:t>Second, and perhaps more importantly</w:t>
      </w:r>
      <w:r w:rsidR="00CC789B" w:rsidRPr="00986E40">
        <w:rPr>
          <w:rFonts w:ascii="CG Times" w:hAnsi="CG Times" w:cstheme="majorBidi"/>
          <w:sz w:val="28"/>
          <w:szCs w:val="28"/>
        </w:rPr>
        <w:t>,</w:t>
      </w:r>
      <w:r w:rsidRPr="00986E40">
        <w:rPr>
          <w:rFonts w:ascii="CG Times" w:hAnsi="CG Times" w:cstheme="majorBidi"/>
          <w:sz w:val="28"/>
          <w:szCs w:val="28"/>
        </w:rPr>
        <w:t xml:space="preserve"> it is </w:t>
      </w:r>
      <w:r w:rsidR="00CC789B" w:rsidRPr="00986E40">
        <w:rPr>
          <w:rFonts w:ascii="CG Times" w:hAnsi="CG Times" w:cstheme="majorBidi"/>
          <w:sz w:val="28"/>
          <w:szCs w:val="28"/>
        </w:rPr>
        <w:t>essential</w:t>
      </w:r>
      <w:r w:rsidRPr="00986E40">
        <w:rPr>
          <w:rFonts w:ascii="CG Times" w:hAnsi="CG Times" w:cstheme="majorBidi"/>
          <w:sz w:val="28"/>
          <w:szCs w:val="28"/>
        </w:rPr>
        <w:t xml:space="preserve"> to draw a distinc</w:t>
      </w:r>
      <w:r w:rsidR="00CC789B" w:rsidRPr="00986E40">
        <w:rPr>
          <w:rFonts w:ascii="CG Times" w:hAnsi="CG Times" w:cstheme="majorBidi"/>
          <w:sz w:val="28"/>
          <w:szCs w:val="28"/>
        </w:rPr>
        <w:t>tion between readership</w:t>
      </w:r>
      <w:r w:rsidR="00617CEC">
        <w:rPr>
          <w:rFonts w:ascii="CG Times" w:hAnsi="CG Times" w:cstheme="majorBidi"/>
          <w:sz w:val="28"/>
          <w:szCs w:val="28"/>
        </w:rPr>
        <w:t xml:space="preserve"> (</w:t>
      </w:r>
      <w:r w:rsidR="00CC789B" w:rsidRPr="00986E40">
        <w:rPr>
          <w:rFonts w:ascii="CG Times" w:hAnsi="CG Times" w:cstheme="majorBidi"/>
          <w:sz w:val="28"/>
          <w:szCs w:val="28"/>
        </w:rPr>
        <w:t>or non-</w:t>
      </w:r>
      <w:r w:rsidRPr="00986E40">
        <w:rPr>
          <w:rFonts w:ascii="CG Times" w:hAnsi="CG Times" w:cstheme="majorBidi"/>
          <w:sz w:val="28"/>
          <w:szCs w:val="28"/>
        </w:rPr>
        <w:t>readership</w:t>
      </w:r>
      <w:r w:rsidR="00617CEC">
        <w:rPr>
          <w:rFonts w:ascii="CG Times" w:hAnsi="CG Times" w:cstheme="majorBidi"/>
          <w:sz w:val="28"/>
          <w:szCs w:val="28"/>
        </w:rPr>
        <w:t>)</w:t>
      </w:r>
      <w:r w:rsidRPr="00986E40">
        <w:rPr>
          <w:rFonts w:ascii="CG Times" w:hAnsi="CG Times" w:cstheme="majorBidi"/>
          <w:sz w:val="28"/>
          <w:szCs w:val="28"/>
        </w:rPr>
        <w:t xml:space="preserve"> </w:t>
      </w:r>
      <w:r w:rsidRPr="007F2674">
        <w:rPr>
          <w:rFonts w:ascii="CG Times" w:hAnsi="CG Times" w:cstheme="majorBidi"/>
          <w:i/>
          <w:sz w:val="28"/>
          <w:szCs w:val="28"/>
        </w:rPr>
        <w:t>ex ante</w:t>
      </w:r>
      <w:r w:rsidRPr="00986E40">
        <w:rPr>
          <w:rFonts w:ascii="CG Times" w:hAnsi="CG Times" w:cstheme="majorBidi"/>
          <w:sz w:val="28"/>
          <w:szCs w:val="28"/>
        </w:rPr>
        <w:t xml:space="preserve"> and readership </w:t>
      </w:r>
      <w:r w:rsidRPr="007F2674">
        <w:rPr>
          <w:rFonts w:ascii="CG Times" w:hAnsi="CG Times" w:cstheme="majorBidi"/>
          <w:i/>
          <w:sz w:val="28"/>
          <w:szCs w:val="28"/>
        </w:rPr>
        <w:t>ex post</w:t>
      </w:r>
      <w:r w:rsidRPr="00986E40">
        <w:rPr>
          <w:rFonts w:ascii="CG Times" w:hAnsi="CG Times" w:cstheme="majorBidi"/>
          <w:sz w:val="28"/>
          <w:szCs w:val="28"/>
        </w:rPr>
        <w:t>.</w:t>
      </w:r>
      <w:r w:rsidR="00CC789B" w:rsidRPr="00986E40">
        <w:rPr>
          <w:rStyle w:val="FootnoteReference"/>
          <w:rFonts w:ascii="CG Times" w:hAnsi="CG Times" w:cstheme="majorBidi"/>
          <w:sz w:val="28"/>
          <w:szCs w:val="28"/>
        </w:rPr>
        <w:footnoteReference w:id="24"/>
      </w:r>
      <w:r w:rsidRPr="00986E40">
        <w:rPr>
          <w:rFonts w:ascii="CG Times" w:hAnsi="CG Times" w:cstheme="majorBidi"/>
          <w:sz w:val="28"/>
          <w:szCs w:val="28"/>
        </w:rPr>
        <w:t xml:space="preserve"> </w:t>
      </w:r>
      <w:r w:rsidR="00CC789B" w:rsidRPr="00986E40">
        <w:rPr>
          <w:rFonts w:ascii="CG Times" w:hAnsi="CG Times" w:cstheme="majorBidi"/>
          <w:sz w:val="28"/>
          <w:szCs w:val="28"/>
        </w:rPr>
        <w:t xml:space="preserve">Namely, as I </w:t>
      </w:r>
      <w:r w:rsidR="00617CEC">
        <w:rPr>
          <w:rFonts w:ascii="CG Times" w:hAnsi="CG Times" w:cstheme="majorBidi"/>
          <w:sz w:val="28"/>
          <w:szCs w:val="28"/>
        </w:rPr>
        <w:t>found</w:t>
      </w:r>
      <w:r w:rsidR="00617CEC" w:rsidRPr="00986E40">
        <w:rPr>
          <w:rFonts w:ascii="CG Times" w:hAnsi="CG Times" w:cstheme="majorBidi"/>
          <w:sz w:val="28"/>
          <w:szCs w:val="28"/>
        </w:rPr>
        <w:t xml:space="preserve"> </w:t>
      </w:r>
      <w:r w:rsidR="00CC789B" w:rsidRPr="00986E40">
        <w:rPr>
          <w:rFonts w:ascii="CG Times" w:hAnsi="CG Times" w:cstheme="majorBidi"/>
          <w:sz w:val="28"/>
          <w:szCs w:val="28"/>
        </w:rPr>
        <w:t xml:space="preserve">in my work, </w:t>
      </w:r>
      <w:r w:rsidRPr="00986E40">
        <w:rPr>
          <w:rFonts w:ascii="CG Times" w:hAnsi="CG Times" w:cstheme="majorBidi"/>
          <w:sz w:val="28"/>
          <w:szCs w:val="28"/>
        </w:rPr>
        <w:t xml:space="preserve">even if consumers do not always read their contracts </w:t>
      </w:r>
      <w:r w:rsidRPr="007F2674">
        <w:rPr>
          <w:rFonts w:ascii="CG Times" w:hAnsi="CG Times" w:cstheme="majorBidi"/>
          <w:i/>
          <w:sz w:val="28"/>
          <w:szCs w:val="28"/>
        </w:rPr>
        <w:t>ex ante</w:t>
      </w:r>
      <w:r w:rsidRPr="00986E40">
        <w:rPr>
          <w:rFonts w:ascii="CG Times" w:hAnsi="CG Times" w:cstheme="majorBidi"/>
          <w:sz w:val="28"/>
          <w:szCs w:val="28"/>
        </w:rPr>
        <w:t xml:space="preserve">, before entering the agreement, they </w:t>
      </w:r>
      <w:r w:rsidR="00CC789B" w:rsidRPr="00986E40">
        <w:rPr>
          <w:rFonts w:ascii="CG Times" w:hAnsi="CG Times" w:cstheme="majorBidi"/>
          <w:sz w:val="28"/>
          <w:szCs w:val="28"/>
        </w:rPr>
        <w:t>might</w:t>
      </w:r>
      <w:r w:rsidRPr="00986E40">
        <w:rPr>
          <w:rFonts w:ascii="CG Times" w:hAnsi="CG Times" w:cstheme="majorBidi"/>
          <w:sz w:val="28"/>
          <w:szCs w:val="28"/>
        </w:rPr>
        <w:t xml:space="preserve"> look at their contracts when a problem or a dispute with the seller arises. And, at this point in time, they are likely to rely on their contracts as their main, or even only source of information about their rights</w:t>
      </w:r>
      <w:r w:rsidR="00541C7B">
        <w:rPr>
          <w:rFonts w:ascii="CG Times" w:hAnsi="CG Times" w:cstheme="majorBidi"/>
          <w:sz w:val="28"/>
          <w:szCs w:val="28"/>
        </w:rPr>
        <w:t xml:space="preserve">; in doing so, they </w:t>
      </w:r>
      <w:r w:rsidRPr="00986E40">
        <w:rPr>
          <w:rFonts w:ascii="CG Times" w:hAnsi="CG Times" w:cstheme="majorBidi"/>
          <w:sz w:val="28"/>
          <w:szCs w:val="28"/>
        </w:rPr>
        <w:t>might misperceive unenforceable terms</w:t>
      </w:r>
      <w:r w:rsidR="00541C7B" w:rsidRPr="00541C7B">
        <w:rPr>
          <w:rFonts w:ascii="CG Times" w:hAnsi="CG Times" w:cstheme="majorBidi"/>
          <w:sz w:val="28"/>
          <w:szCs w:val="28"/>
        </w:rPr>
        <w:t xml:space="preserve"> </w:t>
      </w:r>
      <w:r w:rsidR="00541C7B" w:rsidRPr="00986E40">
        <w:rPr>
          <w:rFonts w:ascii="CG Times" w:hAnsi="CG Times" w:cstheme="majorBidi"/>
          <w:sz w:val="28"/>
          <w:szCs w:val="28"/>
        </w:rPr>
        <w:t>as enforceable and binding</w:t>
      </w:r>
      <w:r w:rsidRPr="00986E40">
        <w:rPr>
          <w:rFonts w:ascii="CG Times" w:hAnsi="CG Times" w:cstheme="majorBidi"/>
          <w:sz w:val="28"/>
          <w:szCs w:val="28"/>
        </w:rPr>
        <w:t xml:space="preserve">, </w:t>
      </w:r>
      <w:r w:rsidR="00541C7B">
        <w:rPr>
          <w:rFonts w:ascii="CG Times" w:hAnsi="CG Times" w:cstheme="majorBidi"/>
          <w:sz w:val="28"/>
          <w:szCs w:val="28"/>
        </w:rPr>
        <w:t xml:space="preserve">thereby </w:t>
      </w:r>
      <w:r w:rsidRPr="00986E40">
        <w:rPr>
          <w:rFonts w:ascii="CG Times" w:hAnsi="CG Times" w:cstheme="majorBidi"/>
          <w:sz w:val="28"/>
          <w:szCs w:val="28"/>
        </w:rPr>
        <w:t>restricting or disclaiming their rights and remedies. Consequently, they might forego valid legal rights and claims, and end up bearing costs that the law deliberately and explicitly imposes on the seller or landlord.</w:t>
      </w:r>
      <w:r w:rsidR="00CC789B" w:rsidRPr="00986E40">
        <w:rPr>
          <w:rStyle w:val="FootnoteReference"/>
          <w:rFonts w:ascii="CG Times" w:hAnsi="CG Times" w:cstheme="majorBidi"/>
          <w:sz w:val="28"/>
          <w:szCs w:val="28"/>
        </w:rPr>
        <w:footnoteReference w:id="25"/>
      </w:r>
      <w:r w:rsidRPr="00986E40">
        <w:rPr>
          <w:rFonts w:ascii="CG Times" w:hAnsi="CG Times" w:cstheme="majorBidi"/>
          <w:sz w:val="28"/>
          <w:szCs w:val="28"/>
        </w:rPr>
        <w:t xml:space="preserve"> </w:t>
      </w:r>
    </w:p>
    <w:p w14:paraId="10D69BC8" w14:textId="71A22AFA" w:rsidR="00366471" w:rsidRPr="00986E40" w:rsidRDefault="00CC789B" w:rsidP="00CC789B">
      <w:pPr>
        <w:ind w:firstLine="720"/>
        <w:jc w:val="both"/>
        <w:rPr>
          <w:rFonts w:ascii="CG Times" w:hAnsi="CG Times" w:cstheme="majorBidi"/>
          <w:sz w:val="28"/>
          <w:szCs w:val="28"/>
        </w:rPr>
      </w:pPr>
      <w:r w:rsidRPr="00986E40">
        <w:rPr>
          <w:rFonts w:ascii="CG Times" w:hAnsi="CG Times" w:cstheme="majorBidi"/>
          <w:sz w:val="28"/>
          <w:szCs w:val="28"/>
        </w:rPr>
        <w:t>T</w:t>
      </w:r>
      <w:r w:rsidR="00366471" w:rsidRPr="00986E40">
        <w:rPr>
          <w:rFonts w:ascii="CG Times" w:hAnsi="CG Times" w:cstheme="majorBidi"/>
          <w:sz w:val="28"/>
          <w:szCs w:val="28"/>
        </w:rPr>
        <w:t>o test this intuition</w:t>
      </w:r>
      <w:r w:rsidR="00541C7B">
        <w:rPr>
          <w:rFonts w:ascii="CG Times" w:hAnsi="CG Times" w:cstheme="majorBidi"/>
          <w:sz w:val="28"/>
          <w:szCs w:val="28"/>
        </w:rPr>
        <w:t>,</w:t>
      </w:r>
      <w:r w:rsidR="00366471" w:rsidRPr="00986E40">
        <w:rPr>
          <w:rFonts w:ascii="CG Times" w:hAnsi="CG Times" w:cstheme="majorBidi"/>
          <w:sz w:val="28"/>
          <w:szCs w:val="28"/>
        </w:rPr>
        <w:t xml:space="preserve"> I surveyed </w:t>
      </w:r>
      <w:r w:rsidR="00981130">
        <w:rPr>
          <w:rFonts w:ascii="CG Times" w:hAnsi="CG Times" w:cstheme="majorBidi"/>
          <w:sz w:val="28"/>
          <w:szCs w:val="28"/>
        </w:rPr>
        <w:t xml:space="preserve">a random sample of </w:t>
      </w:r>
      <w:r w:rsidR="00366471" w:rsidRPr="00986E40">
        <w:rPr>
          <w:rFonts w:ascii="CG Times" w:hAnsi="CG Times" w:cstheme="majorBidi"/>
          <w:sz w:val="28"/>
          <w:szCs w:val="28"/>
        </w:rPr>
        <w:t>279 tenants from Massachusetts about their rental experiences.</w:t>
      </w:r>
      <w:r w:rsidRPr="00986E40">
        <w:rPr>
          <w:rStyle w:val="FootnoteReference"/>
          <w:rFonts w:ascii="CG Times" w:hAnsi="CG Times" w:cstheme="majorBidi"/>
          <w:sz w:val="28"/>
          <w:szCs w:val="28"/>
        </w:rPr>
        <w:footnoteReference w:id="26"/>
      </w:r>
      <w:r w:rsidR="00366471" w:rsidRPr="00986E40">
        <w:rPr>
          <w:rFonts w:ascii="CG Times" w:hAnsi="CG Times" w:cstheme="majorBidi"/>
          <w:sz w:val="28"/>
          <w:szCs w:val="28"/>
        </w:rPr>
        <w:t xml:space="preserve"> And among other things, I asked them to describe what they did when they encountered</w:t>
      </w:r>
      <w:r w:rsidRPr="00986E40">
        <w:rPr>
          <w:rFonts w:ascii="CG Times" w:hAnsi="CG Times" w:cstheme="majorBidi"/>
          <w:sz w:val="28"/>
          <w:szCs w:val="28"/>
        </w:rPr>
        <w:t xml:space="preserve"> a rental problem</w:t>
      </w:r>
      <w:r w:rsidR="00366471" w:rsidRPr="00986E40">
        <w:rPr>
          <w:rFonts w:ascii="CG Times" w:hAnsi="CG Times" w:cstheme="majorBidi"/>
          <w:sz w:val="28"/>
          <w:szCs w:val="28"/>
        </w:rPr>
        <w:t>.</w:t>
      </w:r>
      <w:r w:rsidRPr="00986E40">
        <w:rPr>
          <w:rFonts w:ascii="CG Times" w:hAnsi="CG Times" w:cstheme="majorBidi"/>
          <w:sz w:val="28"/>
          <w:szCs w:val="28"/>
        </w:rPr>
        <w:t xml:space="preserve"> </w:t>
      </w:r>
      <w:r w:rsidR="00366471" w:rsidRPr="00986E40">
        <w:rPr>
          <w:rFonts w:ascii="CG Times" w:hAnsi="CG Times" w:cstheme="majorBidi"/>
          <w:sz w:val="28"/>
          <w:szCs w:val="28"/>
        </w:rPr>
        <w:t xml:space="preserve">My survey results revealed, remarkably, that 51% of the tenants </w:t>
      </w:r>
      <w:r w:rsidRPr="00986E40">
        <w:rPr>
          <w:rFonts w:ascii="CG Times" w:hAnsi="CG Times" w:cstheme="majorBidi"/>
          <w:sz w:val="28"/>
          <w:szCs w:val="28"/>
        </w:rPr>
        <w:t xml:space="preserve">reportedly </w:t>
      </w:r>
      <w:r w:rsidR="00366471" w:rsidRPr="00986E40">
        <w:rPr>
          <w:rFonts w:ascii="CG Times" w:hAnsi="CG Times" w:cstheme="majorBidi"/>
          <w:sz w:val="28"/>
          <w:szCs w:val="28"/>
        </w:rPr>
        <w:t>read the relevant parts of their leases when something went wrong</w:t>
      </w:r>
      <w:r w:rsidRPr="00986E40">
        <w:rPr>
          <w:rFonts w:ascii="CG Times" w:hAnsi="CG Times" w:cstheme="majorBidi"/>
          <w:sz w:val="28"/>
          <w:szCs w:val="28"/>
        </w:rPr>
        <w:t>.</w:t>
      </w:r>
      <w:r w:rsidRPr="00986E40">
        <w:rPr>
          <w:rStyle w:val="FootnoteReference"/>
          <w:rFonts w:ascii="CG Times" w:hAnsi="CG Times" w:cstheme="majorBidi"/>
          <w:sz w:val="28"/>
          <w:szCs w:val="28"/>
        </w:rPr>
        <w:footnoteReference w:id="27"/>
      </w:r>
      <w:r w:rsidRPr="00986E40">
        <w:rPr>
          <w:rFonts w:ascii="CG Times" w:hAnsi="CG Times" w:cstheme="majorBidi"/>
          <w:sz w:val="28"/>
          <w:szCs w:val="28"/>
        </w:rPr>
        <w:t xml:space="preserve"> </w:t>
      </w:r>
      <w:r w:rsidR="00366471" w:rsidRPr="00986E40">
        <w:rPr>
          <w:rFonts w:ascii="CG Times" w:hAnsi="CG Times" w:cstheme="majorBidi"/>
          <w:sz w:val="28"/>
          <w:szCs w:val="28"/>
        </w:rPr>
        <w:t>Building on these findings, I conducted a series of experiments in which tenants read scenarios about rental problems and report</w:t>
      </w:r>
      <w:r w:rsidR="00702D51">
        <w:rPr>
          <w:rFonts w:ascii="CG Times" w:hAnsi="CG Times" w:cstheme="majorBidi"/>
          <w:sz w:val="28"/>
          <w:szCs w:val="28"/>
        </w:rPr>
        <w:t>ed</w:t>
      </w:r>
      <w:r w:rsidR="00366471" w:rsidRPr="00986E40">
        <w:rPr>
          <w:rFonts w:ascii="CG Times" w:hAnsi="CG Times" w:cstheme="majorBidi"/>
          <w:sz w:val="28"/>
          <w:szCs w:val="28"/>
        </w:rPr>
        <w:t xml:space="preserve"> how they would behave.</w:t>
      </w:r>
      <w:r w:rsidRPr="00986E40">
        <w:rPr>
          <w:rStyle w:val="FootnoteReference"/>
          <w:rFonts w:ascii="CG Times" w:hAnsi="CG Times" w:cstheme="majorBidi"/>
          <w:sz w:val="28"/>
          <w:szCs w:val="28"/>
        </w:rPr>
        <w:footnoteReference w:id="28"/>
      </w:r>
      <w:r w:rsidR="00366471" w:rsidRPr="00986E40">
        <w:rPr>
          <w:rFonts w:ascii="CG Times" w:hAnsi="CG Times" w:cstheme="majorBidi"/>
          <w:sz w:val="28"/>
          <w:szCs w:val="28"/>
        </w:rPr>
        <w:t xml:space="preserve"> </w:t>
      </w:r>
    </w:p>
    <w:p w14:paraId="14230639" w14:textId="77777777" w:rsidR="00366471" w:rsidRPr="00986E40" w:rsidRDefault="00366471" w:rsidP="007F2674">
      <w:pPr>
        <w:ind w:firstLine="720"/>
        <w:jc w:val="both"/>
        <w:rPr>
          <w:rFonts w:ascii="CG Times" w:hAnsi="CG Times" w:cstheme="majorBidi"/>
          <w:sz w:val="28"/>
          <w:szCs w:val="28"/>
        </w:rPr>
      </w:pPr>
      <w:r w:rsidRPr="00986E40">
        <w:rPr>
          <w:rFonts w:ascii="CG Times" w:hAnsi="CG Times" w:cstheme="majorBidi"/>
          <w:sz w:val="28"/>
          <w:szCs w:val="28"/>
        </w:rPr>
        <w:t xml:space="preserve">Participants </w:t>
      </w:r>
      <w:r w:rsidR="00CC789B" w:rsidRPr="00986E40">
        <w:rPr>
          <w:rFonts w:ascii="CG Times" w:hAnsi="CG Times" w:cstheme="majorBidi"/>
          <w:sz w:val="28"/>
          <w:szCs w:val="28"/>
        </w:rPr>
        <w:t>were asked to assume that after</w:t>
      </w:r>
      <w:r w:rsidRPr="00986E40">
        <w:rPr>
          <w:rFonts w:ascii="CG Times" w:hAnsi="CG Times" w:cstheme="majorBidi"/>
          <w:sz w:val="28"/>
          <w:szCs w:val="28"/>
        </w:rPr>
        <w:t xml:space="preserve"> </w:t>
      </w:r>
      <w:r w:rsidR="00CC789B" w:rsidRPr="00986E40">
        <w:rPr>
          <w:rFonts w:ascii="CG Times" w:hAnsi="CG Times" w:cstheme="majorBidi"/>
          <w:sz w:val="28"/>
          <w:szCs w:val="28"/>
        </w:rPr>
        <w:t>moving into a rented apartment</w:t>
      </w:r>
      <w:r w:rsidRPr="00986E40">
        <w:rPr>
          <w:rFonts w:ascii="CG Times" w:hAnsi="CG Times" w:cstheme="majorBidi"/>
          <w:sz w:val="28"/>
          <w:szCs w:val="28"/>
        </w:rPr>
        <w:t xml:space="preserve">, </w:t>
      </w:r>
      <w:r w:rsidR="00CC789B" w:rsidRPr="00986E40">
        <w:rPr>
          <w:rFonts w:ascii="CG Times" w:hAnsi="CG Times" w:cstheme="majorBidi"/>
          <w:sz w:val="28"/>
          <w:szCs w:val="28"/>
        </w:rPr>
        <w:t>they</w:t>
      </w:r>
      <w:r w:rsidRPr="00986E40">
        <w:rPr>
          <w:rFonts w:ascii="CG Times" w:hAnsi="CG Times" w:cstheme="majorBidi"/>
          <w:sz w:val="28"/>
          <w:szCs w:val="28"/>
        </w:rPr>
        <w:t xml:space="preserve"> notice</w:t>
      </w:r>
      <w:r w:rsidR="00CC789B" w:rsidRPr="00986E40">
        <w:rPr>
          <w:rFonts w:ascii="CG Times" w:hAnsi="CG Times" w:cstheme="majorBidi"/>
          <w:sz w:val="28"/>
          <w:szCs w:val="28"/>
        </w:rPr>
        <w:t>d</w:t>
      </w:r>
      <w:r w:rsidRPr="00986E40">
        <w:rPr>
          <w:rFonts w:ascii="CG Times" w:hAnsi="CG Times" w:cstheme="majorBidi"/>
          <w:sz w:val="28"/>
          <w:szCs w:val="28"/>
        </w:rPr>
        <w:t xml:space="preserve"> that the roof in </w:t>
      </w:r>
      <w:r w:rsidR="00CC789B" w:rsidRPr="00986E40">
        <w:rPr>
          <w:rFonts w:ascii="CG Times" w:hAnsi="CG Times" w:cstheme="majorBidi"/>
          <w:sz w:val="28"/>
          <w:szCs w:val="28"/>
        </w:rPr>
        <w:t>their</w:t>
      </w:r>
      <w:r w:rsidRPr="00986E40">
        <w:rPr>
          <w:rFonts w:ascii="CG Times" w:hAnsi="CG Times" w:cstheme="majorBidi"/>
          <w:sz w:val="28"/>
          <w:szCs w:val="28"/>
        </w:rPr>
        <w:t xml:space="preserve"> apartment is leaking. </w:t>
      </w:r>
      <w:r w:rsidR="00CC789B" w:rsidRPr="00986E40">
        <w:rPr>
          <w:rFonts w:ascii="CG Times" w:hAnsi="CG Times" w:cstheme="majorBidi"/>
          <w:sz w:val="28"/>
          <w:szCs w:val="28"/>
        </w:rPr>
        <w:t>They subsequently read that their landlord failed to fix the leaking roof, even after they had sent</w:t>
      </w:r>
      <w:r w:rsidRPr="00986E40">
        <w:rPr>
          <w:rFonts w:ascii="CG Times" w:hAnsi="CG Times" w:cstheme="majorBidi"/>
          <w:sz w:val="28"/>
          <w:szCs w:val="28"/>
        </w:rPr>
        <w:t xml:space="preserve"> him a letter of complaint. </w:t>
      </w:r>
      <w:r w:rsidR="00CC789B" w:rsidRPr="00986E40">
        <w:rPr>
          <w:rFonts w:ascii="CG Times" w:hAnsi="CG Times" w:cstheme="majorBidi"/>
          <w:sz w:val="28"/>
          <w:szCs w:val="28"/>
        </w:rPr>
        <w:t>Finally, they read that t</w:t>
      </w:r>
      <w:r w:rsidRPr="00986E40">
        <w:rPr>
          <w:rFonts w:ascii="CG Times" w:hAnsi="CG Times" w:cstheme="majorBidi"/>
          <w:sz w:val="28"/>
          <w:szCs w:val="28"/>
        </w:rPr>
        <w:t xml:space="preserve">wo months later, rain water </w:t>
      </w:r>
      <w:r w:rsidR="00CC789B" w:rsidRPr="00986E40">
        <w:rPr>
          <w:rFonts w:ascii="CG Times" w:hAnsi="CG Times" w:cstheme="majorBidi"/>
          <w:sz w:val="28"/>
          <w:szCs w:val="28"/>
        </w:rPr>
        <w:t>fell</w:t>
      </w:r>
      <w:r w:rsidRPr="00986E40">
        <w:rPr>
          <w:rFonts w:ascii="CG Times" w:hAnsi="CG Times" w:cstheme="majorBidi"/>
          <w:sz w:val="28"/>
          <w:szCs w:val="28"/>
        </w:rPr>
        <w:t xml:space="preserve"> from a leak in the roof and damage</w:t>
      </w:r>
      <w:r w:rsidR="00CC789B" w:rsidRPr="00986E40">
        <w:rPr>
          <w:rFonts w:ascii="CG Times" w:hAnsi="CG Times" w:cstheme="majorBidi"/>
          <w:sz w:val="28"/>
          <w:szCs w:val="28"/>
        </w:rPr>
        <w:t>d</w:t>
      </w:r>
      <w:r w:rsidRPr="00986E40">
        <w:rPr>
          <w:rFonts w:ascii="CG Times" w:hAnsi="CG Times" w:cstheme="majorBidi"/>
          <w:sz w:val="28"/>
          <w:szCs w:val="28"/>
        </w:rPr>
        <w:t xml:space="preserve"> </w:t>
      </w:r>
      <w:r w:rsidR="00CC789B" w:rsidRPr="00986E40">
        <w:rPr>
          <w:rFonts w:ascii="CG Times" w:hAnsi="CG Times" w:cstheme="majorBidi"/>
          <w:sz w:val="28"/>
          <w:szCs w:val="28"/>
        </w:rPr>
        <w:t>their television set.</w:t>
      </w:r>
    </w:p>
    <w:p w14:paraId="1EB285E3" w14:textId="5CF23EE0" w:rsidR="00366471" w:rsidRPr="00986E40" w:rsidRDefault="00366471" w:rsidP="008C55A5">
      <w:pPr>
        <w:ind w:firstLine="720"/>
        <w:jc w:val="both"/>
        <w:rPr>
          <w:rFonts w:ascii="CG Times" w:hAnsi="CG Times" w:cstheme="majorBidi"/>
          <w:sz w:val="28"/>
          <w:szCs w:val="28"/>
        </w:rPr>
      </w:pPr>
      <w:r w:rsidRPr="00986E40">
        <w:rPr>
          <w:rFonts w:ascii="CG Times" w:hAnsi="CG Times" w:cstheme="majorBidi"/>
          <w:sz w:val="28"/>
          <w:szCs w:val="28"/>
        </w:rPr>
        <w:t xml:space="preserve">Participants were randomly assigned to one of three contract-term conditions: enforceable, unenforceable, or no term. The conditions were designed to be as similar as possible </w:t>
      </w:r>
      <w:r w:rsidR="00CC789B" w:rsidRPr="00986E40">
        <w:rPr>
          <w:rFonts w:ascii="CG Times" w:hAnsi="CG Times" w:cstheme="majorBidi"/>
          <w:sz w:val="28"/>
          <w:szCs w:val="28"/>
        </w:rPr>
        <w:t>in</w:t>
      </w:r>
      <w:r w:rsidRPr="00986E40">
        <w:rPr>
          <w:rFonts w:ascii="CG Times" w:hAnsi="CG Times" w:cstheme="majorBidi"/>
          <w:sz w:val="28"/>
          <w:szCs w:val="28"/>
        </w:rPr>
        <w:t xml:space="preserve"> all dimensions except the content (and respective legal status) of the contract term.</w:t>
      </w:r>
      <w:r w:rsidR="006B60C3" w:rsidRPr="00986E40">
        <w:rPr>
          <w:rFonts w:ascii="CG Times" w:hAnsi="CG Times" w:cstheme="majorBidi"/>
          <w:sz w:val="28"/>
          <w:szCs w:val="28"/>
        </w:rPr>
        <w:t xml:space="preserve"> </w:t>
      </w:r>
      <w:r w:rsidRPr="00986E40">
        <w:rPr>
          <w:rFonts w:ascii="CG Times" w:hAnsi="CG Times" w:cstheme="majorBidi"/>
          <w:sz w:val="28"/>
          <w:szCs w:val="28"/>
        </w:rPr>
        <w:t>Participants assigned to the “enforceable term” condition read a clause holding the landlord liable in negligence for damage caused to the tenant or third parties in the leased premises, while participants assigned to the “unenforceable term” condition read a clause disclaiming the landlord’s liability for damages to the premises</w:t>
      </w:r>
      <w:r w:rsidR="00702D51">
        <w:rPr>
          <w:rFonts w:ascii="CG Times" w:hAnsi="CG Times" w:cstheme="majorBidi"/>
          <w:sz w:val="28"/>
          <w:szCs w:val="28"/>
        </w:rPr>
        <w:t>;</w:t>
      </w:r>
      <w:r w:rsidRPr="00986E40">
        <w:rPr>
          <w:rFonts w:ascii="CG Times" w:hAnsi="CG Times" w:cstheme="majorBidi"/>
          <w:sz w:val="28"/>
          <w:szCs w:val="28"/>
        </w:rPr>
        <w:t xml:space="preserve"> and those assigned to the “no term” condition </w:t>
      </w:r>
      <w:r w:rsidR="009E5E52" w:rsidRPr="00986E40">
        <w:rPr>
          <w:rFonts w:ascii="CG Times" w:hAnsi="CG Times" w:cstheme="majorBidi"/>
          <w:sz w:val="28"/>
          <w:szCs w:val="28"/>
        </w:rPr>
        <w:t>read a contract that said</w:t>
      </w:r>
      <w:r w:rsidRPr="00986E40">
        <w:rPr>
          <w:rFonts w:ascii="CG Times" w:hAnsi="CG Times" w:cstheme="majorBidi"/>
          <w:sz w:val="28"/>
          <w:szCs w:val="28"/>
        </w:rPr>
        <w:t xml:space="preserve"> nothing about the landlord’s liability for loss or damage to the tenant</w:t>
      </w:r>
      <w:r w:rsidR="009E5E52" w:rsidRPr="00986E40">
        <w:rPr>
          <w:rFonts w:ascii="CG Times" w:hAnsi="CG Times" w:cstheme="majorBidi"/>
          <w:sz w:val="28"/>
          <w:szCs w:val="28"/>
        </w:rPr>
        <w:t>.</w:t>
      </w:r>
      <w:r w:rsidR="008C55A5" w:rsidRPr="00986E40">
        <w:rPr>
          <w:rFonts w:ascii="CG Times" w:hAnsi="CG Times" w:cstheme="majorBidi"/>
          <w:sz w:val="28"/>
          <w:szCs w:val="28"/>
        </w:rPr>
        <w:t xml:space="preserve"> </w:t>
      </w:r>
      <w:r w:rsidRPr="00986E40">
        <w:rPr>
          <w:rFonts w:ascii="CG Times" w:hAnsi="CG Times" w:cstheme="majorBidi"/>
          <w:sz w:val="28"/>
          <w:szCs w:val="28"/>
        </w:rPr>
        <w:t>Participants were then asked to report</w:t>
      </w:r>
      <w:r w:rsidR="00E37CD6">
        <w:rPr>
          <w:rFonts w:ascii="CG Times" w:hAnsi="CG Times" w:cstheme="majorBidi"/>
          <w:sz w:val="28"/>
          <w:szCs w:val="28"/>
        </w:rPr>
        <w:t>,</w:t>
      </w:r>
      <w:r w:rsidR="00E37CD6" w:rsidRPr="00986E40">
        <w:rPr>
          <w:rFonts w:ascii="CG Times" w:hAnsi="CG Times" w:cstheme="majorBidi"/>
          <w:sz w:val="28"/>
          <w:szCs w:val="28"/>
        </w:rPr>
        <w:t xml:space="preserve"> in an open-ended question, </w:t>
      </w:r>
      <w:r w:rsidR="00E37CD6">
        <w:rPr>
          <w:rFonts w:ascii="CG Times" w:hAnsi="CG Times" w:cstheme="majorBidi"/>
          <w:sz w:val="28"/>
          <w:szCs w:val="28"/>
        </w:rPr>
        <w:t>h</w:t>
      </w:r>
      <w:r w:rsidRPr="00986E40">
        <w:rPr>
          <w:rFonts w:ascii="CG Times" w:hAnsi="CG Times" w:cstheme="majorBidi"/>
          <w:sz w:val="28"/>
          <w:szCs w:val="28"/>
        </w:rPr>
        <w:t>ow they would behave</w:t>
      </w:r>
      <w:r w:rsidR="00E37CD6">
        <w:rPr>
          <w:rFonts w:ascii="CG Times" w:hAnsi="CG Times" w:cstheme="majorBidi"/>
          <w:sz w:val="28"/>
          <w:szCs w:val="28"/>
        </w:rPr>
        <w:t xml:space="preserve">, </w:t>
      </w:r>
      <w:r w:rsidRPr="00986E40">
        <w:rPr>
          <w:rFonts w:ascii="CG Times" w:hAnsi="CG Times" w:cstheme="majorBidi"/>
          <w:sz w:val="28"/>
          <w:szCs w:val="28"/>
        </w:rPr>
        <w:t>and three independ</w:t>
      </w:r>
      <w:r w:rsidR="008C55A5" w:rsidRPr="00986E40">
        <w:rPr>
          <w:rFonts w:ascii="CG Times" w:hAnsi="CG Times" w:cstheme="majorBidi"/>
          <w:sz w:val="28"/>
          <w:szCs w:val="28"/>
        </w:rPr>
        <w:t xml:space="preserve">ent </w:t>
      </w:r>
      <w:r w:rsidR="00E37CD6">
        <w:rPr>
          <w:rFonts w:ascii="CG Times" w:hAnsi="CG Times" w:cstheme="majorBidi"/>
          <w:sz w:val="28"/>
          <w:szCs w:val="28"/>
        </w:rPr>
        <w:t>research assistants</w:t>
      </w:r>
      <w:r w:rsidR="00E37CD6" w:rsidRPr="00986E40">
        <w:rPr>
          <w:rFonts w:ascii="CG Times" w:hAnsi="CG Times" w:cstheme="majorBidi"/>
          <w:sz w:val="28"/>
          <w:szCs w:val="28"/>
        </w:rPr>
        <w:t xml:space="preserve"> </w:t>
      </w:r>
      <w:r w:rsidR="008C55A5" w:rsidRPr="00986E40">
        <w:rPr>
          <w:rFonts w:ascii="CG Times" w:hAnsi="CG Times" w:cstheme="majorBidi"/>
          <w:sz w:val="28"/>
          <w:szCs w:val="28"/>
        </w:rPr>
        <w:t>coded their responses. The</w:t>
      </w:r>
      <w:r w:rsidRPr="00986E40">
        <w:rPr>
          <w:rFonts w:ascii="CG Times" w:hAnsi="CG Times" w:cstheme="majorBidi"/>
          <w:sz w:val="28"/>
          <w:szCs w:val="28"/>
        </w:rPr>
        <w:t xml:space="preserve"> experimental findings revealed</w:t>
      </w:r>
      <w:r w:rsidR="008C55A5" w:rsidRPr="00986E40">
        <w:rPr>
          <w:rFonts w:ascii="CG Times" w:hAnsi="CG Times" w:cstheme="majorBidi"/>
          <w:sz w:val="28"/>
          <w:szCs w:val="28"/>
        </w:rPr>
        <w:t xml:space="preserve"> </w:t>
      </w:r>
      <w:r w:rsidRPr="00986E40">
        <w:rPr>
          <w:rFonts w:ascii="CG Times" w:hAnsi="CG Times" w:cstheme="majorBidi"/>
          <w:sz w:val="28"/>
          <w:szCs w:val="28"/>
        </w:rPr>
        <w:t>that tenants who read an unenforceable liability disclaimer were almost three times more likely to bear the TV’s repair costs than</w:t>
      </w:r>
      <w:r w:rsidR="00292FAB">
        <w:rPr>
          <w:rFonts w:ascii="CG Times" w:hAnsi="CG Times" w:cstheme="majorBidi"/>
          <w:sz w:val="28"/>
          <w:szCs w:val="28"/>
        </w:rPr>
        <w:t xml:space="preserve"> were</w:t>
      </w:r>
      <w:r w:rsidRPr="00986E40">
        <w:rPr>
          <w:rFonts w:ascii="CG Times" w:hAnsi="CG Times" w:cstheme="majorBidi"/>
          <w:sz w:val="28"/>
          <w:szCs w:val="28"/>
        </w:rPr>
        <w:t xml:space="preserve"> tenants who read an enforceable liability provision or a silent lease.</w:t>
      </w:r>
      <w:r w:rsidR="008C55A5" w:rsidRPr="00986E40">
        <w:rPr>
          <w:rStyle w:val="FootnoteReference"/>
          <w:rFonts w:ascii="CG Times" w:hAnsi="CG Times" w:cstheme="majorBidi"/>
          <w:sz w:val="28"/>
          <w:szCs w:val="28"/>
        </w:rPr>
        <w:footnoteReference w:id="29"/>
      </w:r>
      <w:r w:rsidRPr="00986E40">
        <w:rPr>
          <w:rFonts w:ascii="CG Times" w:hAnsi="CG Times" w:cstheme="majorBidi"/>
          <w:sz w:val="28"/>
          <w:szCs w:val="28"/>
        </w:rPr>
        <w:t xml:space="preserve"> </w:t>
      </w:r>
    </w:p>
    <w:p w14:paraId="41C70C63" w14:textId="77777777" w:rsidR="00366471" w:rsidRPr="00986E40" w:rsidRDefault="000139D8" w:rsidP="00400174">
      <w:pPr>
        <w:ind w:firstLine="720"/>
        <w:jc w:val="both"/>
        <w:rPr>
          <w:rFonts w:ascii="CG Times" w:hAnsi="CG Times" w:cstheme="majorBidi"/>
          <w:sz w:val="28"/>
          <w:szCs w:val="28"/>
        </w:rPr>
      </w:pPr>
      <w:r w:rsidRPr="00986E40">
        <w:rPr>
          <w:rFonts w:ascii="CG Times" w:hAnsi="CG Times" w:cstheme="majorBidi"/>
          <w:sz w:val="28"/>
          <w:szCs w:val="28"/>
        </w:rPr>
        <w:t>T</w:t>
      </w:r>
      <w:r w:rsidR="00366471" w:rsidRPr="00986E40">
        <w:rPr>
          <w:rFonts w:ascii="CG Times" w:hAnsi="CG Times" w:cstheme="majorBidi"/>
          <w:sz w:val="28"/>
          <w:szCs w:val="28"/>
        </w:rPr>
        <w:t>hese results illustrate that sellers and landlords have a strong financial incentive to misinform non-drafting parties about their legal rights through their contracts.</w:t>
      </w:r>
      <w:r w:rsidRPr="00986E40">
        <w:rPr>
          <w:rFonts w:ascii="CG Times" w:hAnsi="CG Times" w:cstheme="majorBidi"/>
          <w:sz w:val="28"/>
          <w:szCs w:val="28"/>
        </w:rPr>
        <w:t xml:space="preserve"> </w:t>
      </w:r>
      <w:r w:rsidR="00366471" w:rsidRPr="00986E40">
        <w:rPr>
          <w:rFonts w:ascii="CG Times" w:hAnsi="CG Times" w:cstheme="majorBidi"/>
          <w:sz w:val="28"/>
          <w:szCs w:val="28"/>
        </w:rPr>
        <w:t>And ind</w:t>
      </w:r>
      <w:r w:rsidRPr="00986E40">
        <w:rPr>
          <w:rFonts w:ascii="CG Times" w:hAnsi="CG Times" w:cstheme="majorBidi"/>
          <w:sz w:val="28"/>
          <w:szCs w:val="28"/>
        </w:rPr>
        <w:t>eed, in one of my previous studies, I found</w:t>
      </w:r>
      <w:r w:rsidR="00366471" w:rsidRPr="00986E40">
        <w:rPr>
          <w:rFonts w:ascii="CG Times" w:hAnsi="CG Times" w:cstheme="majorBidi"/>
          <w:sz w:val="28"/>
          <w:szCs w:val="28"/>
        </w:rPr>
        <w:t xml:space="preserve"> that unenforceable terms are regularly included in residential lease agreements in Massachusetts.</w:t>
      </w:r>
      <w:r w:rsidRPr="00986E40">
        <w:rPr>
          <w:rStyle w:val="FootnoteReference"/>
          <w:rFonts w:ascii="CG Times" w:hAnsi="CG Times" w:cstheme="majorBidi"/>
          <w:sz w:val="28"/>
          <w:szCs w:val="28"/>
        </w:rPr>
        <w:footnoteReference w:id="30"/>
      </w:r>
      <w:r w:rsidR="00366471" w:rsidRPr="00986E40">
        <w:rPr>
          <w:rFonts w:ascii="CG Times" w:hAnsi="CG Times" w:cstheme="majorBidi"/>
          <w:sz w:val="28"/>
          <w:szCs w:val="28"/>
        </w:rPr>
        <w:t xml:space="preserve"> Unenforceable liability disclaimers, for example, were present in </w:t>
      </w:r>
      <w:r w:rsidRPr="00986E40">
        <w:rPr>
          <w:rFonts w:ascii="CG Times" w:hAnsi="CG Times" w:cstheme="majorBidi"/>
          <w:sz w:val="28"/>
          <w:szCs w:val="28"/>
        </w:rPr>
        <w:t>twenty-three percent</w:t>
      </w:r>
      <w:r w:rsidR="00366471" w:rsidRPr="00986E40">
        <w:rPr>
          <w:rFonts w:ascii="CG Times" w:hAnsi="CG Times" w:cstheme="majorBidi"/>
          <w:sz w:val="28"/>
          <w:szCs w:val="28"/>
        </w:rPr>
        <w:t xml:space="preserve"> of the sampled contracts.</w:t>
      </w:r>
      <w:r w:rsidRPr="00986E40">
        <w:rPr>
          <w:rStyle w:val="FootnoteReference"/>
          <w:rFonts w:ascii="CG Times" w:hAnsi="CG Times" w:cstheme="majorBidi"/>
          <w:sz w:val="28"/>
          <w:szCs w:val="28"/>
        </w:rPr>
        <w:footnoteReference w:id="31"/>
      </w:r>
      <w:r w:rsidR="00366471" w:rsidRPr="00986E40">
        <w:rPr>
          <w:rFonts w:ascii="CG Times" w:hAnsi="CG Times" w:cstheme="majorBidi"/>
          <w:sz w:val="28"/>
          <w:szCs w:val="28"/>
        </w:rPr>
        <w:t xml:space="preserve"> </w:t>
      </w:r>
    </w:p>
    <w:p w14:paraId="0C331147" w14:textId="75DD5958" w:rsidR="00366471" w:rsidRPr="00986E40" w:rsidRDefault="00366471" w:rsidP="00400174">
      <w:pPr>
        <w:ind w:firstLine="720"/>
        <w:jc w:val="both"/>
        <w:rPr>
          <w:rFonts w:ascii="CG Times" w:hAnsi="CG Times" w:cstheme="majorBidi"/>
          <w:sz w:val="28"/>
          <w:szCs w:val="28"/>
        </w:rPr>
      </w:pPr>
      <w:r w:rsidRPr="00986E40">
        <w:rPr>
          <w:rFonts w:ascii="CG Times" w:hAnsi="CG Times" w:cstheme="majorBidi"/>
          <w:sz w:val="28"/>
          <w:szCs w:val="28"/>
        </w:rPr>
        <w:t xml:space="preserve">Now you may think </w:t>
      </w:r>
      <w:r w:rsidR="000139D8" w:rsidRPr="00986E40">
        <w:rPr>
          <w:rFonts w:ascii="CG Times" w:hAnsi="CG Times" w:cstheme="majorBidi"/>
          <w:sz w:val="28"/>
          <w:szCs w:val="28"/>
        </w:rPr>
        <w:t xml:space="preserve">that </w:t>
      </w:r>
      <w:r w:rsidRPr="00986E40">
        <w:rPr>
          <w:rFonts w:ascii="CG Times" w:hAnsi="CG Times" w:cstheme="majorBidi"/>
          <w:sz w:val="28"/>
          <w:szCs w:val="28"/>
        </w:rPr>
        <w:t>this is a U.S. problem, so let me give you</w:t>
      </w:r>
      <w:r w:rsidR="000139D8" w:rsidRPr="00986E40">
        <w:rPr>
          <w:rFonts w:ascii="CG Times" w:hAnsi="CG Times" w:cstheme="majorBidi"/>
          <w:sz w:val="28"/>
          <w:szCs w:val="28"/>
        </w:rPr>
        <w:t xml:space="preserve"> a</w:t>
      </w:r>
      <w:r w:rsidRPr="00986E40">
        <w:rPr>
          <w:rFonts w:ascii="CG Times" w:hAnsi="CG Times" w:cstheme="majorBidi"/>
          <w:sz w:val="28"/>
          <w:szCs w:val="28"/>
        </w:rPr>
        <w:t xml:space="preserve"> European example. </w:t>
      </w:r>
      <w:r w:rsidR="000139D8" w:rsidRPr="00986E40">
        <w:rPr>
          <w:rFonts w:ascii="CG Times" w:hAnsi="CG Times" w:cstheme="majorBidi"/>
          <w:sz w:val="28"/>
          <w:szCs w:val="28"/>
        </w:rPr>
        <w:t>It revolves around</w:t>
      </w:r>
      <w:r w:rsidRPr="00986E40">
        <w:rPr>
          <w:rFonts w:ascii="CG Times" w:hAnsi="CG Times" w:cstheme="majorBidi"/>
          <w:sz w:val="28"/>
          <w:szCs w:val="28"/>
        </w:rPr>
        <w:t xml:space="preserve"> a company you may have heard about</w:t>
      </w:r>
      <w:r w:rsidR="000139D8" w:rsidRPr="00986E40">
        <w:rPr>
          <w:rFonts w:ascii="CG Times" w:hAnsi="CG Times" w:cstheme="majorBidi"/>
          <w:sz w:val="28"/>
          <w:szCs w:val="28"/>
        </w:rPr>
        <w:t>:</w:t>
      </w:r>
      <w:r w:rsidRPr="00986E40">
        <w:rPr>
          <w:rFonts w:ascii="CG Times" w:hAnsi="CG Times" w:cstheme="majorBidi"/>
          <w:sz w:val="28"/>
          <w:szCs w:val="28"/>
        </w:rPr>
        <w:t xml:space="preserve"> Apple</w:t>
      </w:r>
      <w:r w:rsidR="000139D8" w:rsidRPr="00986E40">
        <w:rPr>
          <w:rFonts w:ascii="CG Times" w:hAnsi="CG Times" w:cstheme="majorBidi"/>
          <w:sz w:val="28"/>
          <w:szCs w:val="28"/>
        </w:rPr>
        <w:t xml:space="preserve">. </w:t>
      </w:r>
      <w:r w:rsidRPr="00986E40">
        <w:rPr>
          <w:rFonts w:ascii="CG Times" w:hAnsi="CG Times" w:cstheme="majorBidi"/>
          <w:sz w:val="28"/>
          <w:szCs w:val="28"/>
        </w:rPr>
        <w:t xml:space="preserve">In 2009, Apple was fined </w:t>
      </w:r>
      <w:r w:rsidR="00CD13FE" w:rsidRPr="00CD13FE">
        <w:rPr>
          <w:rFonts w:ascii="CG Times" w:hAnsi="CG Times" w:cstheme="majorBidi"/>
          <w:sz w:val="28"/>
          <w:szCs w:val="28"/>
        </w:rPr>
        <w:t>€</w:t>
      </w:r>
      <w:r w:rsidRPr="00986E40">
        <w:rPr>
          <w:rFonts w:ascii="CG Times" w:hAnsi="CG Times" w:cstheme="majorBidi"/>
          <w:sz w:val="28"/>
          <w:szCs w:val="28"/>
        </w:rPr>
        <w:t>900,000 for misleading consumers about their warranty rights.</w:t>
      </w:r>
      <w:r w:rsidR="000139D8" w:rsidRPr="00986E40">
        <w:rPr>
          <w:rStyle w:val="FootnoteReference"/>
          <w:rFonts w:ascii="CG Times" w:hAnsi="CG Times" w:cstheme="majorBidi"/>
          <w:sz w:val="28"/>
          <w:szCs w:val="28"/>
        </w:rPr>
        <w:footnoteReference w:id="32"/>
      </w:r>
      <w:r w:rsidR="000139D8" w:rsidRPr="00986E40">
        <w:rPr>
          <w:rFonts w:ascii="CG Times" w:hAnsi="CG Times" w:cstheme="majorBidi"/>
          <w:sz w:val="28"/>
          <w:szCs w:val="28"/>
        </w:rPr>
        <w:t xml:space="preserve"> </w:t>
      </w:r>
      <w:r w:rsidRPr="00986E40">
        <w:rPr>
          <w:rFonts w:ascii="CG Times" w:hAnsi="CG Times" w:cstheme="majorBidi"/>
          <w:sz w:val="28"/>
          <w:szCs w:val="28"/>
        </w:rPr>
        <w:t xml:space="preserve">All Apple did was to inform </w:t>
      </w:r>
      <w:r w:rsidR="000139D8" w:rsidRPr="00986E40">
        <w:rPr>
          <w:rFonts w:ascii="CG Times" w:hAnsi="CG Times" w:cstheme="majorBidi"/>
          <w:sz w:val="28"/>
          <w:szCs w:val="28"/>
        </w:rPr>
        <w:t>its</w:t>
      </w:r>
      <w:r w:rsidRPr="00986E40">
        <w:rPr>
          <w:rFonts w:ascii="CG Times" w:hAnsi="CG Times" w:cstheme="majorBidi"/>
          <w:sz w:val="28"/>
          <w:szCs w:val="28"/>
        </w:rPr>
        <w:t xml:space="preserve"> customers that they were entitled for a one-year warranty free of charge, while offering them to extend their warranty to </w:t>
      </w:r>
      <w:r w:rsidR="000139D8" w:rsidRPr="00986E40">
        <w:rPr>
          <w:rFonts w:ascii="CG Times" w:hAnsi="CG Times" w:cstheme="majorBidi"/>
          <w:sz w:val="28"/>
          <w:szCs w:val="28"/>
        </w:rPr>
        <w:t xml:space="preserve">two </w:t>
      </w:r>
      <w:r w:rsidRPr="00986E40">
        <w:rPr>
          <w:rFonts w:ascii="CG Times" w:hAnsi="CG Times" w:cstheme="majorBidi"/>
          <w:sz w:val="28"/>
          <w:szCs w:val="28"/>
        </w:rPr>
        <w:t xml:space="preserve">or even </w:t>
      </w:r>
      <w:r w:rsidR="000139D8" w:rsidRPr="00986E40">
        <w:rPr>
          <w:rFonts w:ascii="CG Times" w:hAnsi="CG Times" w:cstheme="majorBidi"/>
          <w:sz w:val="28"/>
          <w:szCs w:val="28"/>
        </w:rPr>
        <w:t>three</w:t>
      </w:r>
      <w:r w:rsidRPr="00986E40">
        <w:rPr>
          <w:rFonts w:ascii="CG Times" w:hAnsi="CG Times" w:cstheme="majorBidi"/>
          <w:sz w:val="28"/>
          <w:szCs w:val="28"/>
        </w:rPr>
        <w:t xml:space="preserve"> years by purchasing the “Apple Care Protection Plan</w:t>
      </w:r>
      <w:r w:rsidR="000139D8" w:rsidRPr="00986E40">
        <w:rPr>
          <w:rFonts w:ascii="CG Times" w:hAnsi="CG Times" w:cstheme="majorBidi"/>
          <w:sz w:val="28"/>
          <w:szCs w:val="28"/>
        </w:rPr>
        <w:t>.” W</w:t>
      </w:r>
      <w:r w:rsidRPr="00986E40">
        <w:rPr>
          <w:rFonts w:ascii="CG Times" w:hAnsi="CG Times" w:cstheme="majorBidi"/>
          <w:sz w:val="28"/>
          <w:szCs w:val="28"/>
        </w:rPr>
        <w:t>hat Apple did not tell its customers was that they were automatically entitled for</w:t>
      </w:r>
      <w:r w:rsidR="000139D8" w:rsidRPr="00986E40">
        <w:rPr>
          <w:rFonts w:ascii="CG Times" w:hAnsi="CG Times" w:cstheme="majorBidi"/>
          <w:sz w:val="28"/>
          <w:szCs w:val="28"/>
        </w:rPr>
        <w:t xml:space="preserve"> a</w:t>
      </w:r>
      <w:r w:rsidRPr="00986E40">
        <w:rPr>
          <w:rFonts w:ascii="CG Times" w:hAnsi="CG Times" w:cstheme="majorBidi"/>
          <w:sz w:val="28"/>
          <w:szCs w:val="28"/>
        </w:rPr>
        <w:t xml:space="preserve"> two years</w:t>
      </w:r>
      <w:r w:rsidR="000139D8" w:rsidRPr="00986E40">
        <w:rPr>
          <w:rFonts w:ascii="CG Times" w:hAnsi="CG Times" w:cstheme="majorBidi"/>
          <w:sz w:val="28"/>
          <w:szCs w:val="28"/>
        </w:rPr>
        <w:t>’</w:t>
      </w:r>
      <w:r w:rsidRPr="00986E40">
        <w:rPr>
          <w:rFonts w:ascii="CG Times" w:hAnsi="CG Times" w:cstheme="majorBidi"/>
          <w:sz w:val="28"/>
          <w:szCs w:val="28"/>
        </w:rPr>
        <w:t xml:space="preserve"> warranty free of charge.</w:t>
      </w:r>
      <w:r w:rsidR="00400174" w:rsidRPr="00986E40">
        <w:rPr>
          <w:rFonts w:ascii="CG Times" w:hAnsi="CG Times" w:cstheme="majorBidi"/>
          <w:sz w:val="28"/>
          <w:szCs w:val="28"/>
        </w:rPr>
        <w:t xml:space="preserve"> </w:t>
      </w:r>
      <w:r w:rsidR="000139D8" w:rsidRPr="00986E40">
        <w:rPr>
          <w:rFonts w:ascii="CG Times" w:hAnsi="CG Times" w:cstheme="majorBidi"/>
          <w:sz w:val="28"/>
          <w:szCs w:val="28"/>
        </w:rPr>
        <w:t>R</w:t>
      </w:r>
      <w:r w:rsidRPr="00986E40">
        <w:rPr>
          <w:rFonts w:ascii="CG Times" w:hAnsi="CG Times" w:cstheme="majorBidi"/>
          <w:sz w:val="28"/>
          <w:szCs w:val="28"/>
        </w:rPr>
        <w:t>emarkably, two years after Apple had been fin</w:t>
      </w:r>
      <w:r w:rsidR="000139D8" w:rsidRPr="00986E40">
        <w:rPr>
          <w:rFonts w:ascii="CG Times" w:hAnsi="CG Times" w:cstheme="majorBidi"/>
          <w:sz w:val="28"/>
          <w:szCs w:val="28"/>
        </w:rPr>
        <w:t xml:space="preserve">ed, the European Union Justice </w:t>
      </w:r>
      <w:r w:rsidR="00FB2ECE">
        <w:rPr>
          <w:rFonts w:ascii="CG Times" w:hAnsi="CG Times" w:cstheme="majorBidi"/>
          <w:sz w:val="28"/>
          <w:szCs w:val="28"/>
        </w:rPr>
        <w:t>C</w:t>
      </w:r>
      <w:r w:rsidR="000139D8" w:rsidRPr="00986E40">
        <w:rPr>
          <w:rFonts w:ascii="CG Times" w:hAnsi="CG Times" w:cstheme="majorBidi"/>
          <w:sz w:val="28"/>
          <w:szCs w:val="28"/>
        </w:rPr>
        <w:t>ommissioner</w:t>
      </w:r>
      <w:r w:rsidRPr="00986E40">
        <w:rPr>
          <w:rFonts w:ascii="CG Times" w:hAnsi="CG Times" w:cstheme="majorBidi"/>
          <w:sz w:val="28"/>
          <w:szCs w:val="28"/>
        </w:rPr>
        <w:t xml:space="preserve">, Ms. Vivian Reding, reported that Apple continues to misinform consumers about their warranty rights in </w:t>
      </w:r>
      <w:r w:rsidR="00CD13FE">
        <w:rPr>
          <w:rFonts w:ascii="CG Times" w:hAnsi="CG Times" w:cstheme="majorBidi"/>
          <w:sz w:val="28"/>
          <w:szCs w:val="28"/>
        </w:rPr>
        <w:t xml:space="preserve">at least </w:t>
      </w:r>
      <w:r w:rsidRPr="00986E40">
        <w:rPr>
          <w:rFonts w:ascii="CG Times" w:hAnsi="CG Times" w:cstheme="majorBidi"/>
          <w:sz w:val="28"/>
          <w:szCs w:val="28"/>
        </w:rPr>
        <w:t>21 EU member states.</w:t>
      </w:r>
      <w:r w:rsidR="000139D8" w:rsidRPr="00986E40">
        <w:rPr>
          <w:rStyle w:val="FootnoteReference"/>
          <w:rFonts w:ascii="CG Times" w:hAnsi="CG Times" w:cstheme="majorBidi"/>
          <w:sz w:val="28"/>
          <w:szCs w:val="28"/>
        </w:rPr>
        <w:footnoteReference w:id="33"/>
      </w:r>
      <w:r w:rsidRPr="00986E40">
        <w:rPr>
          <w:rFonts w:ascii="CG Times" w:hAnsi="CG Times" w:cstheme="majorBidi"/>
          <w:sz w:val="28"/>
          <w:szCs w:val="28"/>
        </w:rPr>
        <w:t xml:space="preserve">   </w:t>
      </w:r>
    </w:p>
    <w:p w14:paraId="1E2A8612" w14:textId="77777777" w:rsidR="000E62F9" w:rsidRPr="00986E40" w:rsidRDefault="000E62F9" w:rsidP="00400174">
      <w:pPr>
        <w:ind w:firstLine="720"/>
        <w:jc w:val="both"/>
        <w:rPr>
          <w:rFonts w:ascii="CG Times" w:hAnsi="CG Times" w:cstheme="majorBidi"/>
          <w:sz w:val="28"/>
          <w:szCs w:val="28"/>
        </w:rPr>
      </w:pPr>
    </w:p>
    <w:p w14:paraId="606619A2" w14:textId="77777777" w:rsidR="000E62F9" w:rsidRPr="00986E40" w:rsidRDefault="000E62F9" w:rsidP="000E62F9">
      <w:pPr>
        <w:pStyle w:val="ListParagraph"/>
        <w:numPr>
          <w:ilvl w:val="1"/>
          <w:numId w:val="2"/>
        </w:numPr>
        <w:jc w:val="both"/>
        <w:rPr>
          <w:rFonts w:ascii="CG Times" w:hAnsi="CG Times" w:cstheme="majorBidi"/>
          <w:i/>
          <w:iCs/>
          <w:sz w:val="28"/>
          <w:szCs w:val="28"/>
        </w:rPr>
      </w:pPr>
      <w:r w:rsidRPr="00986E40">
        <w:rPr>
          <w:rFonts w:ascii="CG Times" w:hAnsi="CG Times" w:cstheme="majorBidi"/>
          <w:i/>
          <w:iCs/>
          <w:sz w:val="28"/>
          <w:szCs w:val="28"/>
        </w:rPr>
        <w:t>Fraud and Fine Print Cases</w:t>
      </w:r>
    </w:p>
    <w:p w14:paraId="47F2456D" w14:textId="77777777" w:rsidR="00966908" w:rsidRPr="00986E40" w:rsidRDefault="00366471" w:rsidP="00966908">
      <w:pPr>
        <w:ind w:firstLine="720"/>
        <w:jc w:val="both"/>
        <w:rPr>
          <w:rFonts w:ascii="CG Times" w:hAnsi="CG Times" w:cstheme="majorBidi"/>
          <w:sz w:val="28"/>
          <w:szCs w:val="28"/>
        </w:rPr>
      </w:pPr>
      <w:r w:rsidRPr="00986E40">
        <w:rPr>
          <w:rFonts w:ascii="CG Times" w:hAnsi="CG Times" w:cstheme="majorBidi"/>
          <w:sz w:val="28"/>
          <w:szCs w:val="28"/>
        </w:rPr>
        <w:t>Sellers are able to misinform consumers about the law because of the interaction between consumers’ ignorance of the law and their common-sense assumption that whatever the contract says is the final word.</w:t>
      </w:r>
      <w:r w:rsidR="000E62F9" w:rsidRPr="00986E40">
        <w:rPr>
          <w:rFonts w:ascii="CG Times" w:hAnsi="CG Times" w:cstheme="majorBidi"/>
          <w:sz w:val="28"/>
          <w:szCs w:val="28"/>
        </w:rPr>
        <w:t xml:space="preserve"> </w:t>
      </w:r>
      <w:r w:rsidRPr="00986E40">
        <w:rPr>
          <w:rFonts w:ascii="CG Times" w:hAnsi="CG Times" w:cstheme="majorBidi"/>
          <w:sz w:val="28"/>
          <w:szCs w:val="28"/>
        </w:rPr>
        <w:t xml:space="preserve">In fact, in </w:t>
      </w:r>
      <w:r w:rsidR="000E62F9" w:rsidRPr="00986E40">
        <w:rPr>
          <w:rFonts w:ascii="CG Times" w:hAnsi="CG Times" w:cstheme="majorBidi"/>
          <w:sz w:val="28"/>
          <w:szCs w:val="28"/>
        </w:rPr>
        <w:t>a</w:t>
      </w:r>
      <w:r w:rsidRPr="00986E40">
        <w:rPr>
          <w:rFonts w:ascii="CG Times" w:hAnsi="CG Times" w:cstheme="majorBidi"/>
          <w:sz w:val="28"/>
          <w:szCs w:val="28"/>
        </w:rPr>
        <w:t xml:space="preserve"> </w:t>
      </w:r>
      <w:r w:rsidR="000E62F9" w:rsidRPr="00986E40">
        <w:rPr>
          <w:rFonts w:ascii="CG Times" w:hAnsi="CG Times" w:cstheme="majorBidi"/>
          <w:sz w:val="28"/>
          <w:szCs w:val="28"/>
        </w:rPr>
        <w:t>study</w:t>
      </w:r>
      <w:r w:rsidRPr="00986E40">
        <w:rPr>
          <w:rFonts w:ascii="CG Times" w:hAnsi="CG Times" w:cstheme="majorBidi"/>
          <w:sz w:val="28"/>
          <w:szCs w:val="28"/>
        </w:rPr>
        <w:t xml:space="preserve"> conducted in collaboration with Roseanna Sommers, we </w:t>
      </w:r>
      <w:r w:rsidR="000E62F9" w:rsidRPr="00986E40">
        <w:rPr>
          <w:rFonts w:ascii="CG Times" w:hAnsi="CG Times" w:cstheme="majorBidi"/>
          <w:sz w:val="28"/>
          <w:szCs w:val="28"/>
        </w:rPr>
        <w:t>found</w:t>
      </w:r>
      <w:r w:rsidRPr="00986E40">
        <w:rPr>
          <w:rFonts w:ascii="CG Times" w:hAnsi="CG Times" w:cstheme="majorBidi"/>
          <w:sz w:val="28"/>
          <w:szCs w:val="28"/>
        </w:rPr>
        <w:t xml:space="preserve"> that consumers feel</w:t>
      </w:r>
      <w:r w:rsidR="000E62F9" w:rsidRPr="00986E40">
        <w:rPr>
          <w:rFonts w:ascii="CG Times" w:hAnsi="CG Times" w:cstheme="majorBidi"/>
          <w:sz w:val="28"/>
          <w:szCs w:val="28"/>
        </w:rPr>
        <w:t xml:space="preserve"> so committed to the fine print</w:t>
      </w:r>
      <w:r w:rsidRPr="00986E40">
        <w:rPr>
          <w:rFonts w:ascii="CG Times" w:hAnsi="CG Times" w:cstheme="majorBidi"/>
          <w:sz w:val="28"/>
          <w:szCs w:val="28"/>
        </w:rPr>
        <w:t xml:space="preserve"> that they fail to realize that their contracts may be voidable even when they were signed as a result of clear and material fraud.</w:t>
      </w:r>
      <w:r w:rsidR="000E62F9" w:rsidRPr="00986E40">
        <w:rPr>
          <w:rStyle w:val="FootnoteReference"/>
          <w:rFonts w:ascii="CG Times" w:hAnsi="CG Times" w:cstheme="majorBidi"/>
          <w:sz w:val="28"/>
          <w:szCs w:val="28"/>
        </w:rPr>
        <w:footnoteReference w:id="34"/>
      </w:r>
      <w:r w:rsidR="00966908" w:rsidRPr="00986E40">
        <w:rPr>
          <w:rFonts w:ascii="CG Times" w:hAnsi="CG Times" w:cstheme="majorBidi"/>
          <w:sz w:val="28"/>
          <w:szCs w:val="28"/>
        </w:rPr>
        <w:t xml:space="preserve"> </w:t>
      </w:r>
    </w:p>
    <w:p w14:paraId="345E3DD1" w14:textId="22406EA0" w:rsidR="00966908" w:rsidRPr="00986E40" w:rsidRDefault="00966908" w:rsidP="00981130">
      <w:pPr>
        <w:ind w:firstLine="720"/>
        <w:jc w:val="both"/>
        <w:rPr>
          <w:rFonts w:ascii="CG Times" w:hAnsi="CG Times" w:cstheme="majorBidi"/>
          <w:sz w:val="28"/>
          <w:szCs w:val="28"/>
        </w:rPr>
      </w:pPr>
      <w:r w:rsidRPr="00986E40">
        <w:rPr>
          <w:rFonts w:ascii="CG Times" w:hAnsi="CG Times" w:cstheme="majorBidi"/>
          <w:sz w:val="28"/>
          <w:szCs w:val="28"/>
        </w:rPr>
        <w:t xml:space="preserve">Notably, </w:t>
      </w:r>
      <w:r w:rsidR="00366471" w:rsidRPr="00986E40">
        <w:rPr>
          <w:rFonts w:ascii="CG Times" w:hAnsi="CG Times" w:cstheme="majorBidi"/>
          <w:sz w:val="28"/>
          <w:szCs w:val="28"/>
        </w:rPr>
        <w:t xml:space="preserve">consumer fraud is one of the main concerns permeating consumer contract law today. In fact, according to a report </w:t>
      </w:r>
      <w:r w:rsidR="00AE5C8F">
        <w:rPr>
          <w:rFonts w:ascii="CG Times" w:hAnsi="CG Times" w:cstheme="majorBidi"/>
          <w:sz w:val="28"/>
          <w:szCs w:val="28"/>
        </w:rPr>
        <w:t>by</w:t>
      </w:r>
      <w:r w:rsidR="00AE5C8F" w:rsidRPr="00986E40">
        <w:rPr>
          <w:rFonts w:ascii="CG Times" w:hAnsi="CG Times" w:cstheme="majorBidi"/>
          <w:sz w:val="28"/>
          <w:szCs w:val="28"/>
        </w:rPr>
        <w:t xml:space="preserve"> </w:t>
      </w:r>
      <w:r w:rsidR="00366471" w:rsidRPr="00986E40">
        <w:rPr>
          <w:rFonts w:ascii="CG Times" w:hAnsi="CG Times" w:cstheme="majorBidi"/>
          <w:sz w:val="28"/>
          <w:szCs w:val="28"/>
        </w:rPr>
        <w:t xml:space="preserve">the </w:t>
      </w:r>
      <w:r w:rsidR="00AE5C8F">
        <w:rPr>
          <w:rFonts w:ascii="CG Times" w:hAnsi="CG Times" w:cstheme="majorBidi"/>
          <w:sz w:val="28"/>
          <w:szCs w:val="28"/>
        </w:rPr>
        <w:t>F</w:t>
      </w:r>
      <w:r w:rsidR="00366471" w:rsidRPr="00986E40">
        <w:rPr>
          <w:rFonts w:ascii="CG Times" w:hAnsi="CG Times" w:cstheme="majorBidi"/>
          <w:sz w:val="28"/>
          <w:szCs w:val="28"/>
        </w:rPr>
        <w:t xml:space="preserve">ederal </w:t>
      </w:r>
      <w:r w:rsidR="00AE5C8F">
        <w:rPr>
          <w:rFonts w:ascii="CG Times" w:hAnsi="CG Times" w:cstheme="majorBidi"/>
          <w:sz w:val="28"/>
          <w:szCs w:val="28"/>
        </w:rPr>
        <w:t>T</w:t>
      </w:r>
      <w:r w:rsidR="00366471" w:rsidRPr="00986E40">
        <w:rPr>
          <w:rFonts w:ascii="CG Times" w:hAnsi="CG Times" w:cstheme="majorBidi"/>
          <w:sz w:val="28"/>
          <w:szCs w:val="28"/>
        </w:rPr>
        <w:t xml:space="preserve">rade </w:t>
      </w:r>
      <w:r w:rsidR="00AE5C8F">
        <w:rPr>
          <w:rFonts w:ascii="CG Times" w:hAnsi="CG Times" w:cstheme="majorBidi"/>
          <w:sz w:val="28"/>
          <w:szCs w:val="28"/>
        </w:rPr>
        <w:t>C</w:t>
      </w:r>
      <w:r w:rsidR="00366471" w:rsidRPr="00986E40">
        <w:rPr>
          <w:rFonts w:ascii="CG Times" w:hAnsi="CG Times" w:cstheme="majorBidi"/>
          <w:sz w:val="28"/>
          <w:szCs w:val="28"/>
        </w:rPr>
        <w:t xml:space="preserve">ommission, </w:t>
      </w:r>
      <w:r w:rsidR="00981130">
        <w:rPr>
          <w:rFonts w:ascii="CG Times" w:hAnsi="CG Times" w:cstheme="majorBidi"/>
          <w:sz w:val="28"/>
          <w:szCs w:val="28"/>
        </w:rPr>
        <w:t xml:space="preserve">as many as </w:t>
      </w:r>
      <w:r w:rsidR="00441D55">
        <w:rPr>
          <w:rFonts w:ascii="CG Times" w:hAnsi="CG Times" w:cstheme="majorBidi"/>
          <w:sz w:val="28"/>
          <w:szCs w:val="28"/>
        </w:rPr>
        <w:t>25</w:t>
      </w:r>
      <w:r w:rsidR="00441D55" w:rsidRPr="00986E40">
        <w:rPr>
          <w:rFonts w:ascii="CG Times" w:hAnsi="CG Times" w:cstheme="majorBidi"/>
          <w:sz w:val="28"/>
          <w:szCs w:val="28"/>
        </w:rPr>
        <w:t xml:space="preserve"> </w:t>
      </w:r>
      <w:r w:rsidR="00366471" w:rsidRPr="00986E40">
        <w:rPr>
          <w:rFonts w:ascii="CG Times" w:hAnsi="CG Times" w:cstheme="majorBidi"/>
          <w:sz w:val="28"/>
          <w:szCs w:val="28"/>
        </w:rPr>
        <w:t>million Americans fall prey to consumer fraud every year.</w:t>
      </w:r>
      <w:r w:rsidRPr="00986E40">
        <w:rPr>
          <w:rStyle w:val="FootnoteReference"/>
          <w:rFonts w:ascii="CG Times" w:hAnsi="CG Times" w:cstheme="majorBidi"/>
          <w:sz w:val="28"/>
          <w:szCs w:val="28"/>
        </w:rPr>
        <w:footnoteReference w:id="35"/>
      </w:r>
      <w:r w:rsidRPr="00986E40">
        <w:rPr>
          <w:rFonts w:ascii="CG Times" w:hAnsi="CG Times" w:cstheme="majorBidi"/>
          <w:sz w:val="28"/>
          <w:szCs w:val="28"/>
        </w:rPr>
        <w:t xml:space="preserve"> I</w:t>
      </w:r>
      <w:r w:rsidR="00366471" w:rsidRPr="00986E40">
        <w:rPr>
          <w:rFonts w:ascii="CG Times" w:hAnsi="CG Times" w:cstheme="majorBidi"/>
          <w:sz w:val="28"/>
          <w:szCs w:val="28"/>
        </w:rPr>
        <w:t xml:space="preserve">n many of these cases, the fine print that the defrauded consumer signs—typically without reading—contains a statement that </w:t>
      </w:r>
      <w:r w:rsidRPr="00986E40">
        <w:rPr>
          <w:rFonts w:ascii="CG Times" w:hAnsi="CG Times" w:cstheme="majorBidi"/>
          <w:sz w:val="28"/>
          <w:szCs w:val="28"/>
        </w:rPr>
        <w:t xml:space="preserve">contradicts, </w:t>
      </w:r>
      <w:r w:rsidR="00366471" w:rsidRPr="00986E40">
        <w:rPr>
          <w:rFonts w:ascii="CG Times" w:hAnsi="CG Times" w:cstheme="majorBidi"/>
          <w:sz w:val="28"/>
          <w:szCs w:val="28"/>
        </w:rPr>
        <w:t>qualifies</w:t>
      </w:r>
      <w:r w:rsidR="00AE5C8F">
        <w:rPr>
          <w:rFonts w:ascii="CG Times" w:hAnsi="CG Times" w:cstheme="majorBidi"/>
          <w:sz w:val="28"/>
          <w:szCs w:val="28"/>
        </w:rPr>
        <w:t>,</w:t>
      </w:r>
      <w:r w:rsidR="00366471" w:rsidRPr="00986E40">
        <w:rPr>
          <w:rFonts w:ascii="CG Times" w:hAnsi="CG Times" w:cstheme="majorBidi"/>
          <w:sz w:val="28"/>
          <w:szCs w:val="28"/>
        </w:rPr>
        <w:t xml:space="preserve"> or disclaims the seller’s prior representations. </w:t>
      </w:r>
      <w:r w:rsidRPr="00986E40">
        <w:rPr>
          <w:rFonts w:ascii="CG Times" w:hAnsi="CG Times" w:cstheme="majorBidi"/>
          <w:sz w:val="28"/>
          <w:szCs w:val="28"/>
        </w:rPr>
        <w:t>For example, i</w:t>
      </w:r>
      <w:r w:rsidR="00366471" w:rsidRPr="00986E40">
        <w:rPr>
          <w:rFonts w:ascii="CG Times" w:hAnsi="CG Times" w:cstheme="majorBidi"/>
          <w:sz w:val="28"/>
          <w:szCs w:val="28"/>
        </w:rPr>
        <w:t>n the context of mortgage loan agreements, loan officers often lure consumers into signing floating rate loan agreements after prom</w:t>
      </w:r>
      <w:r w:rsidRPr="00986E40">
        <w:rPr>
          <w:rFonts w:ascii="CG Times" w:hAnsi="CG Times" w:cstheme="majorBidi"/>
          <w:sz w:val="28"/>
          <w:szCs w:val="28"/>
        </w:rPr>
        <w:t>i</w:t>
      </w:r>
      <w:r w:rsidR="00366471" w:rsidRPr="00986E40">
        <w:rPr>
          <w:rFonts w:ascii="CG Times" w:hAnsi="CG Times" w:cstheme="majorBidi"/>
          <w:sz w:val="28"/>
          <w:szCs w:val="28"/>
        </w:rPr>
        <w:t>sing them that the interest on their loan is fixed</w:t>
      </w:r>
      <w:r w:rsidR="00955EB8">
        <w:rPr>
          <w:rFonts w:ascii="CG Times" w:hAnsi="CG Times" w:cstheme="majorBidi"/>
          <w:sz w:val="28"/>
          <w:szCs w:val="28"/>
        </w:rPr>
        <w:t>.</w:t>
      </w:r>
      <w:r w:rsidR="00366471" w:rsidRPr="00986E40">
        <w:rPr>
          <w:rFonts w:ascii="CG Times" w:hAnsi="CG Times" w:cstheme="majorBidi"/>
          <w:sz w:val="28"/>
          <w:szCs w:val="28"/>
        </w:rPr>
        <w:t xml:space="preserve"> </w:t>
      </w:r>
      <w:r w:rsidR="00955EB8">
        <w:rPr>
          <w:rFonts w:ascii="CG Times" w:hAnsi="CG Times" w:cstheme="majorBidi"/>
          <w:sz w:val="28"/>
          <w:szCs w:val="28"/>
        </w:rPr>
        <w:t>I</w:t>
      </w:r>
      <w:r w:rsidR="00366471" w:rsidRPr="00986E40">
        <w:rPr>
          <w:rFonts w:ascii="CG Times" w:hAnsi="CG Times" w:cstheme="majorBidi"/>
          <w:sz w:val="28"/>
          <w:szCs w:val="28"/>
        </w:rPr>
        <w:t>n the insurance context,</w:t>
      </w:r>
      <w:r w:rsidR="00955EB8">
        <w:rPr>
          <w:rFonts w:ascii="CG Times" w:hAnsi="CG Times" w:cstheme="majorBidi"/>
          <w:sz w:val="28"/>
          <w:szCs w:val="28"/>
        </w:rPr>
        <w:t xml:space="preserve"> too,</w:t>
      </w:r>
      <w:r w:rsidR="00366471" w:rsidRPr="00986E40">
        <w:rPr>
          <w:rFonts w:ascii="CG Times" w:hAnsi="CG Times" w:cstheme="majorBidi"/>
          <w:sz w:val="28"/>
          <w:szCs w:val="28"/>
        </w:rPr>
        <w:t xml:space="preserve"> </w:t>
      </w:r>
      <w:r w:rsidRPr="00986E40">
        <w:rPr>
          <w:rFonts w:ascii="CG Times" w:hAnsi="CG Times" w:cstheme="majorBidi"/>
          <w:sz w:val="28"/>
          <w:szCs w:val="28"/>
        </w:rPr>
        <w:t>homeowners</w:t>
      </w:r>
      <w:r w:rsidR="00366471" w:rsidRPr="00986E40">
        <w:rPr>
          <w:rFonts w:ascii="CG Times" w:hAnsi="CG Times" w:cstheme="majorBidi"/>
          <w:sz w:val="28"/>
          <w:szCs w:val="28"/>
        </w:rPr>
        <w:t xml:space="preserve"> are often promised that they</w:t>
      </w:r>
      <w:r w:rsidRPr="00986E40">
        <w:rPr>
          <w:rFonts w:ascii="CG Times" w:hAnsi="CG Times" w:cstheme="majorBidi"/>
          <w:sz w:val="28"/>
          <w:szCs w:val="28"/>
        </w:rPr>
        <w:t xml:space="preserve"> will</w:t>
      </w:r>
      <w:r w:rsidR="00366471" w:rsidRPr="00986E40">
        <w:rPr>
          <w:rFonts w:ascii="CG Times" w:hAnsi="CG Times" w:cstheme="majorBidi"/>
          <w:sz w:val="28"/>
          <w:szCs w:val="28"/>
        </w:rPr>
        <w:t xml:space="preserve"> receive full coverage</w:t>
      </w:r>
      <w:r w:rsidR="00955EB8">
        <w:rPr>
          <w:rFonts w:ascii="CG Times" w:hAnsi="CG Times" w:cstheme="majorBidi"/>
          <w:sz w:val="28"/>
          <w:szCs w:val="28"/>
        </w:rPr>
        <w:t xml:space="preserve">; </w:t>
      </w:r>
      <w:r w:rsidR="00366471" w:rsidRPr="00986E40">
        <w:rPr>
          <w:rFonts w:ascii="CG Times" w:hAnsi="CG Times" w:cstheme="majorBidi"/>
          <w:sz w:val="28"/>
          <w:szCs w:val="28"/>
        </w:rPr>
        <w:t>only when something bad happens do they find out that their policies only cover certain types of damages, like damage due to fire or wind.</w:t>
      </w:r>
      <w:r w:rsidRPr="00986E40">
        <w:rPr>
          <w:rStyle w:val="FootnoteReference"/>
          <w:rFonts w:ascii="CG Times" w:hAnsi="CG Times" w:cstheme="majorBidi"/>
          <w:sz w:val="28"/>
          <w:szCs w:val="28"/>
        </w:rPr>
        <w:footnoteReference w:id="36"/>
      </w:r>
      <w:r w:rsidRPr="00986E40">
        <w:rPr>
          <w:rFonts w:ascii="CG Times" w:hAnsi="CG Times" w:cstheme="majorBidi"/>
          <w:sz w:val="28"/>
          <w:szCs w:val="28"/>
        </w:rPr>
        <w:t xml:space="preserve"> </w:t>
      </w:r>
      <w:r w:rsidR="00366471" w:rsidRPr="00986E40">
        <w:rPr>
          <w:rFonts w:ascii="CG Times" w:hAnsi="CG Times" w:cstheme="majorBidi"/>
          <w:sz w:val="28"/>
          <w:szCs w:val="28"/>
        </w:rPr>
        <w:t>I</w:t>
      </w:r>
      <w:r w:rsidRPr="00986E40">
        <w:rPr>
          <w:rFonts w:ascii="CG Times" w:hAnsi="CG Times" w:cstheme="majorBidi"/>
          <w:sz w:val="28"/>
          <w:szCs w:val="28"/>
        </w:rPr>
        <w:t xml:space="preserve"> am</w:t>
      </w:r>
      <w:r w:rsidR="00366471" w:rsidRPr="00986E40">
        <w:rPr>
          <w:rFonts w:ascii="CG Times" w:hAnsi="CG Times" w:cstheme="majorBidi"/>
          <w:sz w:val="28"/>
          <w:szCs w:val="28"/>
        </w:rPr>
        <w:t xml:space="preserve"> guessing that</w:t>
      </w:r>
      <w:r w:rsidRPr="00986E40">
        <w:rPr>
          <w:rFonts w:ascii="CG Times" w:hAnsi="CG Times" w:cstheme="majorBidi"/>
          <w:sz w:val="28"/>
          <w:szCs w:val="28"/>
        </w:rPr>
        <w:t xml:space="preserve"> many of you have, at a certain point in time, made a purchase while</w:t>
      </w:r>
      <w:r w:rsidR="00366471" w:rsidRPr="00986E40">
        <w:rPr>
          <w:rFonts w:ascii="CG Times" w:hAnsi="CG Times" w:cstheme="majorBidi"/>
          <w:sz w:val="28"/>
          <w:szCs w:val="28"/>
        </w:rPr>
        <w:t xml:space="preserve"> relying </w:t>
      </w:r>
      <w:r w:rsidR="00955EB8">
        <w:rPr>
          <w:rFonts w:ascii="CG Times" w:hAnsi="CG Times" w:cstheme="majorBidi"/>
          <w:sz w:val="28"/>
          <w:szCs w:val="28"/>
        </w:rPr>
        <w:t>up</w:t>
      </w:r>
      <w:r w:rsidR="00366471" w:rsidRPr="00986E40">
        <w:rPr>
          <w:rFonts w:ascii="CG Times" w:hAnsi="CG Times" w:cstheme="majorBidi"/>
          <w:sz w:val="28"/>
          <w:szCs w:val="28"/>
        </w:rPr>
        <w:t xml:space="preserve">on a written advertisement or on the </w:t>
      </w:r>
      <w:r w:rsidRPr="00986E40">
        <w:rPr>
          <w:rFonts w:ascii="CG Times" w:hAnsi="CG Times" w:cstheme="majorBidi"/>
          <w:sz w:val="28"/>
          <w:szCs w:val="28"/>
        </w:rPr>
        <w:t>salesperson’s</w:t>
      </w:r>
      <w:r w:rsidR="00366471" w:rsidRPr="00986E40">
        <w:rPr>
          <w:rFonts w:ascii="CG Times" w:hAnsi="CG Times" w:cstheme="majorBidi"/>
          <w:sz w:val="28"/>
          <w:szCs w:val="28"/>
        </w:rPr>
        <w:t xml:space="preserve"> statements, </w:t>
      </w:r>
      <w:r w:rsidRPr="00986E40">
        <w:rPr>
          <w:rFonts w:ascii="CG Times" w:hAnsi="CG Times" w:cstheme="majorBidi"/>
          <w:sz w:val="28"/>
          <w:szCs w:val="28"/>
        </w:rPr>
        <w:t xml:space="preserve">only to </w:t>
      </w:r>
      <w:r w:rsidR="00366471" w:rsidRPr="00986E40">
        <w:rPr>
          <w:rFonts w:ascii="CG Times" w:hAnsi="CG Times" w:cstheme="majorBidi"/>
          <w:sz w:val="28"/>
          <w:szCs w:val="28"/>
        </w:rPr>
        <w:t xml:space="preserve">end up with a product </w:t>
      </w:r>
      <w:r w:rsidRPr="00986E40">
        <w:rPr>
          <w:rFonts w:ascii="CG Times" w:hAnsi="CG Times" w:cstheme="majorBidi"/>
          <w:sz w:val="28"/>
          <w:szCs w:val="28"/>
        </w:rPr>
        <w:t>materially</w:t>
      </w:r>
      <w:r w:rsidR="00366471" w:rsidRPr="00986E40">
        <w:rPr>
          <w:rFonts w:ascii="CG Times" w:hAnsi="CG Times" w:cstheme="majorBidi"/>
          <w:sz w:val="28"/>
          <w:szCs w:val="28"/>
        </w:rPr>
        <w:t xml:space="preserve"> different </w:t>
      </w:r>
      <w:r w:rsidR="00955EB8">
        <w:rPr>
          <w:rFonts w:ascii="CG Times" w:hAnsi="CG Times" w:cstheme="majorBidi"/>
          <w:sz w:val="28"/>
          <w:szCs w:val="28"/>
        </w:rPr>
        <w:t>from</w:t>
      </w:r>
      <w:r w:rsidR="00955EB8" w:rsidRPr="00986E40">
        <w:rPr>
          <w:rFonts w:ascii="CG Times" w:hAnsi="CG Times" w:cstheme="majorBidi"/>
          <w:sz w:val="28"/>
          <w:szCs w:val="28"/>
        </w:rPr>
        <w:t xml:space="preserve"> </w:t>
      </w:r>
      <w:r w:rsidR="00366471" w:rsidRPr="00986E40">
        <w:rPr>
          <w:rFonts w:ascii="CG Times" w:hAnsi="CG Times" w:cstheme="majorBidi"/>
          <w:sz w:val="28"/>
          <w:szCs w:val="28"/>
        </w:rPr>
        <w:t xml:space="preserve">what </w:t>
      </w:r>
      <w:r w:rsidRPr="00986E40">
        <w:rPr>
          <w:rFonts w:ascii="CG Times" w:hAnsi="CG Times" w:cstheme="majorBidi"/>
          <w:sz w:val="28"/>
          <w:szCs w:val="28"/>
        </w:rPr>
        <w:t>you were</w:t>
      </w:r>
      <w:r w:rsidR="00366471" w:rsidRPr="00986E40">
        <w:rPr>
          <w:rFonts w:ascii="CG Times" w:hAnsi="CG Times" w:cstheme="majorBidi"/>
          <w:sz w:val="28"/>
          <w:szCs w:val="28"/>
        </w:rPr>
        <w:t xml:space="preserve"> promised </w:t>
      </w:r>
      <w:r w:rsidRPr="00986E40">
        <w:rPr>
          <w:rFonts w:ascii="CG Times" w:hAnsi="CG Times" w:cstheme="majorBidi"/>
          <w:sz w:val="28"/>
          <w:szCs w:val="28"/>
        </w:rPr>
        <w:t>and had in mind.</w:t>
      </w:r>
    </w:p>
    <w:p w14:paraId="1E763EE3" w14:textId="4BD4CE54" w:rsidR="00366471" w:rsidRPr="00986E40" w:rsidRDefault="00966908" w:rsidP="00966908">
      <w:pPr>
        <w:ind w:firstLine="720"/>
        <w:jc w:val="both"/>
        <w:rPr>
          <w:rFonts w:ascii="CG Times" w:hAnsi="CG Times" w:cstheme="majorBidi"/>
          <w:sz w:val="28"/>
          <w:szCs w:val="28"/>
        </w:rPr>
      </w:pPr>
      <w:r w:rsidRPr="00986E40">
        <w:rPr>
          <w:rFonts w:ascii="CG Times" w:hAnsi="CG Times" w:cstheme="majorBidi"/>
          <w:sz w:val="28"/>
          <w:szCs w:val="28"/>
        </w:rPr>
        <w:t xml:space="preserve">By </w:t>
      </w:r>
      <w:r w:rsidR="00366471" w:rsidRPr="00986E40">
        <w:rPr>
          <w:rFonts w:ascii="CG Times" w:hAnsi="CG Times" w:cstheme="majorBidi"/>
          <w:sz w:val="28"/>
          <w:szCs w:val="28"/>
        </w:rPr>
        <w:t xml:space="preserve">now I </w:t>
      </w:r>
      <w:r w:rsidRPr="00986E40">
        <w:rPr>
          <w:rFonts w:ascii="CG Times" w:hAnsi="CG Times" w:cstheme="majorBidi"/>
          <w:sz w:val="28"/>
          <w:szCs w:val="28"/>
        </w:rPr>
        <w:t>hopefully</w:t>
      </w:r>
      <w:r w:rsidR="00366471" w:rsidRPr="00986E40">
        <w:rPr>
          <w:rFonts w:ascii="CG Times" w:hAnsi="CG Times" w:cstheme="majorBidi"/>
          <w:sz w:val="28"/>
          <w:szCs w:val="28"/>
        </w:rPr>
        <w:t xml:space="preserve"> </w:t>
      </w:r>
      <w:r w:rsidRPr="00986E40">
        <w:rPr>
          <w:rFonts w:ascii="CG Times" w:hAnsi="CG Times" w:cstheme="majorBidi"/>
          <w:sz w:val="28"/>
          <w:szCs w:val="28"/>
        </w:rPr>
        <w:t>do not</w:t>
      </w:r>
      <w:r w:rsidR="00366471" w:rsidRPr="00986E40">
        <w:rPr>
          <w:rFonts w:ascii="CG Times" w:hAnsi="CG Times" w:cstheme="majorBidi"/>
          <w:sz w:val="28"/>
          <w:szCs w:val="28"/>
        </w:rPr>
        <w:t xml:space="preserve"> need to convince you that </w:t>
      </w:r>
      <w:r w:rsidRPr="00986E40">
        <w:rPr>
          <w:rFonts w:ascii="CG Times" w:hAnsi="CG Times" w:cstheme="majorBidi"/>
          <w:sz w:val="28"/>
          <w:szCs w:val="28"/>
        </w:rPr>
        <w:t>fraud</w:t>
      </w:r>
      <w:r w:rsidR="00366471" w:rsidRPr="00986E40">
        <w:rPr>
          <w:rFonts w:ascii="CG Times" w:hAnsi="CG Times" w:cstheme="majorBidi"/>
          <w:sz w:val="28"/>
          <w:szCs w:val="28"/>
        </w:rPr>
        <w:t xml:space="preserve"> </w:t>
      </w:r>
      <w:r w:rsidRPr="00986E40">
        <w:rPr>
          <w:rFonts w:ascii="CG Times" w:hAnsi="CG Times" w:cstheme="majorBidi"/>
          <w:sz w:val="28"/>
          <w:szCs w:val="28"/>
        </w:rPr>
        <w:t>and fine print practices are</w:t>
      </w:r>
      <w:r w:rsidR="00366471" w:rsidRPr="00986E40">
        <w:rPr>
          <w:rFonts w:ascii="CG Times" w:hAnsi="CG Times" w:cstheme="majorBidi"/>
          <w:sz w:val="28"/>
          <w:szCs w:val="28"/>
        </w:rPr>
        <w:t xml:space="preserve"> bad. In fact, </w:t>
      </w:r>
      <w:r w:rsidRPr="00986E40">
        <w:rPr>
          <w:rFonts w:ascii="CG Times" w:hAnsi="CG Times" w:cstheme="majorBidi"/>
          <w:sz w:val="28"/>
          <w:szCs w:val="28"/>
        </w:rPr>
        <w:t>they are</w:t>
      </w:r>
      <w:r w:rsidR="00366471" w:rsidRPr="00986E40">
        <w:rPr>
          <w:rFonts w:ascii="CG Times" w:hAnsi="CG Times" w:cstheme="majorBidi"/>
          <w:sz w:val="28"/>
          <w:szCs w:val="28"/>
        </w:rPr>
        <w:t xml:space="preserve"> not only harmful to consumers, but </w:t>
      </w:r>
      <w:r w:rsidRPr="00986E40">
        <w:rPr>
          <w:rFonts w:ascii="CG Times" w:hAnsi="CG Times" w:cstheme="majorBidi"/>
          <w:sz w:val="28"/>
          <w:szCs w:val="28"/>
        </w:rPr>
        <w:t xml:space="preserve">might </w:t>
      </w:r>
      <w:r w:rsidR="00366471" w:rsidRPr="00986E40">
        <w:rPr>
          <w:rFonts w:ascii="CG Times" w:hAnsi="CG Times" w:cstheme="majorBidi"/>
          <w:sz w:val="28"/>
          <w:szCs w:val="28"/>
        </w:rPr>
        <w:t xml:space="preserve">also </w:t>
      </w:r>
      <w:r w:rsidRPr="00986E40">
        <w:rPr>
          <w:rFonts w:ascii="CG Times" w:hAnsi="CG Times" w:cstheme="majorBidi"/>
          <w:sz w:val="28"/>
          <w:szCs w:val="28"/>
        </w:rPr>
        <w:t xml:space="preserve">harm </w:t>
      </w:r>
      <w:r w:rsidR="00366471" w:rsidRPr="00986E40">
        <w:rPr>
          <w:rFonts w:ascii="CG Times" w:hAnsi="CG Times" w:cstheme="majorBidi"/>
          <w:sz w:val="28"/>
          <w:szCs w:val="28"/>
        </w:rPr>
        <w:t>the aggregate welfare. From an economic perspective, efficient markets require that consumers only enter those transactions that make them better off, and for that to happen</w:t>
      </w:r>
      <w:r w:rsidRPr="00986E40">
        <w:rPr>
          <w:rFonts w:ascii="CG Times" w:hAnsi="CG Times" w:cstheme="majorBidi"/>
          <w:sz w:val="28"/>
          <w:szCs w:val="28"/>
        </w:rPr>
        <w:t>,</w:t>
      </w:r>
      <w:r w:rsidR="00366471" w:rsidRPr="00986E40">
        <w:rPr>
          <w:rFonts w:ascii="CG Times" w:hAnsi="CG Times" w:cstheme="majorBidi"/>
          <w:sz w:val="28"/>
          <w:szCs w:val="28"/>
        </w:rPr>
        <w:t xml:space="preserve"> consumers need accurate </w:t>
      </w:r>
      <w:r w:rsidRPr="00986E40">
        <w:rPr>
          <w:rFonts w:ascii="CG Times" w:hAnsi="CG Times" w:cstheme="majorBidi"/>
          <w:sz w:val="28"/>
          <w:szCs w:val="28"/>
        </w:rPr>
        <w:t>information</w:t>
      </w:r>
      <w:r w:rsidR="00366471" w:rsidRPr="00986E40">
        <w:rPr>
          <w:rFonts w:ascii="CG Times" w:hAnsi="CG Times" w:cstheme="majorBidi"/>
          <w:sz w:val="28"/>
          <w:szCs w:val="28"/>
        </w:rPr>
        <w:t>.</w:t>
      </w:r>
      <w:r w:rsidRPr="00986E40">
        <w:rPr>
          <w:rStyle w:val="FootnoteReference"/>
          <w:rFonts w:ascii="CG Times" w:hAnsi="CG Times" w:cstheme="majorBidi"/>
          <w:sz w:val="28"/>
          <w:szCs w:val="28"/>
        </w:rPr>
        <w:footnoteReference w:id="37"/>
      </w:r>
      <w:r w:rsidR="00366471" w:rsidRPr="00986E40">
        <w:rPr>
          <w:rFonts w:ascii="CG Times" w:hAnsi="CG Times" w:cstheme="majorBidi"/>
          <w:sz w:val="28"/>
          <w:szCs w:val="28"/>
        </w:rPr>
        <w:t xml:space="preserve"> </w:t>
      </w:r>
    </w:p>
    <w:p w14:paraId="39575AA4" w14:textId="62E1303E" w:rsidR="00366471" w:rsidRPr="00986E40" w:rsidRDefault="00366471" w:rsidP="00ED460C">
      <w:pPr>
        <w:jc w:val="both"/>
        <w:rPr>
          <w:rFonts w:ascii="CG Times" w:hAnsi="CG Times" w:cstheme="majorBidi"/>
          <w:sz w:val="28"/>
          <w:szCs w:val="28"/>
        </w:rPr>
      </w:pPr>
      <w:r w:rsidRPr="00986E40">
        <w:rPr>
          <w:rFonts w:ascii="CG Times" w:hAnsi="CG Times" w:cstheme="majorBidi"/>
          <w:sz w:val="28"/>
          <w:szCs w:val="28"/>
        </w:rPr>
        <w:t xml:space="preserve"> </w:t>
      </w:r>
      <w:r w:rsidR="00ED460C" w:rsidRPr="00986E40">
        <w:rPr>
          <w:rFonts w:ascii="CG Times" w:hAnsi="CG Times" w:cstheme="majorBidi"/>
          <w:sz w:val="28"/>
          <w:szCs w:val="28"/>
        </w:rPr>
        <w:tab/>
      </w:r>
      <w:r w:rsidRPr="00986E40">
        <w:rPr>
          <w:rFonts w:ascii="CG Times" w:hAnsi="CG Times" w:cstheme="majorBidi"/>
          <w:sz w:val="28"/>
          <w:szCs w:val="28"/>
        </w:rPr>
        <w:t>Because of the social costs associated with these practices, it is not surprising that all jurisdictions in the U.S. have adopted a firm anti-deception approach. The common</w:t>
      </w:r>
      <w:r w:rsidR="0076400C">
        <w:rPr>
          <w:rFonts w:ascii="CG Times" w:hAnsi="CG Times" w:cstheme="majorBidi"/>
          <w:sz w:val="28"/>
          <w:szCs w:val="28"/>
        </w:rPr>
        <w:t>-</w:t>
      </w:r>
      <w:r w:rsidRPr="00986E40">
        <w:rPr>
          <w:rFonts w:ascii="CG Times" w:hAnsi="CG Times" w:cstheme="majorBidi"/>
          <w:sz w:val="28"/>
          <w:szCs w:val="28"/>
        </w:rPr>
        <w:t>law doctrine of fraud</w:t>
      </w:r>
      <w:r w:rsidRPr="00986E40">
        <w:rPr>
          <w:rFonts w:ascii="CG Times" w:hAnsi="CG Times" w:cstheme="majorBidi"/>
          <w:b/>
          <w:bCs/>
          <w:sz w:val="28"/>
          <w:szCs w:val="28"/>
        </w:rPr>
        <w:t xml:space="preserve"> </w:t>
      </w:r>
      <w:r w:rsidRPr="00986E40">
        <w:rPr>
          <w:rFonts w:ascii="CG Times" w:hAnsi="CG Times" w:cstheme="majorBidi"/>
          <w:sz w:val="28"/>
          <w:szCs w:val="28"/>
        </w:rPr>
        <w:t>allows consumers to void a contract or term that conflicts with a seller’s fraudulent representation.</w:t>
      </w:r>
      <w:r w:rsidR="00BB2F40">
        <w:rPr>
          <w:rStyle w:val="FootnoteReference"/>
          <w:rFonts w:ascii="CG Times" w:hAnsi="CG Times" w:cstheme="majorBidi"/>
          <w:sz w:val="28"/>
          <w:szCs w:val="28"/>
        </w:rPr>
        <w:footnoteReference w:id="38"/>
      </w:r>
      <w:r w:rsidRPr="00986E40">
        <w:rPr>
          <w:rFonts w:ascii="CG Times" w:hAnsi="CG Times" w:cstheme="majorBidi"/>
          <w:sz w:val="28"/>
          <w:szCs w:val="28"/>
        </w:rPr>
        <w:t xml:space="preserve"> But also beyond contract law, all </w:t>
      </w:r>
      <w:r w:rsidR="00ED460C" w:rsidRPr="00986E40">
        <w:rPr>
          <w:rFonts w:ascii="CG Times" w:hAnsi="CG Times" w:cstheme="majorBidi"/>
          <w:sz w:val="28"/>
          <w:szCs w:val="28"/>
        </w:rPr>
        <w:t>fifty</w:t>
      </w:r>
      <w:r w:rsidRPr="00986E40">
        <w:rPr>
          <w:rFonts w:ascii="CG Times" w:hAnsi="CG Times" w:cstheme="majorBidi"/>
          <w:sz w:val="28"/>
          <w:szCs w:val="28"/>
        </w:rPr>
        <w:t xml:space="preserve"> states have adopted consumer protection statutes (or UDAPS) that have even looser r</w:t>
      </w:r>
      <w:r w:rsidR="00ED460C" w:rsidRPr="00986E40">
        <w:rPr>
          <w:rFonts w:ascii="CG Times" w:hAnsi="CG Times" w:cstheme="majorBidi"/>
          <w:sz w:val="28"/>
          <w:szCs w:val="28"/>
        </w:rPr>
        <w:t>equirements for proving fraud.</w:t>
      </w:r>
      <w:r w:rsidR="00ED460C" w:rsidRPr="00986E40">
        <w:rPr>
          <w:rStyle w:val="FootnoteReference"/>
          <w:rFonts w:ascii="CG Times" w:hAnsi="CG Times" w:cstheme="majorBidi"/>
          <w:sz w:val="28"/>
          <w:szCs w:val="28"/>
        </w:rPr>
        <w:footnoteReference w:id="39"/>
      </w:r>
      <w:r w:rsidR="00ED460C" w:rsidRPr="00986E40">
        <w:rPr>
          <w:rFonts w:ascii="CG Times" w:hAnsi="CG Times" w:cstheme="majorBidi"/>
          <w:sz w:val="28"/>
          <w:szCs w:val="28"/>
        </w:rPr>
        <w:t xml:space="preserve"> F</w:t>
      </w:r>
      <w:r w:rsidRPr="00986E40">
        <w:rPr>
          <w:rFonts w:ascii="CG Times" w:hAnsi="CG Times" w:cstheme="majorBidi"/>
          <w:sz w:val="28"/>
          <w:szCs w:val="28"/>
        </w:rPr>
        <w:t>inally, the Draft Restatement of Consumer Contracts calls to deem any standard contract term inconsistent with a company’s prior representation as presumptively deceptive, and to render it voidable without having to prove reliance</w:t>
      </w:r>
      <w:r w:rsidRPr="00986E40">
        <w:rPr>
          <w:rFonts w:ascii="CG Times" w:hAnsi="CG Times" w:cstheme="majorBidi"/>
          <w:i/>
          <w:iCs/>
          <w:sz w:val="28"/>
          <w:szCs w:val="28"/>
        </w:rPr>
        <w:t>.</w:t>
      </w:r>
      <w:r w:rsidR="00ED460C" w:rsidRPr="007F2674">
        <w:rPr>
          <w:rStyle w:val="FootnoteReference"/>
          <w:rFonts w:ascii="CG Times" w:hAnsi="CG Times" w:cstheme="majorBidi"/>
          <w:iCs/>
          <w:sz w:val="28"/>
          <w:szCs w:val="28"/>
        </w:rPr>
        <w:footnoteReference w:id="40"/>
      </w:r>
      <w:r w:rsidR="00ED460C" w:rsidRPr="00986E40">
        <w:rPr>
          <w:rFonts w:ascii="CG Times" w:hAnsi="CG Times" w:cstheme="majorBidi"/>
          <w:sz w:val="28"/>
          <w:szCs w:val="28"/>
        </w:rPr>
        <w:t xml:space="preserve"> </w:t>
      </w:r>
      <w:r w:rsidR="00B8080E">
        <w:rPr>
          <w:rFonts w:ascii="CG Times" w:hAnsi="CG Times" w:cstheme="majorBidi"/>
          <w:sz w:val="28"/>
          <w:szCs w:val="28"/>
        </w:rPr>
        <w:t>Thus,</w:t>
      </w:r>
      <w:r w:rsidRPr="00986E40">
        <w:rPr>
          <w:rFonts w:ascii="CG Times" w:hAnsi="CG Times" w:cstheme="majorBidi"/>
          <w:sz w:val="28"/>
          <w:szCs w:val="28"/>
        </w:rPr>
        <w:t xml:space="preserve"> consumers are not barred from bringing a fraud claim on the basis that their contract conflicts wi</w:t>
      </w:r>
      <w:r w:rsidR="00ED460C" w:rsidRPr="00986E40">
        <w:rPr>
          <w:rFonts w:ascii="CG Times" w:hAnsi="CG Times" w:cstheme="majorBidi"/>
          <w:sz w:val="28"/>
          <w:szCs w:val="28"/>
        </w:rPr>
        <w:t xml:space="preserve">th the seller’s prior statement, </w:t>
      </w:r>
      <w:r w:rsidR="00B8080E">
        <w:rPr>
          <w:rFonts w:ascii="CG Times" w:hAnsi="CG Times" w:cstheme="majorBidi"/>
          <w:sz w:val="28"/>
          <w:szCs w:val="28"/>
        </w:rPr>
        <w:t>because</w:t>
      </w:r>
      <w:r w:rsidRPr="00986E40">
        <w:rPr>
          <w:rFonts w:ascii="CG Times" w:hAnsi="CG Times" w:cstheme="majorBidi"/>
          <w:sz w:val="28"/>
          <w:szCs w:val="28"/>
        </w:rPr>
        <w:t xml:space="preserve"> if we </w:t>
      </w:r>
      <w:r w:rsidR="00ED460C" w:rsidRPr="00986E40">
        <w:rPr>
          <w:rFonts w:ascii="CG Times" w:hAnsi="CG Times" w:cstheme="majorBidi"/>
          <w:sz w:val="28"/>
          <w:szCs w:val="28"/>
        </w:rPr>
        <w:t xml:space="preserve">barred consumer claims in </w:t>
      </w:r>
      <w:r w:rsidRPr="00986E40">
        <w:rPr>
          <w:rFonts w:ascii="CG Times" w:hAnsi="CG Times" w:cstheme="majorBidi"/>
          <w:sz w:val="28"/>
          <w:szCs w:val="28"/>
        </w:rPr>
        <w:t>fraud and fine print cases</w:t>
      </w:r>
      <w:r w:rsidR="00ED460C" w:rsidRPr="00986E40">
        <w:rPr>
          <w:rFonts w:ascii="CG Times" w:hAnsi="CG Times" w:cstheme="majorBidi"/>
          <w:sz w:val="28"/>
          <w:szCs w:val="28"/>
        </w:rPr>
        <w:t xml:space="preserve">, </w:t>
      </w:r>
      <w:r w:rsidRPr="00986E40">
        <w:rPr>
          <w:rFonts w:ascii="CG Times" w:hAnsi="CG Times" w:cstheme="majorBidi"/>
          <w:sz w:val="28"/>
          <w:szCs w:val="28"/>
        </w:rPr>
        <w:t xml:space="preserve">we </w:t>
      </w:r>
      <w:r w:rsidR="00ED460C" w:rsidRPr="00986E40">
        <w:rPr>
          <w:rFonts w:ascii="CG Times" w:hAnsi="CG Times" w:cstheme="majorBidi"/>
          <w:sz w:val="28"/>
          <w:szCs w:val="28"/>
        </w:rPr>
        <w:t>would</w:t>
      </w:r>
      <w:r w:rsidR="00B8080E">
        <w:rPr>
          <w:rFonts w:ascii="CG Times" w:hAnsi="CG Times" w:cstheme="majorBidi"/>
          <w:sz w:val="28"/>
          <w:szCs w:val="28"/>
        </w:rPr>
        <w:t xml:space="preserve"> effectively be granting</w:t>
      </w:r>
      <w:r w:rsidRPr="00986E40">
        <w:rPr>
          <w:rFonts w:ascii="CG Times" w:hAnsi="CG Times" w:cstheme="majorBidi"/>
          <w:sz w:val="28"/>
          <w:szCs w:val="28"/>
        </w:rPr>
        <w:t xml:space="preserve"> sellers a license to deceive consumers.</w:t>
      </w:r>
      <w:r w:rsidR="00ED460C" w:rsidRPr="00986E40">
        <w:rPr>
          <w:rStyle w:val="FootnoteReference"/>
          <w:rFonts w:ascii="CG Times" w:hAnsi="CG Times" w:cstheme="majorBidi"/>
          <w:sz w:val="28"/>
          <w:szCs w:val="28"/>
        </w:rPr>
        <w:footnoteReference w:id="41"/>
      </w:r>
      <w:r w:rsidR="00ED460C" w:rsidRPr="00986E40">
        <w:rPr>
          <w:rFonts w:ascii="CG Times" w:hAnsi="CG Times" w:cstheme="majorBidi"/>
          <w:sz w:val="28"/>
          <w:szCs w:val="28"/>
        </w:rPr>
        <w:t xml:space="preserve"> Or</w:t>
      </w:r>
      <w:r w:rsidR="00B8080E">
        <w:rPr>
          <w:rFonts w:ascii="CG Times" w:hAnsi="CG Times" w:cstheme="majorBidi"/>
          <w:sz w:val="28"/>
          <w:szCs w:val="28"/>
        </w:rPr>
        <w:t>,</w:t>
      </w:r>
      <w:r w:rsidR="00ED460C" w:rsidRPr="00986E40">
        <w:rPr>
          <w:rFonts w:ascii="CG Times" w:hAnsi="CG Times" w:cstheme="majorBidi"/>
          <w:sz w:val="28"/>
          <w:szCs w:val="28"/>
        </w:rPr>
        <w:t xml:space="preserve"> as </w:t>
      </w:r>
      <w:r w:rsidR="00ED460C" w:rsidRPr="0037488F">
        <w:rPr>
          <w:rFonts w:ascii="CG Times" w:hAnsi="CG Times" w:cstheme="majorBidi"/>
          <w:sz w:val="28"/>
          <w:szCs w:val="28"/>
        </w:rPr>
        <w:t xml:space="preserve">the </w:t>
      </w:r>
      <w:r w:rsidR="00C37889" w:rsidRPr="007F2674">
        <w:rPr>
          <w:rFonts w:ascii="CG Times" w:hAnsi="CG Times" w:cstheme="majorBidi"/>
          <w:sz w:val="28"/>
          <w:szCs w:val="28"/>
        </w:rPr>
        <w:t xml:space="preserve">Supreme Court of </w:t>
      </w:r>
      <w:r w:rsidR="00ED460C" w:rsidRPr="0037488F">
        <w:rPr>
          <w:rFonts w:ascii="CG Times" w:hAnsi="CG Times" w:cstheme="majorBidi"/>
          <w:sz w:val="28"/>
          <w:szCs w:val="28"/>
        </w:rPr>
        <w:t xml:space="preserve">Wyoming noted in </w:t>
      </w:r>
      <w:r w:rsidR="00C37889" w:rsidRPr="007F2674">
        <w:rPr>
          <w:rFonts w:ascii="CG Times" w:hAnsi="CG Times" w:cstheme="majorBidi"/>
          <w:i/>
          <w:sz w:val="28"/>
          <w:szCs w:val="28"/>
        </w:rPr>
        <w:t>Snyder v. Lovercheck</w:t>
      </w:r>
      <w:r w:rsidRPr="0037488F">
        <w:rPr>
          <w:rFonts w:ascii="CG Times" w:hAnsi="CG Times" w:cstheme="majorBidi"/>
          <w:sz w:val="28"/>
          <w:szCs w:val="28"/>
        </w:rPr>
        <w:t>, “[a] per</w:t>
      </w:r>
      <w:r w:rsidRPr="00986E40">
        <w:rPr>
          <w:rFonts w:ascii="CG Times" w:hAnsi="CG Times" w:cstheme="majorBidi"/>
          <w:sz w:val="28"/>
          <w:szCs w:val="28"/>
        </w:rPr>
        <w:t>petrator of fraud cannot close the lips of his innocent victim by getting him blindly to agree in advance not to complain against it.”</w:t>
      </w:r>
      <w:r w:rsidR="00ED460C" w:rsidRPr="00986E40">
        <w:rPr>
          <w:rStyle w:val="FootnoteReference"/>
          <w:rFonts w:ascii="CG Times" w:hAnsi="CG Times" w:cstheme="majorBidi"/>
          <w:sz w:val="28"/>
          <w:szCs w:val="28"/>
        </w:rPr>
        <w:footnoteReference w:id="42"/>
      </w:r>
      <w:r w:rsidRPr="00986E40">
        <w:rPr>
          <w:rFonts w:ascii="CG Times" w:hAnsi="CG Times" w:cstheme="majorBidi"/>
          <w:sz w:val="28"/>
          <w:szCs w:val="28"/>
        </w:rPr>
        <w:t xml:space="preserve"> </w:t>
      </w:r>
    </w:p>
    <w:p w14:paraId="673D06B0" w14:textId="643E38DD" w:rsidR="00366471" w:rsidRPr="00986E40" w:rsidRDefault="00ED460C" w:rsidP="008454A0">
      <w:pPr>
        <w:ind w:firstLine="720"/>
        <w:jc w:val="both"/>
        <w:rPr>
          <w:rFonts w:ascii="CG Times" w:hAnsi="CG Times" w:cstheme="majorBidi"/>
          <w:sz w:val="28"/>
          <w:szCs w:val="28"/>
        </w:rPr>
      </w:pPr>
      <w:r w:rsidRPr="00986E40">
        <w:rPr>
          <w:rFonts w:ascii="CG Times" w:hAnsi="CG Times" w:cstheme="majorBidi"/>
          <w:sz w:val="28"/>
          <w:szCs w:val="28"/>
        </w:rPr>
        <w:t xml:space="preserve">This </w:t>
      </w:r>
      <w:r w:rsidR="00694B12" w:rsidRPr="00986E40">
        <w:rPr>
          <w:rFonts w:ascii="CG Times" w:hAnsi="CG Times" w:cstheme="majorBidi"/>
          <w:sz w:val="28"/>
          <w:szCs w:val="28"/>
        </w:rPr>
        <w:t>hostile approach towards fraud and fine print</w:t>
      </w:r>
      <w:r w:rsidR="00366471" w:rsidRPr="00986E40">
        <w:rPr>
          <w:rFonts w:ascii="CG Times" w:hAnsi="CG Times" w:cstheme="majorBidi"/>
          <w:sz w:val="28"/>
          <w:szCs w:val="28"/>
        </w:rPr>
        <w:t xml:space="preserve"> cases is supposed to protect consumers, but </w:t>
      </w:r>
      <w:r w:rsidR="00694B12" w:rsidRPr="00986E40">
        <w:rPr>
          <w:rFonts w:ascii="CG Times" w:hAnsi="CG Times" w:cstheme="majorBidi"/>
          <w:sz w:val="28"/>
          <w:szCs w:val="28"/>
        </w:rPr>
        <w:t>Sommers and I</w:t>
      </w:r>
      <w:r w:rsidR="00366471" w:rsidRPr="00986E40">
        <w:rPr>
          <w:rFonts w:ascii="CG Times" w:hAnsi="CG Times" w:cstheme="majorBidi"/>
          <w:sz w:val="28"/>
          <w:szCs w:val="28"/>
        </w:rPr>
        <w:t xml:space="preserve"> </w:t>
      </w:r>
      <w:r w:rsidR="00EE6EE4">
        <w:rPr>
          <w:rFonts w:ascii="CG Times" w:hAnsi="CG Times" w:cstheme="majorBidi"/>
          <w:sz w:val="28"/>
          <w:szCs w:val="28"/>
        </w:rPr>
        <w:t>feared</w:t>
      </w:r>
      <w:r w:rsidR="00366471" w:rsidRPr="00986E40">
        <w:rPr>
          <w:rFonts w:ascii="CG Times" w:hAnsi="CG Times" w:cstheme="majorBidi"/>
          <w:sz w:val="28"/>
          <w:szCs w:val="28"/>
        </w:rPr>
        <w:t xml:space="preserve"> that these regulatory measures might fail to achieve their intended effect, because all of these measures rely on consumers to take actio</w:t>
      </w:r>
      <w:r w:rsidR="00694B12" w:rsidRPr="00986E40">
        <w:rPr>
          <w:rFonts w:ascii="CG Times" w:hAnsi="CG Times" w:cstheme="majorBidi"/>
          <w:sz w:val="28"/>
          <w:szCs w:val="28"/>
        </w:rPr>
        <w:t>n against the deceptive company</w:t>
      </w:r>
      <w:r w:rsidR="00EE6EE4">
        <w:rPr>
          <w:rFonts w:ascii="CG Times" w:hAnsi="CG Times" w:cstheme="majorBidi"/>
          <w:sz w:val="28"/>
          <w:szCs w:val="28"/>
        </w:rPr>
        <w:t>;</w:t>
      </w:r>
      <w:r w:rsidR="00694B12" w:rsidRPr="00986E40">
        <w:rPr>
          <w:rFonts w:ascii="CG Times" w:hAnsi="CG Times" w:cstheme="majorBidi"/>
          <w:sz w:val="28"/>
          <w:szCs w:val="28"/>
        </w:rPr>
        <w:t xml:space="preserve"> a</w:t>
      </w:r>
      <w:r w:rsidR="00366471" w:rsidRPr="00986E40">
        <w:rPr>
          <w:rFonts w:ascii="CG Times" w:hAnsi="CG Times" w:cstheme="majorBidi"/>
          <w:sz w:val="28"/>
          <w:szCs w:val="28"/>
        </w:rPr>
        <w:t xml:space="preserve">nd we </w:t>
      </w:r>
      <w:r w:rsidR="00694B12" w:rsidRPr="00986E40">
        <w:rPr>
          <w:rFonts w:ascii="CG Times" w:hAnsi="CG Times" w:cstheme="majorBidi"/>
          <w:sz w:val="28"/>
          <w:szCs w:val="28"/>
        </w:rPr>
        <w:t>hypothesized</w:t>
      </w:r>
      <w:r w:rsidR="00366471" w:rsidRPr="00986E40">
        <w:rPr>
          <w:rFonts w:ascii="CG Times" w:hAnsi="CG Times" w:cstheme="majorBidi"/>
          <w:sz w:val="28"/>
          <w:szCs w:val="28"/>
        </w:rPr>
        <w:t xml:space="preserve"> that consumer psychology </w:t>
      </w:r>
      <w:r w:rsidR="00694B12" w:rsidRPr="00986E40">
        <w:rPr>
          <w:rFonts w:ascii="CG Times" w:hAnsi="CG Times" w:cstheme="majorBidi"/>
          <w:sz w:val="28"/>
          <w:szCs w:val="28"/>
        </w:rPr>
        <w:t>will discourage consumers from complaining or from taking sellers to court in fraud and fin</w:t>
      </w:r>
      <w:r w:rsidR="008454A0" w:rsidRPr="00986E40">
        <w:rPr>
          <w:rFonts w:ascii="CG Times" w:hAnsi="CG Times" w:cstheme="majorBidi"/>
          <w:sz w:val="28"/>
          <w:szCs w:val="28"/>
        </w:rPr>
        <w:t xml:space="preserve">e print situations, </w:t>
      </w:r>
      <w:r w:rsidR="00366471" w:rsidRPr="00986E40">
        <w:rPr>
          <w:rFonts w:ascii="CG Times" w:hAnsi="CG Times" w:cstheme="majorBidi"/>
          <w:sz w:val="28"/>
          <w:szCs w:val="28"/>
        </w:rPr>
        <w:t xml:space="preserve">because consumers might blame themselves for failing to read the fine print, and </w:t>
      </w:r>
      <w:r w:rsidR="008454A0" w:rsidRPr="00986E40">
        <w:rPr>
          <w:rFonts w:ascii="CG Times" w:hAnsi="CG Times" w:cstheme="majorBidi"/>
          <w:sz w:val="28"/>
          <w:szCs w:val="28"/>
        </w:rPr>
        <w:t xml:space="preserve">might </w:t>
      </w:r>
      <w:r w:rsidR="00366471" w:rsidRPr="00986E40">
        <w:rPr>
          <w:rFonts w:ascii="CG Times" w:hAnsi="CG Times" w:cstheme="majorBidi"/>
          <w:sz w:val="28"/>
          <w:szCs w:val="28"/>
        </w:rPr>
        <w:t xml:space="preserve">believe that courts </w:t>
      </w:r>
      <w:r w:rsidR="008454A0" w:rsidRPr="00986E40">
        <w:rPr>
          <w:rFonts w:ascii="CG Times" w:hAnsi="CG Times" w:cstheme="majorBidi"/>
          <w:sz w:val="28"/>
          <w:szCs w:val="28"/>
        </w:rPr>
        <w:t>do the same.</w:t>
      </w:r>
      <w:r w:rsidR="008454A0" w:rsidRPr="00986E40">
        <w:rPr>
          <w:rStyle w:val="FootnoteReference"/>
          <w:rFonts w:ascii="CG Times" w:hAnsi="CG Times" w:cstheme="majorBidi"/>
          <w:sz w:val="28"/>
          <w:szCs w:val="28"/>
        </w:rPr>
        <w:footnoteReference w:id="43"/>
      </w:r>
      <w:r w:rsidR="008454A0" w:rsidRPr="00986E40">
        <w:rPr>
          <w:rFonts w:ascii="CG Times" w:hAnsi="CG Times" w:cstheme="majorBidi"/>
          <w:sz w:val="28"/>
          <w:szCs w:val="28"/>
        </w:rPr>
        <w:t xml:space="preserve"> </w:t>
      </w:r>
      <w:r w:rsidR="009738BE">
        <w:rPr>
          <w:rFonts w:ascii="CG Times" w:hAnsi="CG Times" w:cstheme="majorBidi"/>
          <w:sz w:val="28"/>
          <w:szCs w:val="28"/>
        </w:rPr>
        <w:t>T</w:t>
      </w:r>
      <w:r w:rsidR="00366471" w:rsidRPr="00986E40">
        <w:rPr>
          <w:rFonts w:ascii="CG Times" w:hAnsi="CG Times" w:cstheme="majorBidi"/>
          <w:sz w:val="28"/>
          <w:szCs w:val="28"/>
        </w:rPr>
        <w:t>o explore this intuition, we conducted a series of experiments.</w:t>
      </w:r>
    </w:p>
    <w:p w14:paraId="2B368839" w14:textId="663CC5A6" w:rsidR="00366471" w:rsidRPr="00986E40" w:rsidRDefault="008454A0" w:rsidP="00210B64">
      <w:pPr>
        <w:ind w:firstLine="720"/>
        <w:jc w:val="both"/>
        <w:rPr>
          <w:rFonts w:ascii="CG Times" w:hAnsi="CG Times" w:cstheme="majorBidi"/>
          <w:sz w:val="28"/>
          <w:szCs w:val="28"/>
        </w:rPr>
      </w:pPr>
      <w:r w:rsidRPr="00986E40">
        <w:rPr>
          <w:rFonts w:ascii="CG Times" w:hAnsi="CG Times" w:cstheme="majorBidi"/>
          <w:sz w:val="28"/>
          <w:szCs w:val="28"/>
        </w:rPr>
        <w:t xml:space="preserve">In one of our experiments, </w:t>
      </w:r>
      <w:r w:rsidR="00366471" w:rsidRPr="00986E40">
        <w:rPr>
          <w:rFonts w:ascii="CG Times" w:hAnsi="CG Times" w:cstheme="majorBidi"/>
          <w:sz w:val="28"/>
          <w:szCs w:val="28"/>
        </w:rPr>
        <w:t>participants read three scenarios based on real cases spanning three different types of consumer sectors in which “fraud and fine print” cases are relatively prevalent: the auto loan, telecommunications, and mortgage industries.</w:t>
      </w:r>
      <w:r w:rsidR="00210B64" w:rsidRPr="00986E40">
        <w:rPr>
          <w:rFonts w:ascii="CG Times" w:hAnsi="CG Times" w:cstheme="majorBidi"/>
          <w:sz w:val="28"/>
          <w:szCs w:val="28"/>
        </w:rPr>
        <w:t xml:space="preserve"> </w:t>
      </w:r>
      <w:r w:rsidR="00366471" w:rsidRPr="00986E40">
        <w:rPr>
          <w:rFonts w:ascii="CG Times" w:hAnsi="CG Times" w:cstheme="majorBidi"/>
          <w:sz w:val="28"/>
          <w:szCs w:val="28"/>
        </w:rPr>
        <w:t>For exam</w:t>
      </w:r>
      <w:r w:rsidR="00210B64" w:rsidRPr="00986E40">
        <w:rPr>
          <w:rFonts w:ascii="CG Times" w:hAnsi="CG Times" w:cstheme="majorBidi"/>
          <w:sz w:val="28"/>
          <w:szCs w:val="28"/>
        </w:rPr>
        <w:t xml:space="preserve">ple, in the auto loan </w:t>
      </w:r>
      <w:r w:rsidR="00366471" w:rsidRPr="00986E40">
        <w:rPr>
          <w:rFonts w:ascii="CG Times" w:hAnsi="CG Times" w:cstheme="majorBidi"/>
          <w:sz w:val="28"/>
          <w:szCs w:val="28"/>
        </w:rPr>
        <w:t>scenario</w:t>
      </w:r>
      <w:r w:rsidR="009A6D1F">
        <w:rPr>
          <w:rFonts w:ascii="CG Times" w:hAnsi="CG Times" w:cstheme="majorBidi"/>
          <w:sz w:val="28"/>
          <w:szCs w:val="28"/>
        </w:rPr>
        <w:t>,</w:t>
      </w:r>
      <w:r w:rsidR="00366471" w:rsidRPr="00986E40">
        <w:rPr>
          <w:rFonts w:ascii="CG Times" w:hAnsi="CG Times" w:cstheme="majorBidi"/>
          <w:sz w:val="28"/>
          <w:szCs w:val="28"/>
        </w:rPr>
        <w:t xml:space="preserve"> participants read about a consumer named William</w:t>
      </w:r>
      <w:r w:rsidR="00210B64" w:rsidRPr="00986E40">
        <w:rPr>
          <w:rFonts w:ascii="CG Times" w:hAnsi="CG Times" w:cstheme="majorBidi"/>
          <w:sz w:val="28"/>
          <w:szCs w:val="28"/>
        </w:rPr>
        <w:t xml:space="preserve"> who decides to buy a new car. </w:t>
      </w:r>
      <w:r w:rsidR="00366471" w:rsidRPr="00986E40">
        <w:rPr>
          <w:rFonts w:ascii="CG Times" w:hAnsi="CG Times" w:cstheme="majorBidi"/>
          <w:sz w:val="28"/>
          <w:szCs w:val="28"/>
        </w:rPr>
        <w:t xml:space="preserve">On the day of his purchase, </w:t>
      </w:r>
      <w:r w:rsidR="00210B64" w:rsidRPr="00986E40">
        <w:rPr>
          <w:rFonts w:ascii="CG Times" w:hAnsi="CG Times" w:cstheme="majorBidi"/>
          <w:sz w:val="28"/>
          <w:szCs w:val="28"/>
        </w:rPr>
        <w:t xml:space="preserve">a salesperson from the auto company </w:t>
      </w:r>
      <w:r w:rsidR="00366471" w:rsidRPr="00986E40">
        <w:rPr>
          <w:rFonts w:ascii="CG Times" w:hAnsi="CG Times" w:cstheme="majorBidi"/>
          <w:sz w:val="28"/>
          <w:szCs w:val="28"/>
        </w:rPr>
        <w:t>offers him to enroll in a payment program that is supposed to help William finance his car.</w:t>
      </w:r>
      <w:r w:rsidR="00210B64" w:rsidRPr="00986E40">
        <w:rPr>
          <w:rFonts w:ascii="CG Times" w:hAnsi="CG Times" w:cstheme="majorBidi"/>
          <w:sz w:val="28"/>
          <w:szCs w:val="28"/>
        </w:rPr>
        <w:t xml:space="preserve"> </w:t>
      </w:r>
      <w:r w:rsidR="00366471" w:rsidRPr="00986E40">
        <w:rPr>
          <w:rFonts w:ascii="CG Times" w:hAnsi="CG Times" w:cstheme="majorBidi"/>
          <w:sz w:val="28"/>
          <w:szCs w:val="28"/>
        </w:rPr>
        <w:t xml:space="preserve">After enrolling, William begins to notice that </w:t>
      </w:r>
      <w:r w:rsidR="00210B64" w:rsidRPr="00986E40">
        <w:rPr>
          <w:rFonts w:ascii="CG Times" w:hAnsi="CG Times" w:cstheme="majorBidi"/>
          <w:sz w:val="28"/>
          <w:szCs w:val="28"/>
        </w:rPr>
        <w:t>the auto company</w:t>
      </w:r>
      <w:r w:rsidR="00366471" w:rsidRPr="00986E40">
        <w:rPr>
          <w:rFonts w:ascii="CG Times" w:hAnsi="CG Times" w:cstheme="majorBidi"/>
          <w:sz w:val="28"/>
          <w:szCs w:val="28"/>
        </w:rPr>
        <w:t xml:space="preserve"> charges fees every time it debits his account</w:t>
      </w:r>
      <w:r w:rsidR="001C12C5">
        <w:rPr>
          <w:rFonts w:ascii="CG Times" w:hAnsi="CG Times" w:cstheme="majorBidi"/>
          <w:sz w:val="28"/>
          <w:szCs w:val="28"/>
        </w:rPr>
        <w:t>. H</w:t>
      </w:r>
      <w:r w:rsidR="00366471" w:rsidRPr="00986E40">
        <w:rPr>
          <w:rFonts w:ascii="CG Times" w:hAnsi="CG Times" w:cstheme="majorBidi"/>
          <w:sz w:val="28"/>
          <w:szCs w:val="28"/>
        </w:rPr>
        <w:t>e quickly does the math and realizes that the plan ends up losing him money.</w:t>
      </w:r>
      <w:r w:rsidR="00210B64" w:rsidRPr="00986E40">
        <w:rPr>
          <w:rFonts w:ascii="CG Times" w:hAnsi="CG Times" w:cstheme="majorBidi"/>
          <w:sz w:val="28"/>
          <w:szCs w:val="28"/>
        </w:rPr>
        <w:t xml:space="preserve"> Importantly,</w:t>
      </w:r>
      <w:r w:rsidR="00366471" w:rsidRPr="00986E40">
        <w:rPr>
          <w:rFonts w:ascii="CG Times" w:hAnsi="CG Times" w:cstheme="majorBidi"/>
          <w:sz w:val="28"/>
          <w:szCs w:val="28"/>
        </w:rPr>
        <w:t xml:space="preserve"> we highlighted to participants that the fee is a material fact</w:t>
      </w:r>
      <w:r w:rsidR="001C12C5">
        <w:rPr>
          <w:rFonts w:ascii="CG Times" w:hAnsi="CG Times" w:cstheme="majorBidi"/>
          <w:sz w:val="28"/>
          <w:szCs w:val="28"/>
        </w:rPr>
        <w:t>:</w:t>
      </w:r>
      <w:r w:rsidR="00366471" w:rsidRPr="00986E40">
        <w:rPr>
          <w:rFonts w:ascii="CG Times" w:hAnsi="CG Times" w:cstheme="majorBidi"/>
          <w:sz w:val="28"/>
          <w:szCs w:val="28"/>
        </w:rPr>
        <w:t xml:space="preserve"> William would not have enrolled in the </w:t>
      </w:r>
      <w:r w:rsidR="00210B64" w:rsidRPr="00986E40">
        <w:rPr>
          <w:rFonts w:ascii="CG Times" w:hAnsi="CG Times" w:cstheme="majorBidi"/>
          <w:sz w:val="28"/>
          <w:szCs w:val="28"/>
        </w:rPr>
        <w:t>program</w:t>
      </w:r>
      <w:r w:rsidR="00366471" w:rsidRPr="00986E40">
        <w:rPr>
          <w:rFonts w:ascii="CG Times" w:hAnsi="CG Times" w:cstheme="majorBidi"/>
          <w:sz w:val="28"/>
          <w:szCs w:val="28"/>
        </w:rPr>
        <w:t xml:space="preserve"> if he had known about the fee.</w:t>
      </w:r>
      <w:r w:rsidR="00210B64" w:rsidRPr="00986E40">
        <w:rPr>
          <w:rFonts w:ascii="CG Times" w:hAnsi="CG Times" w:cstheme="majorBidi"/>
          <w:sz w:val="28"/>
          <w:szCs w:val="28"/>
        </w:rPr>
        <w:t xml:space="preserve"> </w:t>
      </w:r>
      <w:r w:rsidR="00366471" w:rsidRPr="00986E40">
        <w:rPr>
          <w:rFonts w:ascii="CG Times" w:hAnsi="CG Times" w:cstheme="majorBidi"/>
          <w:sz w:val="28"/>
          <w:szCs w:val="28"/>
        </w:rPr>
        <w:t xml:space="preserve">When poor William complains, the company’s representative refers him to the “terms and conditions” in the paperwork that he signed, </w:t>
      </w:r>
      <w:r w:rsidR="00366471" w:rsidRPr="00986E40">
        <w:rPr>
          <w:rFonts w:ascii="CG Times" w:hAnsi="CG Times" w:cstheme="majorBidi"/>
          <w:i/>
          <w:iCs/>
          <w:sz w:val="28"/>
          <w:szCs w:val="28"/>
        </w:rPr>
        <w:t>without reading</w:t>
      </w:r>
      <w:r w:rsidR="00366471" w:rsidRPr="00986E40">
        <w:rPr>
          <w:rFonts w:ascii="CG Times" w:hAnsi="CG Times" w:cstheme="majorBidi"/>
          <w:sz w:val="28"/>
          <w:szCs w:val="28"/>
        </w:rPr>
        <w:t xml:space="preserve">, when he enrolled in the program. </w:t>
      </w:r>
    </w:p>
    <w:p w14:paraId="6614B6F7" w14:textId="1FC444E7" w:rsidR="00366471" w:rsidRPr="00986E40" w:rsidRDefault="00366471" w:rsidP="003B4F07">
      <w:pPr>
        <w:ind w:firstLine="720"/>
        <w:jc w:val="both"/>
        <w:rPr>
          <w:rFonts w:ascii="CG Times" w:hAnsi="CG Times" w:cstheme="majorBidi"/>
          <w:sz w:val="28"/>
          <w:szCs w:val="28"/>
        </w:rPr>
      </w:pPr>
      <w:r w:rsidRPr="00986E40">
        <w:rPr>
          <w:rFonts w:ascii="CG Times" w:hAnsi="CG Times" w:cstheme="majorBidi"/>
          <w:sz w:val="28"/>
          <w:szCs w:val="28"/>
        </w:rPr>
        <w:t>In terms of the experimental manipulation, participants were randomly assigned to one of three experimental conditions.</w:t>
      </w:r>
      <w:r w:rsidR="00210B64" w:rsidRPr="00986E40">
        <w:rPr>
          <w:rFonts w:ascii="CG Times" w:hAnsi="CG Times" w:cstheme="majorBidi"/>
          <w:sz w:val="28"/>
          <w:szCs w:val="28"/>
        </w:rPr>
        <w:t xml:space="preserve"> </w:t>
      </w:r>
      <w:r w:rsidRPr="00986E40">
        <w:rPr>
          <w:rFonts w:ascii="CG Times" w:hAnsi="CG Times" w:cstheme="majorBidi"/>
          <w:sz w:val="28"/>
          <w:szCs w:val="28"/>
        </w:rPr>
        <w:t xml:space="preserve">In the </w:t>
      </w:r>
      <w:r w:rsidR="004877A1">
        <w:rPr>
          <w:rFonts w:ascii="CG Times" w:hAnsi="CG Times" w:cstheme="majorBidi" w:hint="eastAsia"/>
          <w:sz w:val="28"/>
          <w:szCs w:val="28"/>
        </w:rPr>
        <w:t>“</w:t>
      </w:r>
      <w:r w:rsidR="00AF6FB3">
        <w:rPr>
          <w:rFonts w:ascii="CG Times" w:hAnsi="CG Times" w:cstheme="majorBidi"/>
          <w:iCs/>
          <w:sz w:val="28"/>
          <w:szCs w:val="28"/>
        </w:rPr>
        <w:t>f</w:t>
      </w:r>
      <w:r w:rsidRPr="007F2674">
        <w:rPr>
          <w:rFonts w:ascii="CG Times" w:hAnsi="CG Times" w:cstheme="majorBidi"/>
          <w:iCs/>
          <w:sz w:val="28"/>
          <w:szCs w:val="28"/>
        </w:rPr>
        <w:t xml:space="preserve">raud </w:t>
      </w:r>
      <w:r w:rsidR="00AF6FB3">
        <w:rPr>
          <w:rFonts w:ascii="CG Times" w:hAnsi="CG Times" w:cstheme="majorBidi"/>
          <w:iCs/>
          <w:sz w:val="28"/>
          <w:szCs w:val="28"/>
        </w:rPr>
        <w:t>o</w:t>
      </w:r>
      <w:r w:rsidRPr="007F2674">
        <w:rPr>
          <w:rFonts w:ascii="CG Times" w:hAnsi="CG Times" w:cstheme="majorBidi"/>
          <w:iCs/>
          <w:sz w:val="28"/>
          <w:szCs w:val="28"/>
        </w:rPr>
        <w:t>nly</w:t>
      </w:r>
      <w:r w:rsidR="004877A1">
        <w:rPr>
          <w:rFonts w:ascii="CG Times" w:hAnsi="CG Times" w:cstheme="majorBidi" w:hint="eastAsia"/>
          <w:iCs/>
          <w:sz w:val="28"/>
          <w:szCs w:val="28"/>
        </w:rPr>
        <w:t>”</w:t>
      </w:r>
      <w:r w:rsidRPr="00986E40">
        <w:rPr>
          <w:rFonts w:ascii="CG Times" w:hAnsi="CG Times" w:cstheme="majorBidi"/>
          <w:b/>
          <w:bCs/>
          <w:sz w:val="28"/>
          <w:szCs w:val="28"/>
        </w:rPr>
        <w:t xml:space="preserve"> </w:t>
      </w:r>
      <w:r w:rsidRPr="00986E40">
        <w:rPr>
          <w:rFonts w:ascii="CG Times" w:hAnsi="CG Times" w:cstheme="majorBidi"/>
          <w:sz w:val="28"/>
          <w:szCs w:val="28"/>
        </w:rPr>
        <w:t xml:space="preserve">condition, the seller promises William that the company will </w:t>
      </w:r>
      <w:r w:rsidRPr="00986E40">
        <w:rPr>
          <w:rFonts w:ascii="CG Times" w:hAnsi="CG Times" w:cstheme="majorBidi"/>
          <w:i/>
          <w:iCs/>
          <w:sz w:val="28"/>
          <w:szCs w:val="28"/>
        </w:rPr>
        <w:t xml:space="preserve">not </w:t>
      </w:r>
      <w:r w:rsidRPr="00986E40">
        <w:rPr>
          <w:rFonts w:ascii="CG Times" w:hAnsi="CG Times" w:cstheme="majorBidi"/>
          <w:sz w:val="28"/>
          <w:szCs w:val="28"/>
        </w:rPr>
        <w:t>charge any fees, but the company charges the fees anyway. Now, importantly, in this condition, there is no conflicting fine print. In other words, the con</w:t>
      </w:r>
      <w:r w:rsidR="00210B64" w:rsidRPr="00986E40">
        <w:rPr>
          <w:rFonts w:ascii="CG Times" w:hAnsi="CG Times" w:cstheme="majorBidi"/>
          <w:sz w:val="28"/>
          <w:szCs w:val="28"/>
        </w:rPr>
        <w:t xml:space="preserve">tract is silent about the fees. </w:t>
      </w:r>
      <w:r w:rsidRPr="00986E40">
        <w:rPr>
          <w:rFonts w:ascii="CG Times" w:hAnsi="CG Times" w:cstheme="majorBidi"/>
          <w:sz w:val="28"/>
          <w:szCs w:val="28"/>
        </w:rPr>
        <w:t xml:space="preserve">In contrast, in the </w:t>
      </w:r>
      <w:r w:rsidR="004D4BA4">
        <w:rPr>
          <w:rFonts w:ascii="CG Times" w:hAnsi="CG Times" w:cstheme="majorBidi" w:hint="eastAsia"/>
          <w:sz w:val="28"/>
          <w:szCs w:val="28"/>
        </w:rPr>
        <w:t>“</w:t>
      </w:r>
      <w:r w:rsidR="00AF6FB3">
        <w:rPr>
          <w:rFonts w:ascii="CG Times" w:hAnsi="CG Times" w:cstheme="majorBidi"/>
          <w:iCs/>
          <w:sz w:val="28"/>
          <w:szCs w:val="28"/>
        </w:rPr>
        <w:t>f</w:t>
      </w:r>
      <w:r w:rsidR="00210B64" w:rsidRPr="007F2674">
        <w:rPr>
          <w:rFonts w:ascii="CG Times" w:hAnsi="CG Times" w:cstheme="majorBidi"/>
          <w:iCs/>
          <w:sz w:val="28"/>
          <w:szCs w:val="28"/>
        </w:rPr>
        <w:t xml:space="preserve">ine </w:t>
      </w:r>
      <w:r w:rsidR="00AF6FB3">
        <w:rPr>
          <w:rFonts w:ascii="CG Times" w:hAnsi="CG Times" w:cstheme="majorBidi"/>
          <w:iCs/>
          <w:sz w:val="28"/>
          <w:szCs w:val="28"/>
        </w:rPr>
        <w:t>p</w:t>
      </w:r>
      <w:r w:rsidR="00210B64" w:rsidRPr="007F2674">
        <w:rPr>
          <w:rFonts w:ascii="CG Times" w:hAnsi="CG Times" w:cstheme="majorBidi"/>
          <w:iCs/>
          <w:sz w:val="28"/>
          <w:szCs w:val="28"/>
        </w:rPr>
        <w:t xml:space="preserve">rint </w:t>
      </w:r>
      <w:r w:rsidR="00AF6FB3">
        <w:rPr>
          <w:rFonts w:ascii="CG Times" w:hAnsi="CG Times" w:cstheme="majorBidi"/>
          <w:iCs/>
          <w:sz w:val="28"/>
          <w:szCs w:val="28"/>
        </w:rPr>
        <w:t>o</w:t>
      </w:r>
      <w:r w:rsidR="00210B64" w:rsidRPr="007F2674">
        <w:rPr>
          <w:rFonts w:ascii="CG Times" w:hAnsi="CG Times" w:cstheme="majorBidi"/>
          <w:iCs/>
          <w:sz w:val="28"/>
          <w:szCs w:val="28"/>
        </w:rPr>
        <w:t>nly</w:t>
      </w:r>
      <w:r w:rsidR="004D4BA4">
        <w:rPr>
          <w:rFonts w:ascii="CG Times" w:hAnsi="CG Times" w:cstheme="majorBidi" w:hint="eastAsia"/>
          <w:iCs/>
          <w:sz w:val="28"/>
          <w:szCs w:val="28"/>
        </w:rPr>
        <w:t>”</w:t>
      </w:r>
      <w:r w:rsidRPr="00986E40">
        <w:rPr>
          <w:rFonts w:ascii="CG Times" w:hAnsi="CG Times" w:cstheme="majorBidi"/>
          <w:b/>
          <w:bCs/>
          <w:sz w:val="28"/>
          <w:szCs w:val="28"/>
        </w:rPr>
        <w:t xml:space="preserve"> </w:t>
      </w:r>
      <w:r w:rsidRPr="00986E40">
        <w:rPr>
          <w:rFonts w:ascii="CG Times" w:hAnsi="CG Times" w:cstheme="majorBidi"/>
          <w:sz w:val="28"/>
          <w:szCs w:val="28"/>
        </w:rPr>
        <w:t>condition, the seller does not mention any fees</w:t>
      </w:r>
      <w:r w:rsidR="004D4BA4">
        <w:rPr>
          <w:rFonts w:ascii="CG Times" w:hAnsi="CG Times" w:cstheme="majorBidi"/>
          <w:sz w:val="28"/>
          <w:szCs w:val="28"/>
        </w:rPr>
        <w:t>.</w:t>
      </w:r>
      <w:r w:rsidRPr="00986E40">
        <w:rPr>
          <w:rFonts w:ascii="CG Times" w:hAnsi="CG Times" w:cstheme="majorBidi"/>
          <w:sz w:val="28"/>
          <w:szCs w:val="28"/>
        </w:rPr>
        <w:t xml:space="preserve"> </w:t>
      </w:r>
      <w:r w:rsidR="004D4BA4">
        <w:rPr>
          <w:rFonts w:ascii="CG Times" w:hAnsi="CG Times" w:cstheme="majorBidi"/>
          <w:sz w:val="28"/>
          <w:szCs w:val="28"/>
        </w:rPr>
        <w:t>Y</w:t>
      </w:r>
      <w:r w:rsidRPr="00986E40">
        <w:rPr>
          <w:rFonts w:ascii="CG Times" w:hAnsi="CG Times" w:cstheme="majorBidi"/>
          <w:sz w:val="28"/>
          <w:szCs w:val="28"/>
        </w:rPr>
        <w:t>et</w:t>
      </w:r>
      <w:r w:rsidR="004D4BA4">
        <w:rPr>
          <w:rFonts w:ascii="CG Times" w:hAnsi="CG Times" w:cstheme="majorBidi"/>
          <w:sz w:val="28"/>
          <w:szCs w:val="28"/>
        </w:rPr>
        <w:t xml:space="preserve">, </w:t>
      </w:r>
      <w:r w:rsidRPr="00986E40">
        <w:rPr>
          <w:rFonts w:ascii="CG Times" w:hAnsi="CG Times" w:cstheme="majorBidi"/>
          <w:sz w:val="28"/>
          <w:szCs w:val="28"/>
        </w:rPr>
        <w:t>here</w:t>
      </w:r>
      <w:r w:rsidR="004D4BA4">
        <w:rPr>
          <w:rFonts w:ascii="CG Times" w:hAnsi="CG Times" w:cstheme="majorBidi"/>
          <w:sz w:val="28"/>
          <w:szCs w:val="28"/>
        </w:rPr>
        <w:t>,</w:t>
      </w:r>
      <w:r w:rsidRPr="00986E40">
        <w:rPr>
          <w:rFonts w:ascii="CG Times" w:hAnsi="CG Times" w:cstheme="majorBidi"/>
          <w:sz w:val="28"/>
          <w:szCs w:val="28"/>
        </w:rPr>
        <w:t xml:space="preserve"> the contract </w:t>
      </w:r>
      <w:r w:rsidRPr="00986E40">
        <w:rPr>
          <w:rFonts w:ascii="CG Times" w:hAnsi="CG Times" w:cstheme="majorBidi"/>
          <w:i/>
          <w:iCs/>
          <w:sz w:val="28"/>
          <w:szCs w:val="28"/>
        </w:rPr>
        <w:t>allows</w:t>
      </w:r>
      <w:r w:rsidR="00210B64" w:rsidRPr="00986E40">
        <w:rPr>
          <w:rFonts w:ascii="CG Times" w:hAnsi="CG Times" w:cstheme="majorBidi"/>
          <w:sz w:val="28"/>
          <w:szCs w:val="28"/>
        </w:rPr>
        <w:t xml:space="preserve"> the company to charge them, a</w:t>
      </w:r>
      <w:r w:rsidRPr="00986E40">
        <w:rPr>
          <w:rFonts w:ascii="CG Times" w:hAnsi="CG Times" w:cstheme="majorBidi"/>
          <w:sz w:val="28"/>
          <w:szCs w:val="28"/>
        </w:rPr>
        <w:t>nd the consumer is surprised to learn about these fees simply because he</w:t>
      </w:r>
      <w:r w:rsidR="00210B64" w:rsidRPr="00986E40">
        <w:rPr>
          <w:rFonts w:ascii="CG Times" w:hAnsi="CG Times" w:cstheme="majorBidi"/>
          <w:sz w:val="28"/>
          <w:szCs w:val="28"/>
        </w:rPr>
        <w:t xml:space="preserve"> failed to read the fine print. F</w:t>
      </w:r>
      <w:r w:rsidRPr="00986E40">
        <w:rPr>
          <w:rFonts w:ascii="CG Times" w:hAnsi="CG Times" w:cstheme="majorBidi"/>
          <w:sz w:val="28"/>
          <w:szCs w:val="28"/>
        </w:rPr>
        <w:t xml:space="preserve">inally, in the </w:t>
      </w:r>
      <w:r w:rsidR="004D4BA4">
        <w:rPr>
          <w:rFonts w:ascii="CG Times" w:hAnsi="CG Times" w:cstheme="majorBidi" w:hint="eastAsia"/>
          <w:sz w:val="28"/>
          <w:szCs w:val="28"/>
        </w:rPr>
        <w:t>“</w:t>
      </w:r>
      <w:r w:rsidR="00AF6FB3">
        <w:rPr>
          <w:rFonts w:ascii="CG Times" w:hAnsi="CG Times" w:cstheme="majorBidi"/>
          <w:iCs/>
          <w:sz w:val="28"/>
          <w:szCs w:val="28"/>
        </w:rPr>
        <w:t>f</w:t>
      </w:r>
      <w:r w:rsidRPr="007F2674">
        <w:rPr>
          <w:rFonts w:ascii="CG Times" w:hAnsi="CG Times" w:cstheme="majorBidi"/>
          <w:iCs/>
          <w:sz w:val="28"/>
          <w:szCs w:val="28"/>
        </w:rPr>
        <w:t xml:space="preserve">raud </w:t>
      </w:r>
      <w:r w:rsidR="00AF6FB3">
        <w:rPr>
          <w:rFonts w:ascii="CG Times" w:hAnsi="CG Times" w:cstheme="majorBidi"/>
          <w:iCs/>
          <w:sz w:val="28"/>
          <w:szCs w:val="28"/>
        </w:rPr>
        <w:t>and f</w:t>
      </w:r>
      <w:r w:rsidRPr="007F2674">
        <w:rPr>
          <w:rFonts w:ascii="CG Times" w:hAnsi="CG Times" w:cstheme="majorBidi"/>
          <w:iCs/>
          <w:sz w:val="28"/>
          <w:szCs w:val="28"/>
        </w:rPr>
        <w:t xml:space="preserve">ine </w:t>
      </w:r>
      <w:r w:rsidR="00AF6FB3">
        <w:rPr>
          <w:rFonts w:ascii="CG Times" w:hAnsi="CG Times" w:cstheme="majorBidi"/>
          <w:iCs/>
          <w:sz w:val="28"/>
          <w:szCs w:val="28"/>
        </w:rPr>
        <w:t>p</w:t>
      </w:r>
      <w:r w:rsidRPr="007F2674">
        <w:rPr>
          <w:rFonts w:ascii="CG Times" w:hAnsi="CG Times" w:cstheme="majorBidi"/>
          <w:iCs/>
          <w:sz w:val="28"/>
          <w:szCs w:val="28"/>
        </w:rPr>
        <w:t>rint</w:t>
      </w:r>
      <w:r w:rsidR="004D4BA4">
        <w:rPr>
          <w:rFonts w:ascii="CG Times" w:hAnsi="CG Times" w:cstheme="majorBidi" w:hint="eastAsia"/>
          <w:iCs/>
          <w:sz w:val="28"/>
          <w:szCs w:val="28"/>
        </w:rPr>
        <w:t>”</w:t>
      </w:r>
      <w:r w:rsidRPr="007F2674">
        <w:rPr>
          <w:rFonts w:ascii="CG Times" w:hAnsi="CG Times" w:cstheme="majorBidi"/>
          <w:sz w:val="28"/>
          <w:szCs w:val="28"/>
        </w:rPr>
        <w:t xml:space="preserve"> </w:t>
      </w:r>
      <w:r w:rsidR="00210B64" w:rsidRPr="00986E40">
        <w:rPr>
          <w:rFonts w:ascii="CG Times" w:hAnsi="CG Times" w:cstheme="majorBidi"/>
          <w:sz w:val="28"/>
          <w:szCs w:val="28"/>
        </w:rPr>
        <w:t xml:space="preserve">condition, </w:t>
      </w:r>
      <w:r w:rsidRPr="00986E40">
        <w:rPr>
          <w:rFonts w:ascii="CG Times" w:hAnsi="CG Times" w:cstheme="majorBidi"/>
          <w:sz w:val="28"/>
          <w:szCs w:val="28"/>
        </w:rPr>
        <w:t xml:space="preserve">the seller promises William that the company will not charge any fees, but the contract contains a conflicting term, allowing the company to charge these fees. </w:t>
      </w:r>
      <w:r w:rsidR="001C22CF">
        <w:rPr>
          <w:rFonts w:ascii="CG Times" w:hAnsi="CG Times" w:cstheme="majorBidi"/>
          <w:sz w:val="28"/>
          <w:szCs w:val="28"/>
        </w:rPr>
        <w:t>T</w:t>
      </w:r>
      <w:r w:rsidRPr="00986E40">
        <w:rPr>
          <w:rFonts w:ascii="CG Times" w:hAnsi="CG Times" w:cstheme="majorBidi"/>
          <w:sz w:val="28"/>
          <w:szCs w:val="28"/>
        </w:rPr>
        <w:t>hese are the typical fraud and fine print situations we discussed before</w:t>
      </w:r>
      <w:r w:rsidR="003B4F07" w:rsidRPr="00986E40">
        <w:rPr>
          <w:rFonts w:ascii="CG Times" w:hAnsi="CG Times" w:cstheme="majorBidi"/>
          <w:sz w:val="28"/>
          <w:szCs w:val="28"/>
        </w:rPr>
        <w:t xml:space="preserve">. </w:t>
      </w:r>
    </w:p>
    <w:p w14:paraId="43BC0DC7" w14:textId="19798D7F" w:rsidR="00366471" w:rsidRPr="00986E40" w:rsidRDefault="00366471" w:rsidP="003B4F07">
      <w:pPr>
        <w:ind w:firstLine="720"/>
        <w:rPr>
          <w:rFonts w:ascii="CG Times" w:hAnsi="CG Times" w:cstheme="majorBidi"/>
          <w:sz w:val="28"/>
          <w:szCs w:val="28"/>
        </w:rPr>
      </w:pPr>
      <w:r w:rsidRPr="00986E40">
        <w:rPr>
          <w:rFonts w:ascii="CG Times" w:hAnsi="CG Times" w:cstheme="majorBidi"/>
          <w:sz w:val="28"/>
          <w:szCs w:val="28"/>
        </w:rPr>
        <w:t xml:space="preserve">Participants were then asked to indicate on a </w:t>
      </w:r>
      <w:r w:rsidR="001C22CF">
        <w:rPr>
          <w:rFonts w:ascii="CG Times" w:hAnsi="CG Times" w:cstheme="majorBidi"/>
          <w:sz w:val="28"/>
          <w:szCs w:val="28"/>
        </w:rPr>
        <w:t>seven</w:t>
      </w:r>
      <w:r w:rsidRPr="00986E40">
        <w:rPr>
          <w:rFonts w:ascii="CG Times" w:hAnsi="CG Times" w:cstheme="majorBidi"/>
          <w:sz w:val="28"/>
          <w:szCs w:val="28"/>
        </w:rPr>
        <w:t>-item scale whether they agree with the following, randomly</w:t>
      </w:r>
      <w:r w:rsidR="001C22CF">
        <w:rPr>
          <w:rFonts w:ascii="CG Times" w:hAnsi="CG Times" w:cstheme="majorBidi"/>
          <w:sz w:val="28"/>
          <w:szCs w:val="28"/>
        </w:rPr>
        <w:t xml:space="preserve"> </w:t>
      </w:r>
      <w:r w:rsidRPr="00986E40">
        <w:rPr>
          <w:rFonts w:ascii="CG Times" w:hAnsi="CG Times" w:cstheme="majorBidi"/>
          <w:sz w:val="28"/>
          <w:szCs w:val="28"/>
        </w:rPr>
        <w:t>presented, statements:</w:t>
      </w:r>
    </w:p>
    <w:p w14:paraId="20696249" w14:textId="369C1F91" w:rsidR="00366471" w:rsidRPr="00986E40" w:rsidRDefault="00366471" w:rsidP="003B4F07">
      <w:pPr>
        <w:pStyle w:val="ListParagraph"/>
        <w:numPr>
          <w:ilvl w:val="0"/>
          <w:numId w:val="3"/>
        </w:numPr>
        <w:rPr>
          <w:rFonts w:ascii="CG Times" w:hAnsi="CG Times" w:cstheme="majorBidi"/>
          <w:sz w:val="28"/>
          <w:szCs w:val="28"/>
        </w:rPr>
      </w:pPr>
      <w:r w:rsidRPr="00986E40">
        <w:rPr>
          <w:rFonts w:ascii="CG Times" w:hAnsi="CG Times" w:cstheme="majorBidi"/>
          <w:sz w:val="28"/>
          <w:szCs w:val="28"/>
        </w:rPr>
        <w:t>A court would probably rule that William is legally required to pay the fee [if William seeks to void the transaction]</w:t>
      </w:r>
      <w:r w:rsidR="00FA3270">
        <w:rPr>
          <w:rFonts w:ascii="CG Times" w:hAnsi="CG Times" w:cstheme="majorBidi"/>
          <w:sz w:val="28"/>
          <w:szCs w:val="28"/>
        </w:rPr>
        <w:t>.</w:t>
      </w:r>
    </w:p>
    <w:p w14:paraId="05EC5FF1" w14:textId="1E73CFA6" w:rsidR="00366471" w:rsidRPr="00986E40" w:rsidRDefault="00366471" w:rsidP="003B4F07">
      <w:pPr>
        <w:pStyle w:val="ListParagraph"/>
        <w:numPr>
          <w:ilvl w:val="0"/>
          <w:numId w:val="3"/>
        </w:numPr>
        <w:rPr>
          <w:rFonts w:ascii="CG Times" w:hAnsi="CG Times" w:cstheme="majorBidi"/>
          <w:sz w:val="28"/>
          <w:szCs w:val="28"/>
        </w:rPr>
      </w:pPr>
      <w:r w:rsidRPr="00986E40">
        <w:rPr>
          <w:rFonts w:ascii="CG Times" w:hAnsi="CG Times" w:cstheme="majorBidi"/>
          <w:sz w:val="28"/>
          <w:szCs w:val="28"/>
        </w:rPr>
        <w:t>It is fair to require William to pay the fee</w:t>
      </w:r>
      <w:r w:rsidR="00FA3270">
        <w:rPr>
          <w:rFonts w:ascii="CG Times" w:hAnsi="CG Times" w:cstheme="majorBidi"/>
          <w:sz w:val="28"/>
          <w:szCs w:val="28"/>
        </w:rPr>
        <w:t>.</w:t>
      </w:r>
    </w:p>
    <w:p w14:paraId="582956B9" w14:textId="77777777" w:rsidR="00366471" w:rsidRPr="00986E40" w:rsidRDefault="00366471" w:rsidP="003B4F07">
      <w:pPr>
        <w:pStyle w:val="ListParagraph"/>
        <w:numPr>
          <w:ilvl w:val="0"/>
          <w:numId w:val="3"/>
        </w:numPr>
        <w:rPr>
          <w:rFonts w:ascii="CG Times" w:hAnsi="CG Times" w:cstheme="majorBidi"/>
          <w:sz w:val="28"/>
          <w:szCs w:val="28"/>
        </w:rPr>
      </w:pPr>
      <w:r w:rsidRPr="00986E40">
        <w:rPr>
          <w:rFonts w:ascii="CG Times" w:hAnsi="CG Times" w:cstheme="majorBidi"/>
          <w:sz w:val="28"/>
          <w:szCs w:val="28"/>
        </w:rPr>
        <w:t>William consented to pay the fee.</w:t>
      </w:r>
    </w:p>
    <w:p w14:paraId="44F0DD8F" w14:textId="77777777" w:rsidR="00366471" w:rsidRPr="00986E40" w:rsidRDefault="00366471" w:rsidP="003B4F07">
      <w:pPr>
        <w:pStyle w:val="ListParagraph"/>
        <w:numPr>
          <w:ilvl w:val="0"/>
          <w:numId w:val="3"/>
        </w:numPr>
        <w:rPr>
          <w:rFonts w:ascii="CG Times" w:hAnsi="CG Times" w:cstheme="majorBidi"/>
          <w:sz w:val="28"/>
          <w:szCs w:val="28"/>
        </w:rPr>
      </w:pPr>
      <w:r w:rsidRPr="00986E40">
        <w:rPr>
          <w:rFonts w:ascii="CG Times" w:hAnsi="CG Times" w:cstheme="majorBidi"/>
          <w:sz w:val="28"/>
          <w:szCs w:val="28"/>
        </w:rPr>
        <w:t>William had fair notice about the fee.</w:t>
      </w:r>
    </w:p>
    <w:p w14:paraId="6770956F" w14:textId="77777777" w:rsidR="00020BE2" w:rsidRPr="00986E40" w:rsidRDefault="00020BE2" w:rsidP="00020BE2">
      <w:pPr>
        <w:rPr>
          <w:rFonts w:ascii="CG Times" w:hAnsi="CG Times" w:cstheme="majorBidi"/>
          <w:sz w:val="28"/>
          <w:szCs w:val="28"/>
        </w:rPr>
      </w:pPr>
    </w:p>
    <w:p w14:paraId="65219F09" w14:textId="77777777" w:rsidR="00020BE2" w:rsidRPr="00986E40" w:rsidRDefault="00020BE2" w:rsidP="00020BE2">
      <w:pPr>
        <w:rPr>
          <w:rFonts w:ascii="CG Times" w:hAnsi="CG Times" w:cstheme="majorBidi"/>
          <w:sz w:val="28"/>
          <w:szCs w:val="28"/>
        </w:rPr>
      </w:pPr>
      <w:r w:rsidRPr="00986E40">
        <w:rPr>
          <w:rFonts w:ascii="CG Times" w:hAnsi="CG Times" w:cstheme="majorBidi"/>
          <w:sz w:val="28"/>
          <w:szCs w:val="28"/>
        </w:rPr>
        <w:t>Now let us have a look at the results.</w:t>
      </w:r>
    </w:p>
    <w:p w14:paraId="55DF02B2" w14:textId="77777777" w:rsidR="00020BE2" w:rsidRPr="00986E40" w:rsidRDefault="00020BE2" w:rsidP="00020BE2">
      <w:pPr>
        <w:rPr>
          <w:rFonts w:ascii="CG Times" w:hAnsi="CG Times" w:cstheme="majorBidi"/>
          <w:sz w:val="28"/>
          <w:szCs w:val="28"/>
        </w:rPr>
      </w:pPr>
      <w:r w:rsidRPr="00986E40">
        <w:rPr>
          <w:rFonts w:ascii="CG Times" w:hAnsi="CG Times" w:cstheme="majorBidi"/>
          <w:noProof/>
          <w:sz w:val="28"/>
          <w:szCs w:val="28"/>
        </w:rPr>
        <w:drawing>
          <wp:inline distT="0" distB="0" distL="0" distR="0" wp14:anchorId="7284AFC7" wp14:editId="49B09616">
            <wp:extent cx="5947576" cy="3824577"/>
            <wp:effectExtent l="0" t="0" r="21590" b="368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774C1D" w14:textId="0DE84AF9" w:rsidR="00366471" w:rsidRPr="00986E40" w:rsidRDefault="003B4F07" w:rsidP="007F2674">
      <w:pPr>
        <w:ind w:firstLine="720"/>
        <w:jc w:val="both"/>
        <w:rPr>
          <w:rFonts w:ascii="CG Times" w:hAnsi="CG Times" w:cstheme="majorBidi"/>
          <w:sz w:val="28"/>
          <w:szCs w:val="28"/>
        </w:rPr>
      </w:pPr>
      <w:r w:rsidRPr="00986E40">
        <w:rPr>
          <w:rFonts w:ascii="CG Times" w:hAnsi="CG Times" w:cstheme="majorBidi"/>
          <w:sz w:val="28"/>
          <w:szCs w:val="28"/>
        </w:rPr>
        <w:t>The results revealed that,</w:t>
      </w:r>
      <w:r w:rsidR="00366471" w:rsidRPr="00986E40">
        <w:rPr>
          <w:rFonts w:ascii="CG Times" w:hAnsi="CG Times" w:cstheme="majorBidi"/>
          <w:sz w:val="28"/>
          <w:szCs w:val="28"/>
        </w:rPr>
        <w:t xml:space="preserve"> as we expected, participants </w:t>
      </w:r>
      <w:r w:rsidR="00020BE2" w:rsidRPr="00986E40">
        <w:rPr>
          <w:rFonts w:ascii="CG Times" w:hAnsi="CG Times" w:cstheme="majorBidi"/>
          <w:sz w:val="28"/>
          <w:szCs w:val="28"/>
        </w:rPr>
        <w:t xml:space="preserve">in the </w:t>
      </w:r>
      <w:r w:rsidR="00AF6FB3">
        <w:rPr>
          <w:rFonts w:ascii="CG Times" w:hAnsi="CG Times" w:cstheme="majorBidi" w:hint="eastAsia"/>
          <w:sz w:val="28"/>
          <w:szCs w:val="28"/>
        </w:rPr>
        <w:t>“</w:t>
      </w:r>
      <w:r w:rsidR="00020BE2" w:rsidRPr="007F2674">
        <w:rPr>
          <w:rFonts w:ascii="CG Times" w:hAnsi="CG Times" w:cstheme="majorBidi"/>
          <w:iCs/>
          <w:sz w:val="28"/>
          <w:szCs w:val="28"/>
        </w:rPr>
        <w:t>fraud only</w:t>
      </w:r>
      <w:r w:rsidR="00AF6FB3">
        <w:rPr>
          <w:rFonts w:ascii="CG Times" w:hAnsi="CG Times" w:cstheme="majorBidi" w:hint="eastAsia"/>
          <w:iCs/>
          <w:sz w:val="28"/>
          <w:szCs w:val="28"/>
        </w:rPr>
        <w:t>”</w:t>
      </w:r>
      <w:r w:rsidR="00020BE2" w:rsidRPr="00986E40">
        <w:rPr>
          <w:rFonts w:ascii="CG Times" w:hAnsi="CG Times" w:cstheme="majorBidi"/>
          <w:i/>
          <w:iCs/>
          <w:sz w:val="28"/>
          <w:szCs w:val="28"/>
        </w:rPr>
        <w:t xml:space="preserve"> </w:t>
      </w:r>
      <w:r w:rsidR="00020BE2" w:rsidRPr="00986E40">
        <w:rPr>
          <w:rFonts w:ascii="CG Times" w:hAnsi="CG Times" w:cstheme="majorBidi"/>
          <w:sz w:val="28"/>
          <w:szCs w:val="28"/>
        </w:rPr>
        <w:t xml:space="preserve">condition </w:t>
      </w:r>
      <w:r w:rsidR="00366471" w:rsidRPr="00986E40">
        <w:rPr>
          <w:rFonts w:ascii="CG Times" w:hAnsi="CG Times" w:cstheme="majorBidi"/>
          <w:sz w:val="28"/>
          <w:szCs w:val="28"/>
        </w:rPr>
        <w:t xml:space="preserve">largely believed that William would not be legally required to pay the fee, that it is unfair to require him to pay, and accordingly – that he did not consent or receive fair notice about </w:t>
      </w:r>
      <w:r w:rsidRPr="00986E40">
        <w:rPr>
          <w:rFonts w:ascii="CG Times" w:hAnsi="CG Times" w:cstheme="majorBidi"/>
          <w:sz w:val="28"/>
          <w:szCs w:val="28"/>
        </w:rPr>
        <w:t>the fee</w:t>
      </w:r>
      <w:r w:rsidR="00366471" w:rsidRPr="00986E40">
        <w:rPr>
          <w:rFonts w:ascii="CG Times" w:hAnsi="CG Times" w:cstheme="majorBidi"/>
          <w:sz w:val="28"/>
          <w:szCs w:val="28"/>
        </w:rPr>
        <w:t xml:space="preserve">. </w:t>
      </w:r>
    </w:p>
    <w:p w14:paraId="66AFF27D" w14:textId="70B29878" w:rsidR="00366471" w:rsidRPr="00986E40" w:rsidRDefault="00366471" w:rsidP="007F2674">
      <w:pPr>
        <w:ind w:firstLine="720"/>
        <w:jc w:val="both"/>
        <w:rPr>
          <w:rFonts w:ascii="CG Times" w:hAnsi="CG Times" w:cstheme="majorBidi"/>
          <w:sz w:val="28"/>
          <w:szCs w:val="28"/>
        </w:rPr>
      </w:pPr>
      <w:r w:rsidRPr="00986E40">
        <w:rPr>
          <w:rFonts w:ascii="CG Times" w:hAnsi="CG Times" w:cstheme="majorBidi"/>
          <w:sz w:val="28"/>
          <w:szCs w:val="28"/>
        </w:rPr>
        <w:t xml:space="preserve">Now let’s look at participants’ judgments under the </w:t>
      </w:r>
      <w:r w:rsidR="00AF6FB3">
        <w:rPr>
          <w:rFonts w:ascii="CG Times" w:hAnsi="CG Times" w:cstheme="majorBidi" w:hint="eastAsia"/>
          <w:sz w:val="28"/>
          <w:szCs w:val="28"/>
        </w:rPr>
        <w:t>“</w:t>
      </w:r>
      <w:r w:rsidRPr="007F2674">
        <w:rPr>
          <w:rFonts w:ascii="CG Times" w:hAnsi="CG Times" w:cstheme="majorBidi"/>
          <w:iCs/>
          <w:sz w:val="28"/>
          <w:szCs w:val="28"/>
        </w:rPr>
        <w:t>fraud and fine print</w:t>
      </w:r>
      <w:r w:rsidR="00AF6FB3">
        <w:rPr>
          <w:rFonts w:ascii="CG Times" w:hAnsi="CG Times" w:cstheme="majorBidi" w:hint="eastAsia"/>
          <w:iCs/>
          <w:sz w:val="28"/>
          <w:szCs w:val="28"/>
        </w:rPr>
        <w:t>”</w:t>
      </w:r>
      <w:r w:rsidRPr="00986E40">
        <w:rPr>
          <w:rFonts w:ascii="CG Times" w:hAnsi="CG Times" w:cstheme="majorBidi"/>
          <w:b/>
          <w:bCs/>
          <w:sz w:val="28"/>
          <w:szCs w:val="28"/>
        </w:rPr>
        <w:t xml:space="preserve"> </w:t>
      </w:r>
      <w:r w:rsidRPr="00986E40">
        <w:rPr>
          <w:rFonts w:ascii="CG Times" w:hAnsi="CG Times" w:cstheme="majorBidi"/>
          <w:sz w:val="28"/>
          <w:szCs w:val="28"/>
        </w:rPr>
        <w:t>condition. I remind you that this</w:t>
      </w:r>
      <w:r w:rsidR="00020BE2" w:rsidRPr="00986E40">
        <w:rPr>
          <w:rFonts w:ascii="CG Times" w:hAnsi="CG Times" w:cstheme="majorBidi"/>
          <w:sz w:val="28"/>
          <w:szCs w:val="28"/>
        </w:rPr>
        <w:t xml:space="preserve"> condition is identical to the </w:t>
      </w:r>
      <w:r w:rsidR="00AF6FB3">
        <w:rPr>
          <w:rFonts w:ascii="CG Times" w:hAnsi="CG Times" w:cstheme="majorBidi" w:hint="eastAsia"/>
          <w:sz w:val="28"/>
          <w:szCs w:val="28"/>
        </w:rPr>
        <w:t>“</w:t>
      </w:r>
      <w:r w:rsidR="00020BE2" w:rsidRPr="007F2674">
        <w:rPr>
          <w:rFonts w:ascii="CG Times" w:hAnsi="CG Times" w:cstheme="majorBidi"/>
          <w:iCs/>
          <w:sz w:val="28"/>
          <w:szCs w:val="28"/>
        </w:rPr>
        <w:t>fraud only</w:t>
      </w:r>
      <w:r w:rsidR="00AF6FB3">
        <w:rPr>
          <w:rFonts w:ascii="CG Times" w:hAnsi="CG Times" w:cstheme="majorBidi" w:hint="eastAsia"/>
          <w:iCs/>
          <w:sz w:val="28"/>
          <w:szCs w:val="28"/>
        </w:rPr>
        <w:t>”</w:t>
      </w:r>
      <w:r w:rsidRPr="00986E40">
        <w:rPr>
          <w:rFonts w:ascii="CG Times" w:hAnsi="CG Times" w:cstheme="majorBidi"/>
          <w:sz w:val="28"/>
          <w:szCs w:val="28"/>
        </w:rPr>
        <w:t xml:space="preserve"> condition, with one important difference: this time after the seller tells William there will be no fees, he signs a contract disclosing the fee. </w:t>
      </w:r>
      <w:r w:rsidR="00020BE2" w:rsidRPr="00986E40">
        <w:rPr>
          <w:rFonts w:ascii="CG Times" w:hAnsi="CG Times" w:cstheme="majorBidi"/>
          <w:sz w:val="28"/>
          <w:szCs w:val="28"/>
        </w:rPr>
        <w:t xml:space="preserve">And here, </w:t>
      </w:r>
      <w:r w:rsidRPr="00986E40">
        <w:rPr>
          <w:rFonts w:ascii="CG Times" w:hAnsi="CG Times" w:cstheme="majorBidi"/>
          <w:sz w:val="28"/>
          <w:szCs w:val="28"/>
        </w:rPr>
        <w:t>we were surprised by these findings</w:t>
      </w:r>
      <w:r w:rsidR="00020BE2" w:rsidRPr="00986E40">
        <w:rPr>
          <w:rFonts w:ascii="CG Times" w:hAnsi="CG Times" w:cstheme="majorBidi"/>
          <w:sz w:val="28"/>
          <w:szCs w:val="28"/>
        </w:rPr>
        <w:t>,</w:t>
      </w:r>
      <w:r w:rsidRPr="00986E40">
        <w:rPr>
          <w:rFonts w:ascii="CG Times" w:hAnsi="CG Times" w:cstheme="majorBidi"/>
          <w:sz w:val="28"/>
          <w:szCs w:val="28"/>
        </w:rPr>
        <w:t xml:space="preserve"> as </w:t>
      </w:r>
      <w:r w:rsidR="00020BE2" w:rsidRPr="00986E40">
        <w:rPr>
          <w:rFonts w:ascii="CG Times" w:hAnsi="CG Times" w:cstheme="majorBidi"/>
          <w:sz w:val="28"/>
          <w:szCs w:val="28"/>
        </w:rPr>
        <w:t>there were</w:t>
      </w:r>
      <w:r w:rsidRPr="00986E40">
        <w:rPr>
          <w:rFonts w:ascii="CG Times" w:hAnsi="CG Times" w:cstheme="majorBidi"/>
          <w:sz w:val="28"/>
          <w:szCs w:val="28"/>
        </w:rPr>
        <w:t xml:space="preserve"> no</w:t>
      </w:r>
      <w:r w:rsidR="00020BE2" w:rsidRPr="00986E40">
        <w:rPr>
          <w:rFonts w:ascii="CG Times" w:hAnsi="CG Times" w:cstheme="majorBidi"/>
          <w:sz w:val="28"/>
          <w:szCs w:val="28"/>
        </w:rPr>
        <w:t xml:space="preserve"> significant differences</w:t>
      </w:r>
      <w:r w:rsidRPr="00986E40">
        <w:rPr>
          <w:rFonts w:ascii="CG Times" w:hAnsi="CG Times" w:cstheme="majorBidi"/>
          <w:sz w:val="28"/>
          <w:szCs w:val="28"/>
        </w:rPr>
        <w:t xml:space="preserve"> between the </w:t>
      </w:r>
      <w:r w:rsidR="00AF6FB3">
        <w:rPr>
          <w:rFonts w:ascii="CG Times" w:hAnsi="CG Times" w:cstheme="majorBidi"/>
          <w:sz w:val="28"/>
          <w:szCs w:val="28"/>
        </w:rPr>
        <w:br/>
      </w:r>
      <w:r w:rsidR="00AF6FB3">
        <w:rPr>
          <w:rFonts w:ascii="CG Times" w:hAnsi="CG Times" w:cstheme="majorBidi" w:hint="eastAsia"/>
          <w:sz w:val="28"/>
          <w:szCs w:val="28"/>
        </w:rPr>
        <w:t>“</w:t>
      </w:r>
      <w:r w:rsidRPr="007F2674">
        <w:rPr>
          <w:rFonts w:ascii="CG Times" w:hAnsi="CG Times" w:cstheme="majorBidi"/>
          <w:iCs/>
          <w:sz w:val="28"/>
          <w:szCs w:val="28"/>
        </w:rPr>
        <w:t>fraud and fine</w:t>
      </w:r>
      <w:r w:rsidRPr="00986E40">
        <w:rPr>
          <w:rFonts w:ascii="CG Times" w:hAnsi="CG Times" w:cstheme="majorBidi"/>
          <w:i/>
          <w:iCs/>
          <w:sz w:val="28"/>
          <w:szCs w:val="28"/>
        </w:rPr>
        <w:t xml:space="preserve"> </w:t>
      </w:r>
      <w:r w:rsidRPr="007F2674">
        <w:rPr>
          <w:rFonts w:ascii="CG Times" w:hAnsi="CG Times" w:cstheme="majorBidi"/>
          <w:iCs/>
          <w:sz w:val="28"/>
          <w:szCs w:val="28"/>
        </w:rPr>
        <w:t>print</w:t>
      </w:r>
      <w:r w:rsidR="00AF6FB3">
        <w:rPr>
          <w:rFonts w:ascii="CG Times" w:hAnsi="CG Times" w:cstheme="majorBidi" w:hint="eastAsia"/>
          <w:iCs/>
          <w:sz w:val="28"/>
          <w:szCs w:val="28"/>
        </w:rPr>
        <w:t>”</w:t>
      </w:r>
      <w:r w:rsidRPr="00986E40">
        <w:rPr>
          <w:rFonts w:ascii="CG Times" w:hAnsi="CG Times" w:cstheme="majorBidi"/>
          <w:sz w:val="28"/>
          <w:szCs w:val="28"/>
        </w:rPr>
        <w:t xml:space="preserve"> and </w:t>
      </w:r>
      <w:r w:rsidR="00AF6FB3">
        <w:rPr>
          <w:rFonts w:ascii="CG Times" w:hAnsi="CG Times" w:cstheme="majorBidi" w:hint="eastAsia"/>
          <w:sz w:val="28"/>
          <w:szCs w:val="28"/>
        </w:rPr>
        <w:t>“</w:t>
      </w:r>
      <w:r w:rsidRPr="007F2674">
        <w:rPr>
          <w:rFonts w:ascii="CG Times" w:hAnsi="CG Times" w:cstheme="majorBidi"/>
          <w:iCs/>
          <w:sz w:val="28"/>
          <w:szCs w:val="28"/>
        </w:rPr>
        <w:t>fine print</w:t>
      </w:r>
      <w:r w:rsidR="00AF6FB3">
        <w:rPr>
          <w:rFonts w:ascii="CG Times" w:hAnsi="CG Times" w:cstheme="majorBidi"/>
          <w:iCs/>
          <w:sz w:val="28"/>
          <w:szCs w:val="28"/>
        </w:rPr>
        <w:t xml:space="preserve"> only</w:t>
      </w:r>
      <w:r w:rsidR="00AF6FB3">
        <w:rPr>
          <w:rFonts w:ascii="CG Times" w:hAnsi="CG Times" w:cstheme="majorBidi" w:hint="eastAsia"/>
          <w:iCs/>
          <w:sz w:val="28"/>
          <w:szCs w:val="28"/>
        </w:rPr>
        <w:t>”</w:t>
      </w:r>
      <w:r w:rsidRPr="007F2674">
        <w:rPr>
          <w:rFonts w:ascii="CG Times" w:hAnsi="CG Times" w:cstheme="majorBidi"/>
          <w:iCs/>
          <w:sz w:val="28"/>
          <w:szCs w:val="28"/>
        </w:rPr>
        <w:t xml:space="preserve"> only</w:t>
      </w:r>
      <w:r w:rsidRPr="00986E40">
        <w:rPr>
          <w:rFonts w:ascii="CG Times" w:hAnsi="CG Times" w:cstheme="majorBidi"/>
          <w:sz w:val="28"/>
          <w:szCs w:val="28"/>
        </w:rPr>
        <w:t xml:space="preserve"> conditions across all dependent measures.</w:t>
      </w:r>
      <w:r w:rsidR="00020BE2" w:rsidRPr="00986E40">
        <w:rPr>
          <w:rFonts w:ascii="CG Times" w:hAnsi="CG Times" w:cstheme="majorBidi"/>
          <w:sz w:val="28"/>
          <w:szCs w:val="28"/>
        </w:rPr>
        <w:t xml:space="preserve"> </w:t>
      </w:r>
      <w:r w:rsidRPr="00986E40">
        <w:rPr>
          <w:rFonts w:ascii="CG Times" w:hAnsi="CG Times" w:cstheme="majorBidi"/>
          <w:sz w:val="28"/>
          <w:szCs w:val="28"/>
        </w:rPr>
        <w:t xml:space="preserve">Participants felt that the consumer is bound to pay the fee in the presence of the fine print disclosure, </w:t>
      </w:r>
      <w:r w:rsidR="00AF6FB3">
        <w:rPr>
          <w:rFonts w:ascii="CG Times" w:hAnsi="CG Times" w:cstheme="majorBidi"/>
          <w:sz w:val="28"/>
          <w:szCs w:val="28"/>
        </w:rPr>
        <w:t xml:space="preserve">regardless of </w:t>
      </w:r>
      <w:r w:rsidRPr="00986E40">
        <w:rPr>
          <w:rFonts w:ascii="CG Times" w:hAnsi="CG Times" w:cstheme="majorBidi"/>
          <w:sz w:val="28"/>
          <w:szCs w:val="28"/>
        </w:rPr>
        <w:t>whether there was a</w:t>
      </w:r>
      <w:r w:rsidR="00020BE2" w:rsidRPr="00986E40">
        <w:rPr>
          <w:rFonts w:ascii="CG Times" w:hAnsi="CG Times" w:cstheme="majorBidi"/>
          <w:sz w:val="28"/>
          <w:szCs w:val="28"/>
        </w:rPr>
        <w:t xml:space="preserve"> prior misrepresentation</w:t>
      </w:r>
      <w:r w:rsidRPr="00986E40">
        <w:rPr>
          <w:rFonts w:ascii="CG Times" w:hAnsi="CG Times" w:cstheme="majorBidi"/>
          <w:sz w:val="28"/>
          <w:szCs w:val="28"/>
        </w:rPr>
        <w:t xml:space="preserve">. </w:t>
      </w:r>
      <w:r w:rsidR="00AF6FB3">
        <w:rPr>
          <w:rFonts w:ascii="CG Times" w:hAnsi="CG Times" w:cstheme="majorBidi"/>
          <w:sz w:val="28"/>
          <w:szCs w:val="28"/>
        </w:rPr>
        <w:t>T</w:t>
      </w:r>
      <w:r w:rsidRPr="00986E40">
        <w:rPr>
          <w:rFonts w:ascii="CG Times" w:hAnsi="CG Times" w:cstheme="majorBidi"/>
          <w:sz w:val="28"/>
          <w:szCs w:val="28"/>
        </w:rPr>
        <w:t xml:space="preserve">hese findings suggest that </w:t>
      </w:r>
      <w:r w:rsidR="00020BE2" w:rsidRPr="00986E40">
        <w:rPr>
          <w:rFonts w:ascii="CG Times" w:hAnsi="CG Times" w:cstheme="majorBidi"/>
          <w:sz w:val="28"/>
          <w:szCs w:val="28"/>
        </w:rPr>
        <w:t>consumers</w:t>
      </w:r>
      <w:r w:rsidRPr="00986E40">
        <w:rPr>
          <w:rFonts w:ascii="CG Times" w:hAnsi="CG Times" w:cstheme="majorBidi"/>
          <w:sz w:val="28"/>
          <w:szCs w:val="28"/>
        </w:rPr>
        <w:t xml:space="preserve"> put </w:t>
      </w:r>
      <w:r w:rsidR="00020BE2" w:rsidRPr="00986E40">
        <w:rPr>
          <w:rFonts w:ascii="CG Times" w:hAnsi="CG Times" w:cstheme="majorBidi"/>
          <w:sz w:val="28"/>
          <w:szCs w:val="28"/>
        </w:rPr>
        <w:t>excessive</w:t>
      </w:r>
      <w:r w:rsidRPr="00986E40">
        <w:rPr>
          <w:rFonts w:ascii="CG Times" w:hAnsi="CG Times" w:cstheme="majorBidi"/>
          <w:sz w:val="28"/>
          <w:szCs w:val="28"/>
        </w:rPr>
        <w:t xml:space="preserve"> weight on the fine print, and</w:t>
      </w:r>
      <w:r w:rsidR="00AF6FB3">
        <w:rPr>
          <w:rFonts w:ascii="CG Times" w:hAnsi="CG Times" w:cstheme="majorBidi"/>
          <w:sz w:val="28"/>
          <w:szCs w:val="28"/>
        </w:rPr>
        <w:t xml:space="preserve"> that they</w:t>
      </w:r>
      <w:r w:rsidRPr="00986E40">
        <w:rPr>
          <w:rFonts w:ascii="CG Times" w:hAnsi="CG Times" w:cstheme="majorBidi"/>
          <w:sz w:val="28"/>
          <w:szCs w:val="28"/>
        </w:rPr>
        <w:t xml:space="preserve"> believe </w:t>
      </w:r>
      <w:r w:rsidR="00020BE2" w:rsidRPr="00986E40">
        <w:rPr>
          <w:rFonts w:ascii="CG Times" w:hAnsi="CG Times" w:cstheme="majorBidi"/>
          <w:sz w:val="28"/>
          <w:szCs w:val="28"/>
        </w:rPr>
        <w:t>they are bound by whatever the contract says</w:t>
      </w:r>
      <w:r w:rsidRPr="00986E40">
        <w:rPr>
          <w:rFonts w:ascii="CG Times" w:hAnsi="CG Times" w:cstheme="majorBidi"/>
          <w:sz w:val="28"/>
          <w:szCs w:val="28"/>
        </w:rPr>
        <w:t xml:space="preserve">, </w:t>
      </w:r>
      <w:r w:rsidR="00AF6FB3">
        <w:rPr>
          <w:rFonts w:ascii="CG Times" w:hAnsi="CG Times" w:cstheme="majorBidi"/>
          <w:sz w:val="28"/>
          <w:szCs w:val="28"/>
        </w:rPr>
        <w:t>notwithstanding any</w:t>
      </w:r>
      <w:r w:rsidRPr="00986E40">
        <w:rPr>
          <w:rFonts w:ascii="CG Times" w:hAnsi="CG Times" w:cstheme="majorBidi"/>
          <w:sz w:val="28"/>
          <w:szCs w:val="28"/>
        </w:rPr>
        <w:t xml:space="preserve"> prior misrepresentation</w:t>
      </w:r>
      <w:r w:rsidR="00AF6FB3">
        <w:rPr>
          <w:rFonts w:ascii="CG Times" w:hAnsi="CG Times" w:cstheme="majorBidi"/>
          <w:sz w:val="28"/>
          <w:szCs w:val="28"/>
        </w:rPr>
        <w:t>s</w:t>
      </w:r>
      <w:r w:rsidRPr="00986E40">
        <w:rPr>
          <w:rFonts w:ascii="CG Times" w:hAnsi="CG Times" w:cstheme="majorBidi"/>
          <w:sz w:val="28"/>
          <w:szCs w:val="28"/>
        </w:rPr>
        <w:t xml:space="preserve">. </w:t>
      </w:r>
    </w:p>
    <w:p w14:paraId="06F68C37" w14:textId="77777777" w:rsidR="00366471" w:rsidRPr="00986E40" w:rsidRDefault="00366471" w:rsidP="00366471">
      <w:pPr>
        <w:rPr>
          <w:rFonts w:ascii="CG Times" w:hAnsi="CG Times" w:cstheme="majorBidi"/>
          <w:sz w:val="28"/>
          <w:szCs w:val="28"/>
        </w:rPr>
      </w:pPr>
    </w:p>
    <w:p w14:paraId="3B6DD58D" w14:textId="77777777" w:rsidR="00366471" w:rsidRPr="00986E40" w:rsidRDefault="00020BE2" w:rsidP="007F2674">
      <w:pPr>
        <w:ind w:firstLine="720"/>
        <w:rPr>
          <w:rFonts w:ascii="CG Times" w:hAnsi="CG Times" w:cstheme="majorBidi"/>
          <w:sz w:val="28"/>
          <w:szCs w:val="28"/>
        </w:rPr>
      </w:pPr>
      <w:r w:rsidRPr="00986E40">
        <w:rPr>
          <w:rFonts w:ascii="CG Times" w:hAnsi="CG Times" w:cstheme="majorBidi"/>
          <w:sz w:val="28"/>
          <w:szCs w:val="28"/>
        </w:rPr>
        <w:t>I</w:t>
      </w:r>
      <w:r w:rsidR="00366471" w:rsidRPr="00986E40">
        <w:rPr>
          <w:rFonts w:ascii="CG Times" w:hAnsi="CG Times" w:cstheme="majorBidi"/>
          <w:sz w:val="28"/>
          <w:szCs w:val="28"/>
        </w:rPr>
        <w:t xml:space="preserve">mportantly, </w:t>
      </w:r>
      <w:r w:rsidRPr="00986E40">
        <w:rPr>
          <w:rFonts w:ascii="CG Times" w:hAnsi="CG Times" w:cstheme="majorBidi"/>
          <w:sz w:val="28"/>
          <w:szCs w:val="28"/>
        </w:rPr>
        <w:t xml:space="preserve">as the following figure illustrates, </w:t>
      </w:r>
      <w:r w:rsidR="00366471" w:rsidRPr="00986E40">
        <w:rPr>
          <w:rFonts w:ascii="CG Times" w:hAnsi="CG Times" w:cstheme="majorBidi"/>
          <w:sz w:val="28"/>
          <w:szCs w:val="28"/>
        </w:rPr>
        <w:t xml:space="preserve">we also observed a </w:t>
      </w:r>
      <w:r w:rsidRPr="00986E40">
        <w:rPr>
          <w:rFonts w:ascii="CG Times" w:hAnsi="CG Times" w:cstheme="majorBidi"/>
          <w:sz w:val="28"/>
          <w:szCs w:val="28"/>
        </w:rPr>
        <w:t xml:space="preserve">mismatch </w:t>
      </w:r>
      <w:r w:rsidR="00366471" w:rsidRPr="00986E40">
        <w:rPr>
          <w:rFonts w:ascii="CG Times" w:hAnsi="CG Times" w:cstheme="majorBidi"/>
          <w:sz w:val="28"/>
          <w:szCs w:val="28"/>
        </w:rPr>
        <w:t>between consumers’ legal judgments and their moral intuitions.</w:t>
      </w:r>
    </w:p>
    <w:p w14:paraId="7FA64534" w14:textId="77777777" w:rsidR="00020BE2" w:rsidRPr="00986E40" w:rsidRDefault="00020BE2" w:rsidP="00366471">
      <w:pPr>
        <w:rPr>
          <w:rFonts w:ascii="CG Times" w:hAnsi="CG Times" w:cstheme="majorBidi"/>
          <w:sz w:val="28"/>
          <w:szCs w:val="28"/>
        </w:rPr>
      </w:pPr>
    </w:p>
    <w:p w14:paraId="28B9EAEE" w14:textId="77777777" w:rsidR="00020BE2" w:rsidRPr="00986E40" w:rsidRDefault="00020BE2" w:rsidP="00020BE2">
      <w:pPr>
        <w:rPr>
          <w:rFonts w:ascii="CG Times" w:hAnsi="CG Times" w:cstheme="majorBidi"/>
          <w:sz w:val="28"/>
          <w:szCs w:val="28"/>
        </w:rPr>
      </w:pPr>
      <w:r w:rsidRPr="00986E40">
        <w:rPr>
          <w:rFonts w:ascii="CG Times" w:hAnsi="CG Times" w:cstheme="majorBidi"/>
          <w:noProof/>
          <w:sz w:val="28"/>
          <w:szCs w:val="28"/>
        </w:rPr>
        <mc:AlternateContent>
          <mc:Choice Requires="wps">
            <w:drawing>
              <wp:anchor distT="0" distB="0" distL="114300" distR="114300" simplePos="0" relativeHeight="251659264" behindDoc="0" locked="0" layoutInCell="1" allowOverlap="1" wp14:anchorId="43B39C79" wp14:editId="5C869F54">
                <wp:simplePos x="0" y="0"/>
                <wp:positionH relativeFrom="column">
                  <wp:posOffset>-127359</wp:posOffset>
                </wp:positionH>
                <wp:positionV relativeFrom="paragraph">
                  <wp:posOffset>-341906</wp:posOffset>
                </wp:positionV>
                <wp:extent cx="6042632" cy="278296"/>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2632" cy="278296"/>
                        </a:xfrm>
                        <a:prstGeom prst="rect">
                          <a:avLst/>
                        </a:prstGeom>
                      </wps:spPr>
                      <wps:txbx>
                        <w:txbxContent>
                          <w:p w14:paraId="0C1F92FA" w14:textId="77777777" w:rsidR="00CD13FE" w:rsidRPr="00AF6FB3" w:rsidRDefault="00CD13FE" w:rsidP="00020BE2">
                            <w:pPr>
                              <w:pStyle w:val="NormalWeb"/>
                              <w:spacing w:before="0" w:beforeAutospacing="0" w:after="0" w:afterAutospacing="0"/>
                              <w:jc w:val="center"/>
                              <w:rPr>
                                <w:sz w:val="2"/>
                                <w:szCs w:val="2"/>
                              </w:rPr>
                            </w:pPr>
                            <w:r w:rsidRPr="007F2674">
                              <w:rPr>
                                <w:rFonts w:eastAsiaTheme="majorEastAsia"/>
                                <w:color w:val="000000" w:themeColor="text1"/>
                                <w:kern w:val="24"/>
                                <w:sz w:val="20"/>
                                <w:szCs w:val="20"/>
                              </w:rPr>
                              <w:t>Lay perceptions of Fraud &amp; Fine Print Cases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26" style="position:absolute;margin-left:-10.05pt;margin-top:-26.9pt;width:475.8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" filled="f" stroked="f">
                <v:path arrowok="t"/>
                <o:lock v:ext="edit" grouping="t"/>
                <v:textbox>
                  <w:txbxContent>
                    <w:p w14:paraId="0C1F92FA" w14:textId="77777777" w:rsidR="00CD13FE" w:rsidRPr="00AF6FB3" w:rsidRDefault="00CD13FE" w:rsidP="00020BE2">
                      <w:pPr>
                        <w:pStyle w:val="NormalWeb"/>
                        <w:spacing w:before="0" w:beforeAutospacing="0" w:after="0" w:afterAutospacing="0"/>
                        <w:jc w:val="center"/>
                        <w:rPr>
                          <w:sz w:val="2"/>
                          <w:szCs w:val="2"/>
                        </w:rPr>
                      </w:pPr>
                      <w:r w:rsidRPr="007F2674">
                        <w:rPr>
                          <w:rFonts w:eastAsiaTheme="majorEastAsia"/>
                          <w:color w:val="000000" w:themeColor="text1"/>
                          <w:kern w:val="24"/>
                          <w:sz w:val="20"/>
                          <w:szCs w:val="20"/>
                        </w:rPr>
                        <w:t>Lay perceptions of Fraud &amp; Fine Print Cases</w:t>
                      </w:r>
                    </w:p>
                  </w:txbxContent>
                </v:textbox>
              </v:rect>
            </w:pict>
          </mc:Fallback>
        </mc:AlternateContent>
      </w:r>
      <w:r w:rsidRPr="00986E40">
        <w:rPr>
          <w:rFonts w:ascii="CG Times" w:hAnsi="CG Times" w:cstheme="majorBidi"/>
          <w:noProof/>
          <w:sz w:val="28"/>
          <w:szCs w:val="28"/>
        </w:rPr>
        <w:drawing>
          <wp:inline distT="0" distB="0" distL="0" distR="0" wp14:anchorId="339B3D65" wp14:editId="6D4E67E6">
            <wp:extent cx="2576223" cy="3148716"/>
            <wp:effectExtent l="0" t="0" r="1460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86E40">
        <w:rPr>
          <w:rFonts w:ascii="CG Times" w:hAnsi="CG Times" w:cstheme="majorBidi"/>
          <w:noProof/>
          <w:sz w:val="28"/>
          <w:szCs w:val="28"/>
        </w:rPr>
        <w:drawing>
          <wp:inline distT="0" distB="0" distL="0" distR="0" wp14:anchorId="405A7BAC" wp14:editId="1441A316">
            <wp:extent cx="2576223" cy="3148716"/>
            <wp:effectExtent l="0" t="0" r="14605"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767CDB" w14:textId="77777777" w:rsidR="00020BE2" w:rsidRPr="00986E40" w:rsidRDefault="00366471" w:rsidP="00020BE2">
      <w:pPr>
        <w:ind w:firstLine="720"/>
        <w:rPr>
          <w:rFonts w:ascii="CG Times" w:hAnsi="CG Times" w:cstheme="majorBidi"/>
          <w:sz w:val="28"/>
          <w:szCs w:val="28"/>
        </w:rPr>
      </w:pPr>
      <w:r w:rsidRPr="00986E40">
        <w:rPr>
          <w:rFonts w:ascii="CG Times" w:hAnsi="CG Times" w:cstheme="majorBidi"/>
          <w:sz w:val="28"/>
          <w:szCs w:val="28"/>
        </w:rPr>
        <w:t xml:space="preserve">Even though consumers generally thought </w:t>
      </w:r>
      <w:r w:rsidR="00020BE2" w:rsidRPr="00986E40">
        <w:rPr>
          <w:rFonts w:ascii="CG Times" w:hAnsi="CG Times" w:cstheme="majorBidi"/>
          <w:sz w:val="28"/>
          <w:szCs w:val="28"/>
        </w:rPr>
        <w:t>it was</w:t>
      </w:r>
      <w:r w:rsidRPr="00986E40">
        <w:rPr>
          <w:rFonts w:ascii="CG Times" w:hAnsi="CG Times" w:cstheme="majorBidi"/>
          <w:sz w:val="28"/>
          <w:szCs w:val="28"/>
        </w:rPr>
        <w:t xml:space="preserve"> unfair to impose the fees on the non-reading and defrauded consumers, they generally thought </w:t>
      </w:r>
      <w:r w:rsidR="00020BE2" w:rsidRPr="00986E40">
        <w:rPr>
          <w:rFonts w:ascii="CG Times" w:hAnsi="CG Times" w:cstheme="majorBidi"/>
          <w:sz w:val="28"/>
          <w:szCs w:val="28"/>
        </w:rPr>
        <w:t>that this was</w:t>
      </w:r>
      <w:r w:rsidRPr="00986E40">
        <w:rPr>
          <w:rFonts w:ascii="CG Times" w:hAnsi="CG Times" w:cstheme="majorBidi"/>
          <w:sz w:val="28"/>
          <w:szCs w:val="28"/>
        </w:rPr>
        <w:t xml:space="preserve"> the current state of the law.</w:t>
      </w:r>
      <w:r w:rsidR="00020BE2" w:rsidRPr="00986E40">
        <w:rPr>
          <w:rStyle w:val="FootnoteReference"/>
          <w:rFonts w:ascii="CG Times" w:hAnsi="CG Times" w:cstheme="majorBidi"/>
          <w:sz w:val="28"/>
          <w:szCs w:val="28"/>
        </w:rPr>
        <w:footnoteReference w:id="44"/>
      </w:r>
      <w:r w:rsidRPr="00986E40">
        <w:rPr>
          <w:rFonts w:ascii="CG Times" w:hAnsi="CG Times" w:cstheme="majorBidi"/>
          <w:sz w:val="28"/>
          <w:szCs w:val="28"/>
        </w:rPr>
        <w:t xml:space="preserve"> </w:t>
      </w:r>
    </w:p>
    <w:p w14:paraId="7FA0D9F0" w14:textId="4613042F" w:rsidR="00020BE2" w:rsidRPr="00986E40" w:rsidRDefault="00366471" w:rsidP="00CE3D8F">
      <w:pPr>
        <w:ind w:firstLine="720"/>
        <w:jc w:val="both"/>
        <w:rPr>
          <w:rFonts w:ascii="CG Times" w:hAnsi="CG Times" w:cstheme="majorBidi"/>
          <w:sz w:val="28"/>
          <w:szCs w:val="28"/>
        </w:rPr>
      </w:pPr>
      <w:r w:rsidRPr="00986E40">
        <w:rPr>
          <w:rFonts w:ascii="CG Times" w:hAnsi="CG Times" w:cstheme="majorBidi"/>
          <w:sz w:val="28"/>
          <w:szCs w:val="28"/>
        </w:rPr>
        <w:t>We also asked participants what they would do if they were in the consumer’s shoes.</w:t>
      </w:r>
      <w:r w:rsidR="00020BE2" w:rsidRPr="00986E40">
        <w:rPr>
          <w:rFonts w:ascii="CG Times" w:hAnsi="CG Times" w:cstheme="majorBidi"/>
          <w:sz w:val="28"/>
          <w:szCs w:val="28"/>
        </w:rPr>
        <w:t xml:space="preserve"> </w:t>
      </w:r>
      <w:r w:rsidR="00C46CAC">
        <w:rPr>
          <w:rFonts w:ascii="CG Times" w:hAnsi="CG Times" w:cstheme="majorBidi"/>
          <w:sz w:val="28"/>
          <w:szCs w:val="28"/>
        </w:rPr>
        <w:t>T</w:t>
      </w:r>
      <w:r w:rsidRPr="00986E40">
        <w:rPr>
          <w:rFonts w:ascii="CG Times" w:hAnsi="CG Times" w:cstheme="majorBidi"/>
          <w:sz w:val="28"/>
          <w:szCs w:val="28"/>
        </w:rPr>
        <w:t xml:space="preserve">hree independent </w:t>
      </w:r>
      <w:r w:rsidR="00C46CAC">
        <w:rPr>
          <w:rFonts w:ascii="CG Times" w:hAnsi="CG Times" w:cstheme="majorBidi"/>
          <w:sz w:val="28"/>
          <w:szCs w:val="28"/>
        </w:rPr>
        <w:t>research assistants</w:t>
      </w:r>
      <w:r w:rsidR="00C46CAC" w:rsidRPr="00986E40">
        <w:rPr>
          <w:rFonts w:ascii="CG Times" w:hAnsi="CG Times" w:cstheme="majorBidi"/>
          <w:sz w:val="28"/>
          <w:szCs w:val="28"/>
        </w:rPr>
        <w:t xml:space="preserve"> </w:t>
      </w:r>
      <w:r w:rsidRPr="00986E40">
        <w:rPr>
          <w:rFonts w:ascii="CG Times" w:hAnsi="CG Times" w:cstheme="majorBidi"/>
          <w:sz w:val="28"/>
          <w:szCs w:val="28"/>
        </w:rPr>
        <w:t>code</w:t>
      </w:r>
      <w:r w:rsidR="00C46CAC">
        <w:rPr>
          <w:rFonts w:ascii="CG Times" w:hAnsi="CG Times" w:cstheme="majorBidi"/>
          <w:sz w:val="28"/>
          <w:szCs w:val="28"/>
        </w:rPr>
        <w:t>d the</w:t>
      </w:r>
      <w:r w:rsidRPr="00986E40">
        <w:rPr>
          <w:rFonts w:ascii="CG Times" w:hAnsi="CG Times" w:cstheme="majorBidi"/>
          <w:sz w:val="28"/>
          <w:szCs w:val="28"/>
        </w:rPr>
        <w:t xml:space="preserve"> participants’ qualitative responses.</w:t>
      </w:r>
      <w:r w:rsidR="00020BE2" w:rsidRPr="00986E40">
        <w:rPr>
          <w:rFonts w:ascii="CG Times" w:hAnsi="CG Times" w:cstheme="majorBidi"/>
          <w:sz w:val="28"/>
          <w:szCs w:val="28"/>
        </w:rPr>
        <w:t xml:space="preserve"> R</w:t>
      </w:r>
      <w:r w:rsidRPr="00986E40">
        <w:rPr>
          <w:rFonts w:ascii="CG Times" w:hAnsi="CG Times" w:cstheme="majorBidi"/>
          <w:sz w:val="28"/>
          <w:szCs w:val="28"/>
        </w:rPr>
        <w:t>emarkably, most participants</w:t>
      </w:r>
      <w:r w:rsidR="00091A24">
        <w:rPr>
          <w:rFonts w:ascii="CG Times" w:hAnsi="CG Times" w:cstheme="majorBidi"/>
          <w:sz w:val="28"/>
          <w:szCs w:val="28"/>
        </w:rPr>
        <w:t xml:space="preserve"> (85%)</w:t>
      </w:r>
      <w:r w:rsidRPr="00986E40">
        <w:rPr>
          <w:rFonts w:ascii="CG Times" w:hAnsi="CG Times" w:cstheme="majorBidi"/>
          <w:sz w:val="28"/>
          <w:szCs w:val="28"/>
        </w:rPr>
        <w:t xml:space="preserve"> in the </w:t>
      </w:r>
      <w:r w:rsidR="00651CA3">
        <w:rPr>
          <w:rFonts w:ascii="CG Times" w:hAnsi="CG Times" w:cstheme="majorBidi" w:hint="eastAsia"/>
          <w:sz w:val="28"/>
          <w:szCs w:val="28"/>
        </w:rPr>
        <w:t>“</w:t>
      </w:r>
      <w:r w:rsidR="00651CA3">
        <w:rPr>
          <w:rFonts w:ascii="CG Times" w:hAnsi="CG Times" w:cstheme="majorBidi"/>
          <w:iCs/>
          <w:sz w:val="28"/>
          <w:szCs w:val="28"/>
        </w:rPr>
        <w:t>f</w:t>
      </w:r>
      <w:r w:rsidR="00020BE2" w:rsidRPr="007F2674">
        <w:rPr>
          <w:rFonts w:ascii="CG Times" w:hAnsi="CG Times" w:cstheme="majorBidi"/>
          <w:iCs/>
          <w:sz w:val="28"/>
          <w:szCs w:val="28"/>
        </w:rPr>
        <w:t xml:space="preserve">raud </w:t>
      </w:r>
      <w:r w:rsidR="00651CA3">
        <w:rPr>
          <w:rFonts w:ascii="CG Times" w:hAnsi="CG Times" w:cstheme="majorBidi"/>
          <w:iCs/>
          <w:sz w:val="28"/>
          <w:szCs w:val="28"/>
        </w:rPr>
        <w:t>o</w:t>
      </w:r>
      <w:r w:rsidR="00020BE2" w:rsidRPr="007F2674">
        <w:rPr>
          <w:rFonts w:ascii="CG Times" w:hAnsi="CG Times" w:cstheme="majorBidi"/>
          <w:iCs/>
          <w:sz w:val="28"/>
          <w:szCs w:val="28"/>
        </w:rPr>
        <w:t>nly</w:t>
      </w:r>
      <w:r w:rsidR="00651CA3">
        <w:rPr>
          <w:rFonts w:ascii="CG Times" w:hAnsi="CG Times" w:cstheme="majorBidi" w:hint="eastAsia"/>
          <w:iCs/>
          <w:sz w:val="28"/>
          <w:szCs w:val="28"/>
        </w:rPr>
        <w:t>”</w:t>
      </w:r>
      <w:r w:rsidRPr="00986E40">
        <w:rPr>
          <w:rFonts w:ascii="CG Times" w:hAnsi="CG Times" w:cstheme="majorBidi"/>
          <w:sz w:val="28"/>
          <w:szCs w:val="28"/>
        </w:rPr>
        <w:t xml:space="preserve"> condition expressed interest in taking some kind of action, including legal action, against the company.</w:t>
      </w:r>
      <w:r w:rsidR="00091A24">
        <w:rPr>
          <w:rStyle w:val="FootnoteReference"/>
          <w:rFonts w:ascii="CG Times" w:hAnsi="CG Times" w:cstheme="majorBidi"/>
          <w:sz w:val="28"/>
          <w:szCs w:val="28"/>
        </w:rPr>
        <w:footnoteReference w:id="45"/>
      </w:r>
      <w:r w:rsidRPr="00986E40">
        <w:rPr>
          <w:rFonts w:ascii="CG Times" w:hAnsi="CG Times" w:cstheme="majorBidi"/>
          <w:sz w:val="28"/>
          <w:szCs w:val="28"/>
        </w:rPr>
        <w:t xml:space="preserve"> </w:t>
      </w:r>
      <w:r w:rsidR="00020BE2" w:rsidRPr="00986E40">
        <w:rPr>
          <w:rFonts w:ascii="CG Times" w:hAnsi="CG Times" w:cstheme="majorBidi"/>
          <w:sz w:val="28"/>
          <w:szCs w:val="28"/>
        </w:rPr>
        <w:t>S</w:t>
      </w:r>
      <w:r w:rsidRPr="00986E40">
        <w:rPr>
          <w:rFonts w:ascii="CG Times" w:hAnsi="CG Times" w:cstheme="majorBidi"/>
          <w:sz w:val="28"/>
          <w:szCs w:val="28"/>
        </w:rPr>
        <w:t>ome mentioned tarnishing the company’s reputation or</w:t>
      </w:r>
      <w:r w:rsidR="00020BE2" w:rsidRPr="00986E40">
        <w:rPr>
          <w:rFonts w:ascii="CG Times" w:hAnsi="CG Times" w:cstheme="majorBidi"/>
          <w:sz w:val="28"/>
          <w:szCs w:val="28"/>
        </w:rPr>
        <w:t xml:space="preserve"> complaining to management. </w:t>
      </w:r>
      <w:r w:rsidRPr="00986E40">
        <w:rPr>
          <w:rFonts w:ascii="CG Times" w:hAnsi="CG Times" w:cstheme="majorBidi"/>
          <w:sz w:val="28"/>
          <w:szCs w:val="28"/>
        </w:rPr>
        <w:t>By contrast, participants in the other two conditions involving the permissive fine print</w:t>
      </w:r>
      <w:r w:rsidRPr="00986E40">
        <w:rPr>
          <w:rFonts w:ascii="CG Times" w:hAnsi="CG Times" w:cstheme="majorBidi"/>
          <w:b/>
          <w:bCs/>
          <w:sz w:val="28"/>
          <w:szCs w:val="28"/>
        </w:rPr>
        <w:t xml:space="preserve"> </w:t>
      </w:r>
      <w:r w:rsidR="00020BE2" w:rsidRPr="00986E40">
        <w:rPr>
          <w:rFonts w:ascii="CG Times" w:hAnsi="CG Times" w:cstheme="majorBidi"/>
          <w:sz w:val="28"/>
          <w:szCs w:val="28"/>
        </w:rPr>
        <w:t>exhibited the opposite trend. M</w:t>
      </w:r>
      <w:r w:rsidRPr="00986E40">
        <w:rPr>
          <w:rFonts w:ascii="CG Times" w:hAnsi="CG Times" w:cstheme="majorBidi"/>
          <w:sz w:val="28"/>
          <w:szCs w:val="28"/>
        </w:rPr>
        <w:t xml:space="preserve">ost of them expressed willingness to pay the fees and learn their lesson going forward, while the proportion of people that expressed interest in taking some sort of action shrank by half: from </w:t>
      </w:r>
      <w:r w:rsidR="00CE3D8F">
        <w:rPr>
          <w:rFonts w:ascii="CG Times" w:hAnsi="CG Times" w:cstheme="majorBidi"/>
          <w:sz w:val="28"/>
          <w:szCs w:val="28"/>
        </w:rPr>
        <w:t>8</w:t>
      </w:r>
      <w:r w:rsidRPr="00986E40">
        <w:rPr>
          <w:rFonts w:ascii="CG Times" w:hAnsi="CG Times" w:cstheme="majorBidi"/>
          <w:sz w:val="28"/>
          <w:szCs w:val="28"/>
        </w:rPr>
        <w:t>5% to about 30%.</w:t>
      </w:r>
      <w:r w:rsidR="00020BE2" w:rsidRPr="00986E40">
        <w:rPr>
          <w:rStyle w:val="FootnoteReference"/>
          <w:rFonts w:ascii="CG Times" w:hAnsi="CG Times" w:cstheme="majorBidi"/>
          <w:sz w:val="28"/>
          <w:szCs w:val="28"/>
        </w:rPr>
        <w:footnoteReference w:id="46"/>
      </w:r>
      <w:r w:rsidRPr="00986E40">
        <w:rPr>
          <w:rFonts w:ascii="CG Times" w:hAnsi="CG Times" w:cstheme="majorBidi"/>
          <w:sz w:val="28"/>
          <w:szCs w:val="28"/>
        </w:rPr>
        <w:t xml:space="preserve"> </w:t>
      </w:r>
      <w:r w:rsidR="00020BE2" w:rsidRPr="00986E40">
        <w:rPr>
          <w:rFonts w:ascii="CG Times" w:hAnsi="CG Times" w:cstheme="majorBidi"/>
          <w:sz w:val="28"/>
          <w:szCs w:val="28"/>
        </w:rPr>
        <w:t xml:space="preserve">These findings illustrate that </w:t>
      </w:r>
      <w:r w:rsidR="00206034">
        <w:rPr>
          <w:rFonts w:ascii="CG Times" w:hAnsi="CG Times" w:cstheme="majorBidi"/>
          <w:sz w:val="28"/>
          <w:szCs w:val="28"/>
        </w:rPr>
        <w:t>t</w:t>
      </w:r>
      <w:r w:rsidRPr="00986E40">
        <w:rPr>
          <w:rFonts w:ascii="CG Times" w:hAnsi="CG Times" w:cstheme="majorBidi"/>
          <w:sz w:val="28"/>
          <w:szCs w:val="28"/>
        </w:rPr>
        <w:t xml:space="preserve">he fine print plays a role in shaping </w:t>
      </w:r>
      <w:r w:rsidR="00206034">
        <w:rPr>
          <w:rFonts w:ascii="CG Times" w:hAnsi="CG Times" w:cstheme="majorBidi"/>
          <w:sz w:val="28"/>
          <w:szCs w:val="28"/>
        </w:rPr>
        <w:t xml:space="preserve">not only </w:t>
      </w:r>
      <w:r w:rsidRPr="00986E40">
        <w:rPr>
          <w:rFonts w:ascii="CG Times" w:hAnsi="CG Times" w:cstheme="majorBidi"/>
          <w:sz w:val="28"/>
          <w:szCs w:val="28"/>
        </w:rPr>
        <w:t>people’s perceptions, but also their decisions.</w:t>
      </w:r>
    </w:p>
    <w:p w14:paraId="58D5BA1B" w14:textId="77777777" w:rsidR="00366471" w:rsidRPr="00986E40" w:rsidRDefault="00020BE2" w:rsidP="00020BE2">
      <w:pPr>
        <w:pStyle w:val="ListParagraph"/>
        <w:numPr>
          <w:ilvl w:val="0"/>
          <w:numId w:val="2"/>
        </w:numPr>
        <w:jc w:val="both"/>
        <w:rPr>
          <w:rFonts w:ascii="CG Times" w:hAnsi="CG Times" w:cstheme="majorBidi"/>
          <w:i/>
          <w:iCs/>
          <w:sz w:val="28"/>
          <w:szCs w:val="28"/>
        </w:rPr>
      </w:pPr>
      <w:r w:rsidRPr="00986E40">
        <w:rPr>
          <w:rFonts w:ascii="CG Times" w:hAnsi="CG Times" w:cstheme="majorBidi"/>
          <w:i/>
          <w:iCs/>
          <w:sz w:val="28"/>
          <w:szCs w:val="28"/>
        </w:rPr>
        <w:t>Concluding Remarks</w:t>
      </w:r>
      <w:r w:rsidR="00366471" w:rsidRPr="00986E40">
        <w:rPr>
          <w:rFonts w:ascii="CG Times" w:hAnsi="CG Times" w:cstheme="majorBidi"/>
          <w:i/>
          <w:iCs/>
          <w:sz w:val="28"/>
          <w:szCs w:val="28"/>
        </w:rPr>
        <w:t xml:space="preserve"> </w:t>
      </w:r>
    </w:p>
    <w:p w14:paraId="1A5189A2" w14:textId="6254B14F" w:rsidR="00E1261A" w:rsidRPr="00986E40" w:rsidRDefault="00366471" w:rsidP="00E1261A">
      <w:pPr>
        <w:ind w:firstLine="720"/>
        <w:jc w:val="both"/>
        <w:rPr>
          <w:rFonts w:ascii="CG Times" w:hAnsi="CG Times" w:cstheme="majorBidi"/>
          <w:sz w:val="28"/>
          <w:szCs w:val="28"/>
        </w:rPr>
      </w:pPr>
      <w:r w:rsidRPr="00986E40">
        <w:rPr>
          <w:rFonts w:ascii="CG Times" w:hAnsi="CG Times" w:cstheme="majorBidi"/>
          <w:sz w:val="28"/>
          <w:szCs w:val="28"/>
        </w:rPr>
        <w:t xml:space="preserve">So, what can we learn from all of this? </w:t>
      </w:r>
      <w:r w:rsidR="00020BE2" w:rsidRPr="00986E40">
        <w:rPr>
          <w:rFonts w:ascii="CG Times" w:hAnsi="CG Times" w:cstheme="majorBidi"/>
          <w:sz w:val="28"/>
          <w:szCs w:val="28"/>
        </w:rPr>
        <w:t>W</w:t>
      </w:r>
      <w:r w:rsidRPr="00986E40">
        <w:rPr>
          <w:rFonts w:ascii="CG Times" w:hAnsi="CG Times" w:cstheme="majorBidi"/>
          <w:sz w:val="28"/>
          <w:szCs w:val="28"/>
        </w:rPr>
        <w:t xml:space="preserve">e started by observing that consumer markets are prone to, and often suffer from, behavioral market failures. These failures are the result of the interaction between consumer psychology and imperfect information on </w:t>
      </w:r>
      <w:r w:rsidR="00333383">
        <w:rPr>
          <w:rFonts w:ascii="CG Times" w:hAnsi="CG Times" w:cstheme="majorBidi"/>
          <w:sz w:val="28"/>
          <w:szCs w:val="28"/>
        </w:rPr>
        <w:t xml:space="preserve">the </w:t>
      </w:r>
      <w:r w:rsidRPr="00986E40">
        <w:rPr>
          <w:rFonts w:ascii="CG Times" w:hAnsi="CG Times" w:cstheme="majorBidi"/>
          <w:sz w:val="28"/>
          <w:szCs w:val="28"/>
        </w:rPr>
        <w:t>one hand, and m</w:t>
      </w:r>
      <w:r w:rsidR="00774ECF" w:rsidRPr="00986E40">
        <w:rPr>
          <w:rFonts w:ascii="CG Times" w:hAnsi="CG Times" w:cstheme="majorBidi"/>
          <w:sz w:val="28"/>
          <w:szCs w:val="28"/>
        </w:rPr>
        <w:t>arket forces on the other hand. Consequently</w:t>
      </w:r>
      <w:r w:rsidRPr="00986E40">
        <w:rPr>
          <w:rFonts w:ascii="CG Times" w:hAnsi="CG Times" w:cstheme="majorBidi"/>
          <w:sz w:val="28"/>
          <w:szCs w:val="28"/>
        </w:rPr>
        <w:t>, we see that sellers often use one-sided terms in the fine print, or even terms that exploit consumers’ systematic biases or misperceptions.</w:t>
      </w:r>
      <w:r w:rsidR="00E1261A" w:rsidRPr="00986E40">
        <w:rPr>
          <w:rFonts w:ascii="CG Times" w:hAnsi="CG Times" w:cstheme="majorBidi"/>
          <w:sz w:val="28"/>
          <w:szCs w:val="28"/>
        </w:rPr>
        <w:t xml:space="preserve"> </w:t>
      </w:r>
    </w:p>
    <w:p w14:paraId="4519CDF0" w14:textId="6B5CCF68" w:rsidR="00366471" w:rsidRPr="00986E40" w:rsidRDefault="00E1261A" w:rsidP="00CE3D8F">
      <w:pPr>
        <w:ind w:firstLine="720"/>
        <w:jc w:val="both"/>
        <w:rPr>
          <w:rFonts w:ascii="CG Times" w:hAnsi="CG Times" w:cstheme="majorBidi"/>
          <w:sz w:val="28"/>
          <w:szCs w:val="28"/>
        </w:rPr>
      </w:pPr>
      <w:r w:rsidRPr="00986E40">
        <w:rPr>
          <w:rFonts w:ascii="CG Times" w:hAnsi="CG Times" w:cstheme="majorBidi"/>
          <w:sz w:val="28"/>
          <w:szCs w:val="28"/>
        </w:rPr>
        <w:t>We</w:t>
      </w:r>
      <w:r w:rsidR="00366471" w:rsidRPr="00986E40">
        <w:rPr>
          <w:rFonts w:ascii="CG Times" w:hAnsi="CG Times" w:cstheme="majorBidi"/>
          <w:sz w:val="28"/>
          <w:szCs w:val="28"/>
        </w:rPr>
        <w:t xml:space="preserve"> </w:t>
      </w:r>
      <w:r w:rsidRPr="00986E40">
        <w:rPr>
          <w:rFonts w:ascii="CG Times" w:hAnsi="CG Times" w:cstheme="majorBidi"/>
          <w:sz w:val="28"/>
          <w:szCs w:val="28"/>
        </w:rPr>
        <w:t>then</w:t>
      </w:r>
      <w:r w:rsidR="00366471" w:rsidRPr="00986E40">
        <w:rPr>
          <w:rFonts w:ascii="CG Times" w:hAnsi="CG Times" w:cstheme="majorBidi"/>
          <w:sz w:val="28"/>
          <w:szCs w:val="28"/>
        </w:rPr>
        <w:t xml:space="preserve"> surveyed the regulatory tools that policymakers use in order to combat these deceptive market practices, with a focus on the stronger, more coercive, tools in the policymaker’s arsenal. But we saw that although these tools are promising, they might not achieve their intended effect as long as they rely </w:t>
      </w:r>
      <w:r w:rsidR="00333383">
        <w:rPr>
          <w:rFonts w:ascii="CG Times" w:hAnsi="CG Times" w:cstheme="majorBidi"/>
          <w:sz w:val="28"/>
          <w:szCs w:val="28"/>
        </w:rPr>
        <w:t>mainly up</w:t>
      </w:r>
      <w:r w:rsidR="00366471" w:rsidRPr="00986E40">
        <w:rPr>
          <w:rFonts w:ascii="CG Times" w:hAnsi="CG Times" w:cstheme="majorBidi"/>
          <w:sz w:val="28"/>
          <w:szCs w:val="28"/>
        </w:rPr>
        <w:t>on consumers to take action. This is because as long as consumers remain uninformed about the law, they are unlikely to complain or take action against a deceptive company</w:t>
      </w:r>
      <w:r w:rsidR="00333383">
        <w:rPr>
          <w:rFonts w:ascii="CG Times" w:hAnsi="CG Times" w:cstheme="majorBidi"/>
          <w:sz w:val="28"/>
          <w:szCs w:val="28"/>
        </w:rPr>
        <w:t>—</w:t>
      </w:r>
      <w:r w:rsidR="00366471" w:rsidRPr="00986E40">
        <w:rPr>
          <w:rFonts w:ascii="CG Times" w:hAnsi="CG Times" w:cstheme="majorBidi"/>
          <w:sz w:val="28"/>
          <w:szCs w:val="28"/>
        </w:rPr>
        <w:t>even when they face unenforceable or deceptive terms, and even when they were victims of pre-</w:t>
      </w:r>
      <w:r w:rsidRPr="00986E40">
        <w:rPr>
          <w:rFonts w:ascii="CG Times" w:hAnsi="CG Times" w:cstheme="majorBidi"/>
          <w:sz w:val="28"/>
          <w:szCs w:val="28"/>
        </w:rPr>
        <w:t>contractual misrepresentation</w:t>
      </w:r>
      <w:r w:rsidR="00333383">
        <w:rPr>
          <w:rFonts w:ascii="CG Times" w:hAnsi="CG Times" w:cstheme="majorBidi"/>
          <w:sz w:val="28"/>
          <w:szCs w:val="28"/>
        </w:rPr>
        <w:t>s</w:t>
      </w:r>
      <w:r w:rsidRPr="00986E40">
        <w:rPr>
          <w:rFonts w:ascii="CG Times" w:hAnsi="CG Times" w:cstheme="majorBidi"/>
          <w:sz w:val="28"/>
          <w:szCs w:val="28"/>
        </w:rPr>
        <w:t xml:space="preserve">. </w:t>
      </w:r>
      <w:r w:rsidR="00366471" w:rsidRPr="00986E40">
        <w:rPr>
          <w:rFonts w:ascii="CG Times" w:hAnsi="CG Times" w:cstheme="majorBidi"/>
          <w:sz w:val="28"/>
          <w:szCs w:val="28"/>
        </w:rPr>
        <w:t xml:space="preserve">I therefore believe that public enforcement mechanisms should be prepared to take on the </w:t>
      </w:r>
      <w:r w:rsidR="00CE3D8F">
        <w:rPr>
          <w:rFonts w:ascii="CG Times" w:hAnsi="CG Times" w:cstheme="majorBidi"/>
          <w:sz w:val="28"/>
          <w:szCs w:val="28"/>
        </w:rPr>
        <w:t>lion’s</w:t>
      </w:r>
      <w:r w:rsidR="00366471" w:rsidRPr="00986E40">
        <w:rPr>
          <w:rFonts w:ascii="CG Times" w:hAnsi="CG Times" w:cstheme="majorBidi"/>
          <w:sz w:val="28"/>
          <w:szCs w:val="28"/>
        </w:rPr>
        <w:t xml:space="preserve"> share of enforcement, as consumers, thanks to their formalistic intuitions about the contract and the law, are unlikely to protect themselves.</w:t>
      </w:r>
    </w:p>
    <w:p w14:paraId="09FE51F9" w14:textId="77777777" w:rsidR="00366471" w:rsidRPr="00986E40" w:rsidRDefault="00366471" w:rsidP="00366471">
      <w:pPr>
        <w:rPr>
          <w:rFonts w:ascii="CG Times" w:hAnsi="CG Times" w:cstheme="majorBidi"/>
          <w:sz w:val="28"/>
          <w:szCs w:val="28"/>
        </w:rPr>
      </w:pPr>
    </w:p>
    <w:p w14:paraId="7C9B7281" w14:textId="77777777" w:rsidR="00A36714" w:rsidRPr="00986E40" w:rsidRDefault="00A36714" w:rsidP="001F5535">
      <w:pPr>
        <w:rPr>
          <w:rFonts w:ascii="CG Times" w:hAnsi="CG Times" w:cstheme="majorBidi"/>
          <w:sz w:val="28"/>
          <w:szCs w:val="28"/>
        </w:rPr>
      </w:pPr>
    </w:p>
    <w:sectPr w:rsidR="00A36714" w:rsidRPr="00986E40">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C39470" w15:done="0"/>
  <w15:commentEx w15:paraId="062259B8" w15:done="0"/>
  <w15:commentEx w15:paraId="6ED890D4" w15:done="0"/>
  <w15:commentEx w15:paraId="0538FC92" w15:done="0"/>
  <w15:commentEx w15:paraId="763E21B6" w15:done="0"/>
  <w15:commentEx w15:paraId="48A0378E" w15:done="0"/>
  <w15:commentEx w15:paraId="458026EA" w15:done="0"/>
  <w15:commentEx w15:paraId="6061C12A" w15:done="0"/>
  <w15:commentEx w15:paraId="6D3B4897" w15:done="0"/>
  <w15:commentEx w15:paraId="59E68CC1" w15:done="0"/>
  <w15:commentEx w15:paraId="6D518064" w15:done="0"/>
  <w15:commentEx w15:paraId="329E5B8C" w15:done="0"/>
  <w15:commentEx w15:paraId="36D579AB" w15:done="0"/>
  <w15:commentEx w15:paraId="75ED3248" w15:done="0"/>
  <w15:commentEx w15:paraId="010F4EA6" w15:done="0"/>
  <w15:commentEx w15:paraId="62F08FB9" w15:done="0"/>
  <w15:commentEx w15:paraId="040DC93D" w15:done="0"/>
  <w15:commentEx w15:paraId="786EB901" w15:done="0"/>
  <w15:commentEx w15:paraId="3EE8D602" w15:done="0"/>
  <w15:commentEx w15:paraId="54055BAB" w15:done="0"/>
  <w15:commentEx w15:paraId="0BEFE04E" w15:done="0"/>
  <w15:commentEx w15:paraId="3CE43F14" w15:done="0"/>
  <w15:commentEx w15:paraId="1001C797" w15:done="0"/>
  <w15:commentEx w15:paraId="406977D2" w15:done="0"/>
  <w15:commentEx w15:paraId="28C87653" w15:done="0"/>
  <w15:commentEx w15:paraId="48157672" w15:done="0"/>
  <w15:commentEx w15:paraId="3419484D" w15:done="0"/>
  <w15:commentEx w15:paraId="5BF1E234" w15:done="0"/>
  <w15:commentEx w15:paraId="35878A41" w15:done="0"/>
  <w15:commentEx w15:paraId="3BB662CE" w15:done="0"/>
  <w15:commentEx w15:paraId="351A430F" w15:done="0"/>
  <w15:commentEx w15:paraId="2F8C862C" w15:done="0"/>
  <w15:commentEx w15:paraId="7011F54D" w15:done="0"/>
  <w15:commentEx w15:paraId="7BF8A58D" w15:done="0"/>
  <w15:commentEx w15:paraId="697FA5CF" w15:done="0"/>
  <w15:commentEx w15:paraId="6622FF8F" w15:done="0"/>
  <w15:commentEx w15:paraId="449CF764" w15:done="0"/>
  <w15:commentEx w15:paraId="43D96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39470" w16cid:durableId="1F055FC6"/>
  <w16cid:commentId w16cid:paraId="062259B8" w16cid:durableId="1F055FC7"/>
  <w16cid:commentId w16cid:paraId="6ED890D4" w16cid:durableId="1F055FC8"/>
  <w16cid:commentId w16cid:paraId="0538FC92" w16cid:durableId="1F055FC9"/>
  <w16cid:commentId w16cid:paraId="763E21B6" w16cid:durableId="1F055FCA"/>
  <w16cid:commentId w16cid:paraId="48A0378E" w16cid:durableId="1F055FCB"/>
  <w16cid:commentId w16cid:paraId="458026EA" w16cid:durableId="1F055FCC"/>
  <w16cid:commentId w16cid:paraId="6061C12A" w16cid:durableId="1F055FCD"/>
  <w16cid:commentId w16cid:paraId="6D3B4897" w16cid:durableId="1F055FCE"/>
  <w16cid:commentId w16cid:paraId="59E68CC1" w16cid:durableId="1F055FCF"/>
  <w16cid:commentId w16cid:paraId="6D518064" w16cid:durableId="1F055FD0"/>
  <w16cid:commentId w16cid:paraId="329E5B8C" w16cid:durableId="1F055FD1"/>
  <w16cid:commentId w16cid:paraId="36D579AB" w16cid:durableId="1F055FD2"/>
  <w16cid:commentId w16cid:paraId="75ED3248" w16cid:durableId="1F055FD3"/>
  <w16cid:commentId w16cid:paraId="010F4EA6" w16cid:durableId="1F057C09"/>
  <w16cid:commentId w16cid:paraId="62F08FB9" w16cid:durableId="1F057ACF"/>
  <w16cid:commentId w16cid:paraId="040DC93D" w16cid:durableId="1F055FD4"/>
  <w16cid:commentId w16cid:paraId="786EB901" w16cid:durableId="1F055FD5"/>
  <w16cid:commentId w16cid:paraId="3EE8D602" w16cid:durableId="1F055FD6"/>
  <w16cid:commentId w16cid:paraId="54055BAB" w16cid:durableId="1F05796A"/>
  <w16cid:commentId w16cid:paraId="0BEFE04E" w16cid:durableId="1F0574D7"/>
  <w16cid:commentId w16cid:paraId="3CE43F14" w16cid:durableId="1F055FD7"/>
  <w16cid:commentId w16cid:paraId="1001C797" w16cid:durableId="1F055FD8"/>
  <w16cid:commentId w16cid:paraId="406977D2" w16cid:durableId="1F05722E"/>
  <w16cid:commentId w16cid:paraId="28C87653" w16cid:durableId="1F055FD9"/>
  <w16cid:commentId w16cid:paraId="48157672" w16cid:durableId="1F055FDA"/>
  <w16cid:commentId w16cid:paraId="3419484D" w16cid:durableId="1F055FDB"/>
  <w16cid:commentId w16cid:paraId="5BF1E234" w16cid:durableId="1F055FDC"/>
  <w16cid:commentId w16cid:paraId="35878A41" w16cid:durableId="1F055FDD"/>
  <w16cid:commentId w16cid:paraId="3BB662CE" w16cid:durableId="1F055FDE"/>
  <w16cid:commentId w16cid:paraId="351A430F" w16cid:durableId="1F055FDF"/>
  <w16cid:commentId w16cid:paraId="2F8C862C" w16cid:durableId="1F057810"/>
  <w16cid:commentId w16cid:paraId="7011F54D" w16cid:durableId="1F05773E"/>
  <w16cid:commentId w16cid:paraId="7BF8A58D" w16cid:durableId="1F055FE0"/>
  <w16cid:commentId w16cid:paraId="697FA5CF" w16cid:durableId="1F055FE1"/>
  <w16cid:commentId w16cid:paraId="6622FF8F" w16cid:durableId="1F055FE2"/>
  <w16cid:commentId w16cid:paraId="449CF764" w16cid:durableId="1F055FE3"/>
  <w16cid:commentId w16cid:paraId="43D96FA5" w16cid:durableId="1F055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0351" w14:textId="77777777" w:rsidR="00EE095A" w:rsidRDefault="00EE095A" w:rsidP="00366471">
      <w:pPr>
        <w:spacing w:after="0" w:line="240" w:lineRule="auto"/>
      </w:pPr>
      <w:r>
        <w:separator/>
      </w:r>
    </w:p>
  </w:endnote>
  <w:endnote w:type="continuationSeparator" w:id="0">
    <w:p w14:paraId="7BFAAB03" w14:textId="77777777" w:rsidR="00EE095A" w:rsidRDefault="00EE095A" w:rsidP="0036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22646829"/>
      <w:docPartObj>
        <w:docPartGallery w:val="Page Numbers (Bottom of Page)"/>
        <w:docPartUnique/>
      </w:docPartObj>
    </w:sdtPr>
    <w:sdtEndPr>
      <w:rPr>
        <w:noProof/>
      </w:rPr>
    </w:sdtEndPr>
    <w:sdtContent>
      <w:p w14:paraId="0649AE87" w14:textId="77777777" w:rsidR="00CD13FE" w:rsidRPr="007F2674" w:rsidRDefault="00CD13FE">
        <w:pPr>
          <w:pStyle w:val="Footer"/>
          <w:rPr>
            <w:rFonts w:ascii="Times New Roman" w:hAnsi="Times New Roman" w:cs="Times New Roman"/>
          </w:rPr>
        </w:pPr>
        <w:r w:rsidRPr="007F2674">
          <w:rPr>
            <w:rFonts w:ascii="Times New Roman" w:hAnsi="Times New Roman" w:cs="Times New Roman"/>
          </w:rPr>
          <w:fldChar w:fldCharType="begin"/>
        </w:r>
        <w:r w:rsidRPr="007F2674">
          <w:rPr>
            <w:rFonts w:ascii="Times New Roman" w:hAnsi="Times New Roman" w:cs="Times New Roman"/>
          </w:rPr>
          <w:instrText xml:space="preserve"> PAGE   \* MERGEFORMAT </w:instrText>
        </w:r>
        <w:r w:rsidRPr="007F2674">
          <w:rPr>
            <w:rFonts w:ascii="Times New Roman" w:hAnsi="Times New Roman" w:cs="Times New Roman"/>
          </w:rPr>
          <w:fldChar w:fldCharType="separate"/>
        </w:r>
        <w:r w:rsidR="00EE095A">
          <w:rPr>
            <w:rFonts w:ascii="Times New Roman" w:hAnsi="Times New Roman" w:cs="Times New Roman"/>
            <w:noProof/>
          </w:rPr>
          <w:t>1</w:t>
        </w:r>
        <w:r w:rsidRPr="007F2674">
          <w:rPr>
            <w:rFonts w:ascii="Times New Roman" w:hAnsi="Times New Roman" w:cs="Times New Roman"/>
            <w:noProof/>
          </w:rPr>
          <w:fldChar w:fldCharType="end"/>
        </w:r>
      </w:p>
    </w:sdtContent>
  </w:sdt>
  <w:p w14:paraId="53B917EE" w14:textId="77777777" w:rsidR="00CD13FE" w:rsidRPr="007F2674" w:rsidRDefault="00CD13F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A1794" w14:textId="77777777" w:rsidR="00EE095A" w:rsidRDefault="00EE095A" w:rsidP="00366471">
      <w:pPr>
        <w:spacing w:after="0" w:line="240" w:lineRule="auto"/>
      </w:pPr>
      <w:r>
        <w:separator/>
      </w:r>
    </w:p>
  </w:footnote>
  <w:footnote w:type="continuationSeparator" w:id="0">
    <w:p w14:paraId="670B70FD" w14:textId="77777777" w:rsidR="00EE095A" w:rsidRDefault="00EE095A" w:rsidP="00366471">
      <w:pPr>
        <w:spacing w:after="0" w:line="240" w:lineRule="auto"/>
      </w:pPr>
      <w:r>
        <w:continuationSeparator/>
      </w:r>
    </w:p>
  </w:footnote>
  <w:footnote w:id="1">
    <w:p w14:paraId="05EC34B3" w14:textId="73A5046D" w:rsidR="00CD13FE" w:rsidRPr="007F2674" w:rsidRDefault="00CD13FE" w:rsidP="009404D1">
      <w:pPr>
        <w:pStyle w:val="FootnoteText"/>
        <w:rPr>
          <w:rFonts w:ascii="Times New Roman" w:hAnsi="Times New Roman" w:cs="Times New Roman"/>
          <w:i/>
        </w:rPr>
      </w:pPr>
      <w:r w:rsidRPr="007F2674">
        <w:rPr>
          <w:rStyle w:val="FootnoteReference"/>
          <w:rFonts w:ascii="Times New Roman" w:hAnsi="Times New Roman" w:cs="Times New Roman"/>
        </w:rPr>
        <w:t>*</w:t>
      </w:r>
      <w:r w:rsidRPr="007F2674">
        <w:rPr>
          <w:rFonts w:ascii="Times New Roman" w:hAnsi="Times New Roman" w:cs="Times New Roman"/>
        </w:rPr>
        <w:t xml:space="preserve"> Incoming John M. Olin Research Fellow and Lecturer in Law, University of Chicago Law School; S.J.D. candidate, Harvard Law School. This lecture builds on heavily on three main papers: (1) </w:t>
      </w:r>
      <w:r w:rsidRPr="00BB2F40">
        <w:rPr>
          <w:rFonts w:ascii="Times New Roman" w:hAnsi="Times New Roman" w:cs="Times New Roman"/>
        </w:rPr>
        <w:t xml:space="preserve">Meirav Furth-Matzkin, </w:t>
      </w:r>
      <w:r w:rsidRPr="00BB2F40">
        <w:rPr>
          <w:rFonts w:ascii="Times New Roman" w:hAnsi="Times New Roman" w:cs="Times New Roman"/>
          <w:i/>
        </w:rPr>
        <w:t xml:space="preserve">On the </w:t>
      </w:r>
      <w:r w:rsidRPr="00441D55">
        <w:rPr>
          <w:rFonts w:ascii="Times New Roman" w:hAnsi="Times New Roman" w:cs="Times New Roman"/>
          <w:i/>
        </w:rPr>
        <w:t>Unexpected Use of Enforceable Contract Terms: Evidence from the Residential Rental Market</w:t>
      </w:r>
      <w:r w:rsidRPr="00441D55">
        <w:rPr>
          <w:rFonts w:ascii="Times New Roman" w:hAnsi="Times New Roman" w:cs="Times New Roman"/>
        </w:rPr>
        <w:t xml:space="preserve">, </w:t>
      </w:r>
      <w:r w:rsidRPr="00CD13FE">
        <w:rPr>
          <w:rFonts w:ascii="Times New Roman" w:hAnsi="Times New Roman" w:cs="Times New Roman"/>
        </w:rPr>
        <w:t xml:space="preserve">9 </w:t>
      </w:r>
      <w:r w:rsidRPr="00CD13FE">
        <w:rPr>
          <w:rFonts w:ascii="Times New Roman" w:hAnsi="Times New Roman" w:cs="Times New Roman"/>
          <w:smallCaps/>
        </w:rPr>
        <w:t>J. Legal Analysis</w:t>
      </w:r>
      <w:r w:rsidRPr="00CD13FE">
        <w:rPr>
          <w:rFonts w:ascii="Times New Roman" w:hAnsi="Times New Roman" w:cs="Times New Roman"/>
        </w:rPr>
        <w:t xml:space="preserve"> 1 (2017)</w:t>
      </w:r>
      <w:r w:rsidRPr="007F2674">
        <w:rPr>
          <w:rFonts w:ascii="Times New Roman" w:hAnsi="Times New Roman" w:cs="Times New Roman"/>
        </w:rPr>
        <w:t xml:space="preserve">; (2) </w:t>
      </w:r>
      <w:r w:rsidRPr="00BB2F40">
        <w:rPr>
          <w:rFonts w:ascii="Times New Roman" w:hAnsi="Times New Roman" w:cs="Times New Roman"/>
        </w:rPr>
        <w:t xml:space="preserve">Meirav Furth-Matzkin &amp; Roseanna Sommers, </w:t>
      </w:r>
      <w:r w:rsidRPr="007F2674">
        <w:rPr>
          <w:rFonts w:ascii="Times New Roman" w:hAnsi="Times New Roman" w:cs="Times New Roman"/>
          <w:i/>
        </w:rPr>
        <w:t xml:space="preserve">Fool Me Once, Shame on Me: </w:t>
      </w:r>
    </w:p>
    <w:p w14:paraId="48DD3835" w14:textId="062901D1" w:rsidR="00CD13FE" w:rsidRPr="007F2674" w:rsidRDefault="00CD13FE" w:rsidP="007F2674">
      <w:pPr>
        <w:pStyle w:val="FootnoteText"/>
        <w:rPr>
          <w:rFonts w:ascii="Times New Roman" w:hAnsi="Times New Roman" w:cs="Times New Roman"/>
        </w:rPr>
      </w:pPr>
      <w:r w:rsidRPr="007F2674">
        <w:rPr>
          <w:rFonts w:ascii="Times New Roman" w:hAnsi="Times New Roman" w:cs="Times New Roman"/>
          <w:i/>
        </w:rPr>
        <w:t>How Consumers and Lawyers Perceive the Fine Print in Deception Cases</w:t>
      </w:r>
      <w:r w:rsidRPr="007F2674">
        <w:rPr>
          <w:rFonts w:ascii="Times New Roman" w:hAnsi="Times New Roman" w:cs="Times New Roman"/>
        </w:rPr>
        <w:t xml:space="preserve"> 1–55</w:t>
      </w:r>
      <w:r w:rsidRPr="00BB2F40">
        <w:rPr>
          <w:rFonts w:ascii="Times New Roman" w:hAnsi="Times New Roman" w:cs="Times New Roman"/>
        </w:rPr>
        <w:t xml:space="preserve"> </w:t>
      </w:r>
      <w:r w:rsidRPr="007F2674">
        <w:rPr>
          <w:rFonts w:ascii="Times New Roman" w:hAnsi="Times New Roman" w:cs="Times New Roman"/>
        </w:rPr>
        <w:t>(</w:t>
      </w:r>
      <w:r w:rsidRPr="00BB2F40">
        <w:rPr>
          <w:rFonts w:ascii="Times New Roman" w:hAnsi="Times New Roman" w:cs="Times New Roman"/>
        </w:rPr>
        <w:t xml:space="preserve">Harvard John M. Olin Center for </w:t>
      </w:r>
      <w:r w:rsidRPr="00441D55">
        <w:rPr>
          <w:rFonts w:ascii="Times New Roman" w:hAnsi="Times New Roman" w:cs="Times New Roman"/>
        </w:rPr>
        <w:t xml:space="preserve">Law, Economics, and </w:t>
      </w:r>
      <w:r w:rsidRPr="00CD13FE">
        <w:rPr>
          <w:rFonts w:ascii="Times New Roman" w:hAnsi="Times New Roman" w:cs="Times New Roman"/>
        </w:rPr>
        <w:t>Business Fellows’ Discussion Paper Series</w:t>
      </w:r>
      <w:r w:rsidRPr="007F2674">
        <w:rPr>
          <w:rFonts w:ascii="Times New Roman" w:hAnsi="Times New Roman" w:cs="Times New Roman"/>
        </w:rPr>
        <w:t>, Discussion Paper No. 82, 2018</w:t>
      </w:r>
      <w:r w:rsidRPr="00BB2F40">
        <w:rPr>
          <w:rFonts w:ascii="Times New Roman" w:hAnsi="Times New Roman" w:cs="Times New Roman"/>
        </w:rPr>
        <w:t>)</w:t>
      </w:r>
      <w:r w:rsidRPr="007F2674">
        <w:rPr>
          <w:rFonts w:ascii="Times New Roman" w:hAnsi="Times New Roman" w:cs="Times New Roman"/>
        </w:rPr>
        <w:t xml:space="preserve">, </w:t>
      </w:r>
      <w:r w:rsidRPr="00BB2F40">
        <w:rPr>
          <w:rFonts w:ascii="Times New Roman" w:hAnsi="Times New Roman" w:cs="Times New Roman"/>
        </w:rPr>
        <w:t xml:space="preserve">http://www.law.harvard.edu/programs/olin_center/fellows_papers/pdf/Furth_82.pdf </w:t>
      </w:r>
      <w:r w:rsidRPr="007F2674">
        <w:rPr>
          <w:rFonts w:ascii="Times New Roman" w:hAnsi="Times New Roman" w:cs="Times New Roman"/>
        </w:rPr>
        <w:t xml:space="preserve">; </w:t>
      </w:r>
      <w:r w:rsidRPr="00BB2F40">
        <w:rPr>
          <w:rFonts w:ascii="Times New Roman" w:hAnsi="Times New Roman" w:cs="Times New Roman"/>
        </w:rPr>
        <w:t xml:space="preserve">and </w:t>
      </w:r>
      <w:r w:rsidRPr="007F2674">
        <w:rPr>
          <w:rFonts w:ascii="Times New Roman" w:hAnsi="Times New Roman" w:cs="Times New Roman"/>
        </w:rPr>
        <w:t xml:space="preserve">(3) Meirav Furth-Matzkin, </w:t>
      </w:r>
      <w:r w:rsidRPr="00BB2F40">
        <w:rPr>
          <w:rFonts w:ascii="Times New Roman" w:hAnsi="Times New Roman" w:cs="Times New Roman"/>
          <w:i/>
        </w:rPr>
        <w:t xml:space="preserve">Bargaining in the Shadow </w:t>
      </w:r>
      <w:r w:rsidRPr="00441D55">
        <w:rPr>
          <w:rFonts w:ascii="Times New Roman" w:hAnsi="Times New Roman" w:cs="Times New Roman"/>
          <w:i/>
        </w:rPr>
        <w:t xml:space="preserve">of the </w:t>
      </w:r>
      <w:r w:rsidRPr="007F2674">
        <w:rPr>
          <w:rFonts w:ascii="Times New Roman" w:hAnsi="Times New Roman" w:cs="Times New Roman"/>
          <w:i/>
        </w:rPr>
        <w:t>Contract</w:t>
      </w:r>
      <w:r w:rsidR="00981130">
        <w:rPr>
          <w:rFonts w:ascii="Times New Roman" w:hAnsi="Times New Roman" w:cs="Times New Roman"/>
          <w:i/>
        </w:rPr>
        <w:t xml:space="preserve"> </w:t>
      </w:r>
      <w:r w:rsidR="007F2674" w:rsidRPr="007F2674">
        <w:rPr>
          <w:rFonts w:ascii="Times New Roman" w:hAnsi="Times New Roman" w:cs="Times New Roman"/>
        </w:rPr>
        <w:t>4</w:t>
      </w:r>
      <w:r w:rsidR="007F2674">
        <w:rPr>
          <w:rFonts w:ascii="Times New Roman" w:hAnsi="Times New Roman" w:cs="Times New Roman"/>
        </w:rPr>
        <w:t xml:space="preserve"> </w:t>
      </w:r>
      <w:r w:rsidRPr="007F2674">
        <w:rPr>
          <w:rFonts w:ascii="Times New Roman" w:hAnsi="Times New Roman" w:cs="Times New Roman"/>
          <w:smallCaps/>
        </w:rPr>
        <w:t>Ala. L. Rev.</w:t>
      </w:r>
      <w:r w:rsidRPr="007F2674">
        <w:rPr>
          <w:rFonts w:ascii="Times New Roman" w:hAnsi="Times New Roman" w:cs="Times New Roman"/>
        </w:rPr>
        <w:t xml:space="preserve"> (</w:t>
      </w:r>
      <w:r w:rsidR="007F2674" w:rsidRPr="007F2674">
        <w:rPr>
          <w:rFonts w:ascii="Times New Roman" w:hAnsi="Times New Roman" w:cs="Times New Roman"/>
        </w:rPr>
        <w:t>2019</w:t>
      </w:r>
      <w:r w:rsidR="007F2674">
        <w:rPr>
          <w:rFonts w:ascii="Times New Roman" w:hAnsi="Times New Roman" w:cs="Times New Roman"/>
        </w:rPr>
        <w:t>)</w:t>
      </w:r>
      <w:r w:rsidRPr="007F2674">
        <w:rPr>
          <w:rFonts w:ascii="Times New Roman" w:hAnsi="Times New Roman" w:cs="Times New Roman"/>
        </w:rPr>
        <w:t>.</w:t>
      </w:r>
    </w:p>
  </w:footnote>
  <w:footnote w:id="2">
    <w:p w14:paraId="69C22C28" w14:textId="0D9AE8BE"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DE027A">
        <w:rPr>
          <w:rFonts w:ascii="Times New Roman" w:hAnsi="Times New Roman" w:cs="Times New Roman"/>
          <w:i/>
        </w:rPr>
        <w:t>See, e.g.</w:t>
      </w:r>
      <w:r w:rsidR="00DE027A">
        <w:rPr>
          <w:rFonts w:ascii="Times New Roman" w:hAnsi="Times New Roman" w:cs="Times New Roman"/>
        </w:rPr>
        <w:t xml:space="preserve">, </w:t>
      </w:r>
      <w:r w:rsidR="00DE027A" w:rsidRPr="00EE7B96">
        <w:rPr>
          <w:rFonts w:ascii="Times New Roman" w:hAnsi="Times New Roman"/>
        </w:rPr>
        <w:t xml:space="preserve">Tess Wilkinson-Ryan, </w:t>
      </w:r>
      <w:r w:rsidR="00DE027A" w:rsidRPr="00EE7B96">
        <w:rPr>
          <w:rFonts w:ascii="Times New Roman" w:hAnsi="Times New Roman"/>
          <w:i/>
          <w:iCs/>
        </w:rPr>
        <w:t>The Perverse Behavioral Economics of Disclosing Standard Terms</w:t>
      </w:r>
      <w:r w:rsidR="00DE027A" w:rsidRPr="00EE7B96">
        <w:rPr>
          <w:rFonts w:ascii="Times New Roman" w:hAnsi="Times New Roman"/>
        </w:rPr>
        <w:t xml:space="preserve">, 103 </w:t>
      </w:r>
      <w:r w:rsidR="00DE027A" w:rsidRPr="00EE7B96">
        <w:rPr>
          <w:rFonts w:ascii="Times New Roman" w:hAnsi="Times New Roman"/>
          <w:smallCaps/>
        </w:rPr>
        <w:t>Cornell L. Rev.</w:t>
      </w:r>
      <w:r w:rsidR="00DE027A" w:rsidRPr="00EE7B96">
        <w:rPr>
          <w:rFonts w:ascii="Times New Roman" w:hAnsi="Times New Roman"/>
        </w:rPr>
        <w:t xml:space="preserve"> 117, 118–20 (2017) (</w:t>
      </w:r>
      <w:r w:rsidR="00DE027A">
        <w:rPr>
          <w:rFonts w:ascii="Times New Roman" w:hAnsi="Times New Roman"/>
        </w:rPr>
        <w:t>observing</w:t>
      </w:r>
      <w:r w:rsidR="00DE027A" w:rsidRPr="00EE7B96">
        <w:rPr>
          <w:rFonts w:ascii="Times New Roman" w:hAnsi="Times New Roman"/>
        </w:rPr>
        <w:t xml:space="preserve"> “the now-uncontroversial fact of universal non-readership”); David A. Hoffman, </w:t>
      </w:r>
      <w:r w:rsidR="00DE027A" w:rsidRPr="00EE7B96">
        <w:rPr>
          <w:rFonts w:ascii="Times New Roman" w:hAnsi="Times New Roman"/>
          <w:i/>
          <w:iCs/>
        </w:rPr>
        <w:t>From Promise to Form</w:t>
      </w:r>
      <w:r w:rsidR="00DE027A" w:rsidRPr="00EE7B96">
        <w:rPr>
          <w:rFonts w:ascii="Times New Roman" w:hAnsi="Times New Roman"/>
        </w:rPr>
        <w:t xml:space="preserve">: </w:t>
      </w:r>
      <w:r w:rsidR="00DE027A" w:rsidRPr="00EE7B96">
        <w:rPr>
          <w:rFonts w:ascii="Times New Roman" w:hAnsi="Times New Roman"/>
          <w:i/>
          <w:iCs/>
        </w:rPr>
        <w:t>How Contracting Online Changes Consumers</w:t>
      </w:r>
      <w:r w:rsidR="00DE027A" w:rsidRPr="00EE7B96">
        <w:rPr>
          <w:rFonts w:ascii="Times New Roman" w:hAnsi="Times New Roman"/>
        </w:rPr>
        <w:t xml:space="preserve">, 91 </w:t>
      </w:r>
      <w:r w:rsidR="00DE027A" w:rsidRPr="00EE7B96">
        <w:rPr>
          <w:rFonts w:ascii="Times New Roman" w:hAnsi="Times New Roman"/>
          <w:smallCaps/>
        </w:rPr>
        <w:t>N.Y.U. L. Rev.</w:t>
      </w:r>
      <w:r w:rsidR="00DE027A" w:rsidRPr="00EE7B96">
        <w:rPr>
          <w:rFonts w:ascii="Times New Roman" w:hAnsi="Times New Roman"/>
        </w:rPr>
        <w:t xml:space="preserve"> 1595, </w:t>
      </w:r>
      <w:r w:rsidR="00DE027A">
        <w:rPr>
          <w:rFonts w:ascii="Times New Roman" w:hAnsi="Times New Roman"/>
        </w:rPr>
        <w:t>1605</w:t>
      </w:r>
      <w:r w:rsidR="00DE027A" w:rsidRPr="00EE7B96">
        <w:rPr>
          <w:rFonts w:ascii="Times New Roman" w:hAnsi="Times New Roman"/>
        </w:rPr>
        <w:t xml:space="preserve"> (2016)</w:t>
      </w:r>
      <w:r w:rsidR="00DE027A">
        <w:rPr>
          <w:rFonts w:ascii="Times New Roman" w:hAnsi="Times New Roman"/>
        </w:rPr>
        <w:t xml:space="preserve"> </w:t>
      </w:r>
      <w:r w:rsidR="00DE027A" w:rsidRPr="00EE7B96">
        <w:rPr>
          <w:rFonts w:ascii="Times New Roman" w:hAnsi="Times New Roman"/>
        </w:rPr>
        <w:t xml:space="preserve">(“[O]f course, almost no one reads any of these additional, increasingly long contracts.”); Zev J. Eigen, </w:t>
      </w:r>
      <w:r w:rsidR="00DE027A" w:rsidRPr="00EE7B96">
        <w:rPr>
          <w:rFonts w:ascii="Times New Roman" w:hAnsi="Times New Roman"/>
          <w:i/>
          <w:iCs/>
        </w:rPr>
        <w:t>Experimental Evidence of the Relationship between Reading the Fine Print and Performance of Form-Contract Terms</w:t>
      </w:r>
      <w:r w:rsidR="00DE027A" w:rsidRPr="00EE7B96">
        <w:rPr>
          <w:rFonts w:ascii="Times New Roman" w:hAnsi="Times New Roman"/>
        </w:rPr>
        <w:t xml:space="preserve">, 168 </w:t>
      </w:r>
      <w:r w:rsidR="00DE027A" w:rsidRPr="00EE7B96">
        <w:rPr>
          <w:rFonts w:ascii="Times New Roman" w:hAnsi="Times New Roman"/>
          <w:smallCaps/>
        </w:rPr>
        <w:t>J. Inst. &amp; Theoretical Econ.</w:t>
      </w:r>
      <w:r w:rsidR="00DE027A" w:rsidRPr="00EE7B96">
        <w:rPr>
          <w:rFonts w:ascii="Times New Roman" w:hAnsi="Times New Roman"/>
        </w:rPr>
        <w:t xml:space="preserve"> 124, 132 (2012) (finding that </w:t>
      </w:r>
      <w:r w:rsidR="00DE027A">
        <w:rPr>
          <w:rFonts w:ascii="Times New Roman" w:hAnsi="Times New Roman"/>
        </w:rPr>
        <w:t>nearly</w:t>
      </w:r>
      <w:r w:rsidR="00DE027A" w:rsidRPr="00EE7B96">
        <w:rPr>
          <w:rFonts w:ascii="Times New Roman" w:hAnsi="Times New Roman"/>
        </w:rPr>
        <w:t xml:space="preserve"> a third of study participants </w:t>
      </w:r>
      <w:r w:rsidR="00DE027A">
        <w:rPr>
          <w:rFonts w:ascii="Times New Roman" w:hAnsi="Times New Roman"/>
        </w:rPr>
        <w:t>failed to</w:t>
      </w:r>
      <w:r w:rsidR="00DE027A" w:rsidRPr="00EE7B96">
        <w:rPr>
          <w:rFonts w:ascii="Times New Roman" w:hAnsi="Times New Roman"/>
        </w:rPr>
        <w:t xml:space="preserve"> review online contract</w:t>
      </w:r>
      <w:r w:rsidR="00DE027A">
        <w:rPr>
          <w:rFonts w:ascii="Times New Roman" w:hAnsi="Times New Roman"/>
        </w:rPr>
        <w:t>s</w:t>
      </w:r>
      <w:r w:rsidR="00DE027A" w:rsidRPr="00EE7B96">
        <w:rPr>
          <w:rFonts w:ascii="Times New Roman" w:hAnsi="Times New Roman"/>
        </w:rPr>
        <w:t xml:space="preserve"> at all, and the mean time spent reviewing the contract among the remaining participants was </w:t>
      </w:r>
      <w:r w:rsidR="00DE027A">
        <w:rPr>
          <w:rFonts w:ascii="Times New Roman" w:hAnsi="Times New Roman"/>
        </w:rPr>
        <w:t>under</w:t>
      </w:r>
      <w:r w:rsidR="00DE027A" w:rsidRPr="00EE7B96">
        <w:rPr>
          <w:rFonts w:ascii="Times New Roman" w:hAnsi="Times New Roman"/>
        </w:rPr>
        <w:t xml:space="preserve"> two minutes)</w:t>
      </w:r>
      <w:r w:rsidR="00DE027A">
        <w:rPr>
          <w:rFonts w:ascii="Times New Roman" w:hAnsi="Times New Roman"/>
        </w:rPr>
        <w:t>;</w:t>
      </w:r>
      <w:r w:rsidRPr="00BB2F40">
        <w:rPr>
          <w:rFonts w:ascii="Times New Roman" w:hAnsi="Times New Roman" w:cs="Times New Roman"/>
        </w:rPr>
        <w:t xml:space="preserve"> Yannis Bakos, Florencia Marotta-Wurgler &amp; David R. Trossen. </w:t>
      </w:r>
      <w:r w:rsidRPr="007F2674">
        <w:rPr>
          <w:rFonts w:ascii="Times New Roman" w:hAnsi="Times New Roman" w:cs="Times New Roman"/>
          <w:i/>
        </w:rPr>
        <w:t>Does anyone read the fine print? Consumer attention to standard-form contract</w:t>
      </w:r>
      <w:r w:rsidRPr="00BB2F40">
        <w:rPr>
          <w:rFonts w:ascii="Times New Roman" w:hAnsi="Times New Roman" w:cs="Times New Roman"/>
          <w:i/>
        </w:rPr>
        <w:t>s</w:t>
      </w:r>
      <w:r w:rsidRPr="00BB2F40">
        <w:rPr>
          <w:rFonts w:ascii="Times New Roman" w:hAnsi="Times New Roman" w:cs="Times New Roman"/>
        </w:rPr>
        <w:t xml:space="preserve">, 43 </w:t>
      </w:r>
      <w:r w:rsidRPr="007F2674">
        <w:rPr>
          <w:rFonts w:ascii="Times New Roman" w:hAnsi="Times New Roman" w:cs="Times New Roman"/>
          <w:smallCaps/>
        </w:rPr>
        <w:t>J. Legal Stud</w:t>
      </w:r>
      <w:r w:rsidRPr="00BB2F40">
        <w:rPr>
          <w:rFonts w:ascii="Times New Roman" w:hAnsi="Times New Roman" w:cs="Times New Roman"/>
        </w:rPr>
        <w:t>. 1 (2014</w:t>
      </w:r>
      <w:r w:rsidRPr="00441D55">
        <w:rPr>
          <w:rFonts w:ascii="Times New Roman" w:hAnsi="Times New Roman" w:cs="Times New Roman"/>
        </w:rPr>
        <w:t xml:space="preserve">); </w:t>
      </w:r>
      <w:r w:rsidRPr="007F2674">
        <w:rPr>
          <w:rFonts w:ascii="Times New Roman" w:hAnsi="Times New Roman" w:cs="Times New Roman"/>
          <w:smallCaps/>
        </w:rPr>
        <w:t>Omri Ben-Shahar &amp; Carl E. Schneider</w:t>
      </w:r>
      <w:r w:rsidRPr="00BB2F40">
        <w:rPr>
          <w:rFonts w:ascii="Times New Roman" w:hAnsi="Times New Roman" w:cs="Times New Roman"/>
        </w:rPr>
        <w:t xml:space="preserve">, </w:t>
      </w:r>
      <w:r w:rsidRPr="007F2674">
        <w:rPr>
          <w:rFonts w:ascii="Times New Roman" w:hAnsi="Times New Roman" w:cs="Times New Roman"/>
          <w:smallCaps/>
        </w:rPr>
        <w:t>More Than You Wanted to Know: The Failure of Mandated</w:t>
      </w:r>
      <w:r w:rsidRPr="00BB2F40">
        <w:rPr>
          <w:rFonts w:ascii="Times New Roman" w:hAnsi="Times New Roman" w:cs="Times New Roman"/>
        </w:rPr>
        <w:t xml:space="preserve"> </w:t>
      </w:r>
      <w:r w:rsidRPr="007F2674">
        <w:rPr>
          <w:rFonts w:ascii="Times New Roman" w:hAnsi="Times New Roman" w:cs="Times New Roman"/>
          <w:smallCaps/>
        </w:rPr>
        <w:t>Disclosure</w:t>
      </w:r>
      <w:r w:rsidRPr="00BB2F40">
        <w:rPr>
          <w:rFonts w:ascii="Times New Roman" w:hAnsi="Times New Roman" w:cs="Times New Roman"/>
        </w:rPr>
        <w:t xml:space="preserve"> (2014).</w:t>
      </w:r>
      <w:r w:rsidRPr="007F2674">
        <w:rPr>
          <w:rFonts w:ascii="Times New Roman" w:hAnsi="Times New Roman" w:cs="Times New Roman"/>
        </w:rPr>
        <w:t>.</w:t>
      </w:r>
    </w:p>
  </w:footnote>
  <w:footnote w:id="3">
    <w:p w14:paraId="5924F1BE" w14:textId="31B752DE"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DE027A" w:rsidRPr="00EE7B96">
        <w:rPr>
          <w:rFonts w:ascii="Times New Roman" w:hAnsi="Times New Roman"/>
        </w:rPr>
        <w:t xml:space="preserve">Agatah Blaszczak-Boxe, </w:t>
      </w:r>
      <w:r w:rsidR="00DE027A" w:rsidRPr="00EE7B96">
        <w:rPr>
          <w:rFonts w:ascii="Times New Roman" w:hAnsi="Times New Roman"/>
          <w:i/>
          <w:iCs/>
        </w:rPr>
        <w:t xml:space="preserve">Give Up Firstborn for Free Wi-Fi? Some Click ‘I Agree,’ </w:t>
      </w:r>
      <w:r w:rsidR="00DE027A" w:rsidRPr="00EE7B96">
        <w:rPr>
          <w:rFonts w:ascii="Times New Roman" w:hAnsi="Times New Roman"/>
          <w:smallCaps/>
        </w:rPr>
        <w:t>CNET</w:t>
      </w:r>
      <w:r w:rsidR="00DE027A" w:rsidRPr="00EE7B96">
        <w:rPr>
          <w:rFonts w:ascii="Times New Roman" w:hAnsi="Times New Roman"/>
        </w:rPr>
        <w:t xml:space="preserve"> (Sept. 30, 2014),</w:t>
      </w:r>
      <w:r w:rsidR="00DE027A" w:rsidRPr="00EE7B96">
        <w:rPr>
          <w:rFonts w:ascii="Times New Roman" w:hAnsi="Times New Roman"/>
          <w:i/>
          <w:iCs/>
        </w:rPr>
        <w:t xml:space="preserve"> </w:t>
      </w:r>
      <w:r w:rsidR="00DE027A" w:rsidRPr="00EE7B96">
        <w:rPr>
          <w:rFonts w:ascii="Times New Roman" w:hAnsi="Times New Roman"/>
        </w:rPr>
        <w:t>http://www.cnet.com/news/give-up-firstborn-for-free-wi-fi-some-click-i-agree/</w:t>
      </w:r>
      <w:r w:rsidRPr="007F2674">
        <w:rPr>
          <w:rFonts w:ascii="Times New Roman" w:hAnsi="Times New Roman" w:cs="Times New Roman"/>
        </w:rPr>
        <w:t>;</w:t>
      </w:r>
      <w:r w:rsidR="00DE027A">
        <w:rPr>
          <w:rFonts w:ascii="Times New Roman" w:hAnsi="Times New Roman" w:cs="Times New Roman"/>
        </w:rPr>
        <w:t xml:space="preserve">Fox News Staff, </w:t>
      </w:r>
      <w:r w:rsidR="00DE027A" w:rsidRPr="00EE7B96">
        <w:rPr>
          <w:rFonts w:ascii="Times New Roman" w:hAnsi="Times New Roman"/>
          <w:i/>
          <w:iCs/>
        </w:rPr>
        <w:t>7,500 Online Shoppers Unknowingly Sold Their Souls</w:t>
      </w:r>
      <w:r w:rsidR="00DE027A" w:rsidRPr="00EE7B96">
        <w:rPr>
          <w:rFonts w:ascii="Times New Roman" w:hAnsi="Times New Roman"/>
        </w:rPr>
        <w:t xml:space="preserve">, </w:t>
      </w:r>
      <w:r w:rsidR="00DE027A" w:rsidRPr="00EE7B96">
        <w:rPr>
          <w:rFonts w:ascii="Times New Roman" w:hAnsi="Times New Roman"/>
          <w:smallCaps/>
        </w:rPr>
        <w:t>Fox News</w:t>
      </w:r>
      <w:r w:rsidR="00DE027A" w:rsidRPr="00EE7B96">
        <w:rPr>
          <w:rFonts w:ascii="Times New Roman" w:hAnsi="Times New Roman"/>
        </w:rPr>
        <w:t xml:space="preserve"> (Apr. 15, 2010), http://www.foxnews.com/tech/2010/04/15/online-shoppers-unknowingly-sold-souls.html</w:t>
      </w:r>
      <w:r w:rsidR="00DE027A">
        <w:rPr>
          <w:rFonts w:ascii="Times New Roman" w:hAnsi="Times New Roman" w:cs="Times New Roman"/>
        </w:rPr>
        <w:t>.</w:t>
      </w:r>
      <w:r w:rsidRPr="007F2674">
        <w:rPr>
          <w:rFonts w:ascii="Times New Roman" w:hAnsi="Times New Roman" w:cs="Times New Roman"/>
        </w:rPr>
        <w:t>.</w:t>
      </w:r>
    </w:p>
  </w:footnote>
  <w:footnote w:id="4">
    <w:p w14:paraId="795ADF7C" w14:textId="5DBD43E5"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Meirav Furth-Matzkin, </w:t>
      </w:r>
      <w:r w:rsidRPr="00BB2F40">
        <w:rPr>
          <w:rFonts w:ascii="Times New Roman" w:hAnsi="Times New Roman" w:cs="Times New Roman"/>
          <w:i/>
        </w:rPr>
        <w:t xml:space="preserve">On the </w:t>
      </w:r>
      <w:r w:rsidRPr="00441D55">
        <w:rPr>
          <w:rFonts w:ascii="Times New Roman" w:hAnsi="Times New Roman" w:cs="Times New Roman"/>
          <w:i/>
        </w:rPr>
        <w:t>Unexpected Use of Enforceable Contract Terms: Evidence from the Residential Rental Market</w:t>
      </w:r>
      <w:r w:rsidRPr="00441D55">
        <w:rPr>
          <w:rFonts w:ascii="Times New Roman" w:hAnsi="Times New Roman" w:cs="Times New Roman"/>
        </w:rPr>
        <w:t xml:space="preserve">, </w:t>
      </w:r>
      <w:r w:rsidRPr="00CD13FE">
        <w:rPr>
          <w:rFonts w:ascii="Times New Roman" w:hAnsi="Times New Roman" w:cs="Times New Roman"/>
        </w:rPr>
        <w:t xml:space="preserve">9 </w:t>
      </w:r>
      <w:r w:rsidRPr="00CD13FE">
        <w:rPr>
          <w:rFonts w:ascii="Times New Roman" w:hAnsi="Times New Roman" w:cs="Times New Roman"/>
          <w:smallCaps/>
        </w:rPr>
        <w:t>J. Legal Analysis</w:t>
      </w:r>
      <w:r w:rsidRPr="00CD13FE">
        <w:rPr>
          <w:rFonts w:ascii="Times New Roman" w:hAnsi="Times New Roman" w:cs="Times New Roman"/>
        </w:rPr>
        <w:t xml:space="preserve"> 1 (2017)</w:t>
      </w:r>
      <w:r w:rsidRPr="00FD7628">
        <w:rPr>
          <w:rFonts w:ascii="Times New Roman" w:hAnsi="Times New Roman" w:cs="Times New Roman"/>
        </w:rPr>
        <w:t xml:space="preserve"> [hereinafter Furth-Matzkin 2017]</w:t>
      </w:r>
      <w:r w:rsidR="00D511DE">
        <w:rPr>
          <w:rFonts w:ascii="Times New Roman" w:hAnsi="Times New Roman" w:cs="Times New Roman"/>
        </w:rPr>
        <w:t xml:space="preserve">; </w:t>
      </w:r>
      <w:r w:rsidR="00D511DE">
        <w:rPr>
          <w:rFonts w:ascii="Times New Roman" w:hAnsi="Times New Roman"/>
          <w:i/>
        </w:rPr>
        <w:t>s</w:t>
      </w:r>
      <w:r w:rsidR="00D511DE" w:rsidRPr="00EE7B96">
        <w:rPr>
          <w:rFonts w:ascii="Times New Roman" w:hAnsi="Times New Roman"/>
          <w:i/>
        </w:rPr>
        <w:t>ee</w:t>
      </w:r>
      <w:r w:rsidR="00D511DE">
        <w:rPr>
          <w:rFonts w:ascii="Times New Roman" w:hAnsi="Times New Roman"/>
          <w:i/>
        </w:rPr>
        <w:t xml:space="preserve"> also</w:t>
      </w:r>
      <w:r w:rsidR="00D511DE" w:rsidRPr="00EE7B96">
        <w:rPr>
          <w:rFonts w:ascii="Times New Roman" w:hAnsi="Times New Roman"/>
          <w:i/>
        </w:rPr>
        <w:t>, e.g.</w:t>
      </w:r>
      <w:r w:rsidR="00D511DE" w:rsidRPr="00EE7B96">
        <w:rPr>
          <w:rFonts w:ascii="Times New Roman" w:hAnsi="Times New Roman"/>
        </w:rPr>
        <w:t xml:space="preserve">, Alleecia M. McDonald &amp; Lorrie F. Cranor, </w:t>
      </w:r>
      <w:r w:rsidR="00D511DE" w:rsidRPr="00EE7B96">
        <w:rPr>
          <w:rFonts w:ascii="Times New Roman" w:hAnsi="Times New Roman"/>
          <w:i/>
          <w:iCs/>
        </w:rPr>
        <w:t>The Cost of Reading Privacy Policies</w:t>
      </w:r>
      <w:r w:rsidR="00D511DE" w:rsidRPr="00EE7B96">
        <w:rPr>
          <w:rFonts w:ascii="Times New Roman" w:hAnsi="Times New Roman"/>
        </w:rPr>
        <w:t>, 4</w:t>
      </w:r>
      <w:r w:rsidR="00D511DE" w:rsidRPr="00EE7B96">
        <w:rPr>
          <w:rFonts w:ascii="Times New Roman" w:hAnsi="Times New Roman"/>
          <w:smallCaps/>
        </w:rPr>
        <w:t xml:space="preserve"> J.L. &amp; Pol’y for Info. Soc’y</w:t>
      </w:r>
      <w:r w:rsidR="00D511DE" w:rsidRPr="00EE7B96">
        <w:rPr>
          <w:rFonts w:ascii="Times New Roman" w:hAnsi="Times New Roman"/>
        </w:rPr>
        <w:t xml:space="preserve"> 543, 563–64 (2008) (estimating that</w:t>
      </w:r>
      <w:r w:rsidR="00DE027A">
        <w:rPr>
          <w:rFonts w:ascii="Times New Roman" w:hAnsi="Times New Roman"/>
        </w:rPr>
        <w:t xml:space="preserve"> it would take people 244 hours per year, on average, to read privacy policies if they actually attempted to do so for every contract they sign or click through</w:t>
      </w:r>
      <w:r w:rsidR="00D511DE" w:rsidRPr="00DE027A">
        <w:rPr>
          <w:rFonts w:ascii="Times New Roman" w:hAnsi="Times New Roman"/>
        </w:rPr>
        <w:t xml:space="preserve">). </w:t>
      </w:r>
    </w:p>
  </w:footnote>
  <w:footnote w:id="5">
    <w:p w14:paraId="2E3C939B" w14:textId="62546098"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83176F" w:rsidRPr="00BB2F40">
        <w:rPr>
          <w:rFonts w:ascii="Times New Roman" w:hAnsi="Times New Roman" w:cs="Times New Roman"/>
        </w:rPr>
        <w:t xml:space="preserve">Debra Pogrund Stark &amp; Jessica M. Choplin, </w:t>
      </w:r>
      <w:r w:rsidR="0083176F" w:rsidRPr="00BB2F40">
        <w:rPr>
          <w:rFonts w:ascii="Times New Roman" w:hAnsi="Times New Roman" w:cs="Times New Roman"/>
          <w:i/>
        </w:rPr>
        <w:t>A License to Deceive: Enforcing Contractual Myths Despite Consumer Psychological Realities</w:t>
      </w:r>
      <w:r w:rsidR="0083176F" w:rsidRPr="00BB2F40">
        <w:rPr>
          <w:rFonts w:ascii="Times New Roman" w:hAnsi="Times New Roman" w:cs="Times New Roman"/>
        </w:rPr>
        <w:t xml:space="preserve">, 5 </w:t>
      </w:r>
      <w:r w:rsidR="0083176F" w:rsidRPr="00BB2F40">
        <w:rPr>
          <w:rFonts w:ascii="Times New Roman" w:hAnsi="Times New Roman" w:cs="Times New Roman"/>
          <w:smallCaps/>
        </w:rPr>
        <w:t>N.Y.U. J.L. &amp; Bus.</w:t>
      </w:r>
      <w:r w:rsidR="0083176F" w:rsidRPr="00BB2F40">
        <w:rPr>
          <w:rFonts w:ascii="Times New Roman" w:hAnsi="Times New Roman" w:cs="Times New Roman"/>
        </w:rPr>
        <w:t xml:space="preserve"> 617</w:t>
      </w:r>
      <w:r w:rsidR="0083176F">
        <w:rPr>
          <w:rFonts w:ascii="Times New Roman" w:hAnsi="Times New Roman" w:cs="Times New Roman"/>
        </w:rPr>
        <w:t>, 656–58</w:t>
      </w:r>
      <w:r w:rsidR="0083176F" w:rsidRPr="00BB2F40">
        <w:rPr>
          <w:rFonts w:ascii="Times New Roman" w:hAnsi="Times New Roman" w:cs="Times New Roman"/>
        </w:rPr>
        <w:t xml:space="preserve"> (2009</w:t>
      </w:r>
      <w:r w:rsidR="0083176F" w:rsidRPr="0083176F">
        <w:rPr>
          <w:rFonts w:ascii="Times New Roman" w:hAnsi="Times New Roman" w:cs="Times New Roman"/>
        </w:rPr>
        <w:t>).</w:t>
      </w:r>
    </w:p>
  </w:footnote>
  <w:footnote w:id="6">
    <w:p w14:paraId="64F76903" w14:textId="5A0A948A"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 Furth-Matzkin 2017</w:t>
      </w:r>
      <w:r w:rsidRPr="00441D55">
        <w:rPr>
          <w:rFonts w:ascii="Times New Roman" w:hAnsi="Times New Roman" w:cs="Times New Roman"/>
        </w:rPr>
        <w:t xml:space="preserve">, </w:t>
      </w:r>
      <w:r w:rsidRPr="00441D55">
        <w:rPr>
          <w:rFonts w:ascii="Times New Roman" w:hAnsi="Times New Roman" w:cs="Times New Roman"/>
          <w:i/>
        </w:rPr>
        <w:t xml:space="preserve">supra </w:t>
      </w:r>
      <w:r w:rsidRPr="00CD13FE">
        <w:rPr>
          <w:rFonts w:ascii="Times New Roman" w:hAnsi="Times New Roman" w:cs="Times New Roman"/>
        </w:rPr>
        <w:t>note 3</w:t>
      </w:r>
      <w:r w:rsidRPr="007F2674">
        <w:rPr>
          <w:rFonts w:ascii="Times New Roman" w:hAnsi="Times New Roman" w:cs="Times New Roman"/>
        </w:rPr>
        <w:t>.</w:t>
      </w:r>
    </w:p>
  </w:footnote>
  <w:footnote w:id="7">
    <w:p w14:paraId="028491C7" w14:textId="43572781" w:rsidR="00CD13FE" w:rsidRPr="007F2674" w:rsidRDefault="00CD13FE" w:rsidP="0098113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ED7D0C">
        <w:rPr>
          <w:rFonts w:ascii="Times New Roman" w:hAnsi="Times New Roman" w:cs="Times New Roman"/>
          <w:i/>
        </w:rPr>
        <w:t xml:space="preserve">See </w:t>
      </w:r>
      <w:r w:rsidR="0083176F" w:rsidRPr="00EE7B96">
        <w:rPr>
          <w:rFonts w:ascii="Times New Roman" w:hAnsi="Times New Roman"/>
        </w:rPr>
        <w:t xml:space="preserve">David Gilo &amp; Ariel Porat, </w:t>
      </w:r>
      <w:r w:rsidR="0083176F" w:rsidRPr="00EE7B96">
        <w:rPr>
          <w:rFonts w:ascii="Times New Roman" w:hAnsi="Times New Roman"/>
          <w:i/>
          <w:iCs/>
        </w:rPr>
        <w:t>The Hidden Roles of Boilerplate and Standard-Form Contracts: Strategic Imposition of Transaction Costs, Segmentation of Consumers, and Anticompetitive Effects</w:t>
      </w:r>
      <w:r w:rsidR="0083176F" w:rsidRPr="00EE7B96">
        <w:rPr>
          <w:rFonts w:ascii="Times New Roman" w:hAnsi="Times New Roman"/>
        </w:rPr>
        <w:t xml:space="preserve">, 104 </w:t>
      </w:r>
      <w:r w:rsidR="0083176F" w:rsidRPr="00EE7B96">
        <w:rPr>
          <w:rFonts w:ascii="Times New Roman" w:hAnsi="Times New Roman"/>
          <w:smallCaps/>
        </w:rPr>
        <w:t>Mich. L. Rev.</w:t>
      </w:r>
      <w:r w:rsidR="0083176F" w:rsidRPr="00EE7B96">
        <w:rPr>
          <w:rFonts w:ascii="Times New Roman" w:hAnsi="Times New Roman"/>
        </w:rPr>
        <w:t xml:space="preserve"> 983, 98</w:t>
      </w:r>
      <w:r w:rsidR="0083176F">
        <w:rPr>
          <w:rFonts w:ascii="Times New Roman" w:hAnsi="Times New Roman"/>
        </w:rPr>
        <w:t>4</w:t>
      </w:r>
      <w:r w:rsidR="0083176F" w:rsidRPr="00EE7B96">
        <w:rPr>
          <w:rFonts w:ascii="Times New Roman" w:hAnsi="Times New Roman"/>
        </w:rPr>
        <w:t xml:space="preserve"> (</w:t>
      </w:r>
      <w:r w:rsidR="0083176F" w:rsidRPr="0083176F">
        <w:rPr>
          <w:rFonts w:ascii="Times New Roman" w:hAnsi="Times New Roman"/>
        </w:rPr>
        <w:t>2006)</w:t>
      </w:r>
      <w:r w:rsidR="00ED7D0C" w:rsidRPr="007F2674">
        <w:rPr>
          <w:rFonts w:ascii="Times New Roman" w:hAnsi="Times New Roman" w:cs="Times New Roman"/>
        </w:rPr>
        <w:t xml:space="preserve">; </w:t>
      </w:r>
      <w:r w:rsidR="00ED7D0C" w:rsidRPr="007F2674">
        <w:rPr>
          <w:rFonts w:ascii="Times New Roman" w:hAnsi="Times New Roman" w:cs="Times New Roman"/>
          <w:i/>
        </w:rPr>
        <w:t xml:space="preserve">see also </w:t>
      </w:r>
      <w:r w:rsidR="00ED7D0C" w:rsidRPr="0083176F">
        <w:rPr>
          <w:rFonts w:ascii="Times New Roman" w:hAnsi="Times New Roman"/>
        </w:rPr>
        <w:t>Edith</w:t>
      </w:r>
      <w:r w:rsidR="00ED7D0C" w:rsidRPr="00EE7B96">
        <w:rPr>
          <w:rFonts w:ascii="Times New Roman" w:hAnsi="Times New Roman"/>
        </w:rPr>
        <w:t xml:space="preserve"> Warkentine, </w:t>
      </w:r>
      <w:r w:rsidR="00ED7D0C" w:rsidRPr="00EE7B96">
        <w:rPr>
          <w:rFonts w:ascii="Times New Roman" w:hAnsi="Times New Roman"/>
          <w:i/>
          <w:iCs/>
        </w:rPr>
        <w:t>Beyond Unconscionability: The Case for Using “Knowing Assent” as the Basis for Analyzing Unbargained-for Terms in Standard Form Contracts</w:t>
      </w:r>
      <w:r w:rsidR="00ED7D0C" w:rsidRPr="00EE7B96">
        <w:rPr>
          <w:rFonts w:ascii="Times New Roman" w:hAnsi="Times New Roman"/>
        </w:rPr>
        <w:t xml:space="preserve">, 31 </w:t>
      </w:r>
      <w:r w:rsidR="00ED7D0C" w:rsidRPr="00EE7B96">
        <w:rPr>
          <w:rFonts w:ascii="Times New Roman" w:hAnsi="Times New Roman"/>
          <w:smallCaps/>
        </w:rPr>
        <w:t>Seattle U. L. Rev</w:t>
      </w:r>
      <w:r w:rsidR="00ED7D0C" w:rsidRPr="00EE7B96">
        <w:rPr>
          <w:rFonts w:ascii="Times New Roman" w:hAnsi="Times New Roman"/>
        </w:rPr>
        <w:t xml:space="preserve">. 469, 515 (2007) (observing that one-sided terms </w:t>
      </w:r>
      <w:r w:rsidR="00ED7D0C">
        <w:rPr>
          <w:rFonts w:ascii="Times New Roman" w:hAnsi="Times New Roman"/>
        </w:rPr>
        <w:t xml:space="preserve">are often covertly inserted by drafting parties </w:t>
      </w:r>
      <w:r w:rsidR="00ED7D0C" w:rsidRPr="00EE7B96">
        <w:rPr>
          <w:rFonts w:ascii="Times New Roman" w:hAnsi="Times New Roman"/>
        </w:rPr>
        <w:t>in</w:t>
      </w:r>
      <w:r w:rsidR="00ED7D0C">
        <w:rPr>
          <w:rFonts w:ascii="Times New Roman" w:hAnsi="Times New Roman"/>
        </w:rPr>
        <w:t>to</w:t>
      </w:r>
      <w:r w:rsidR="00ED7D0C" w:rsidRPr="00EE7B96">
        <w:rPr>
          <w:rFonts w:ascii="Times New Roman" w:hAnsi="Times New Roman"/>
        </w:rPr>
        <w:t xml:space="preserve"> their boilerplates)</w:t>
      </w:r>
      <w:r w:rsidR="00ED7D0C">
        <w:rPr>
          <w:rFonts w:ascii="Times New Roman" w:hAnsi="Times New Roman" w:cs="Times New Roman"/>
        </w:rPr>
        <w:t xml:space="preserve">; </w:t>
      </w:r>
      <w:r w:rsidR="0083176F" w:rsidRPr="00BB2F40">
        <w:rPr>
          <w:rFonts w:ascii="Times New Roman" w:hAnsi="Times New Roman" w:cs="Times New Roman"/>
        </w:rPr>
        <w:t xml:space="preserve">Russell Korobkin, </w:t>
      </w:r>
      <w:r w:rsidR="0083176F" w:rsidRPr="00BB2F40">
        <w:rPr>
          <w:rFonts w:ascii="Times New Roman" w:hAnsi="Times New Roman" w:cs="Times New Roman"/>
          <w:i/>
        </w:rPr>
        <w:t>Bounded Rationality, Standard Form Contracts, and Unconscionability</w:t>
      </w:r>
      <w:r w:rsidR="0083176F" w:rsidRPr="00BB2F40">
        <w:rPr>
          <w:rFonts w:ascii="Times New Roman" w:hAnsi="Times New Roman" w:cs="Times New Roman"/>
        </w:rPr>
        <w:t xml:space="preserve">, 70 </w:t>
      </w:r>
      <w:r w:rsidR="0083176F" w:rsidRPr="00441D55">
        <w:rPr>
          <w:rFonts w:ascii="Times New Roman" w:hAnsi="Times New Roman" w:cs="Times New Roman"/>
          <w:smallCaps/>
        </w:rPr>
        <w:t>U. Chi. L. Rev.</w:t>
      </w:r>
      <w:r w:rsidR="0083176F" w:rsidRPr="00441D55">
        <w:rPr>
          <w:rFonts w:ascii="Times New Roman" w:hAnsi="Times New Roman" w:cs="Times New Roman"/>
        </w:rPr>
        <w:t xml:space="preserve"> 1203</w:t>
      </w:r>
      <w:r w:rsidR="0083176F">
        <w:rPr>
          <w:rFonts w:ascii="Times New Roman" w:hAnsi="Times New Roman" w:cs="Times New Roman"/>
        </w:rPr>
        <w:t>, 1206</w:t>
      </w:r>
      <w:r w:rsidR="0083176F" w:rsidRPr="00441D55">
        <w:rPr>
          <w:rFonts w:ascii="Times New Roman" w:hAnsi="Times New Roman" w:cs="Times New Roman"/>
        </w:rPr>
        <w:t xml:space="preserve"> (2003)</w:t>
      </w:r>
      <w:r w:rsidR="00ED7D0C">
        <w:rPr>
          <w:rFonts w:ascii="Times New Roman" w:hAnsi="Times New Roman" w:cs="Times New Roman"/>
        </w:rPr>
        <w:t xml:space="preserve"> (noting that drafting parties often exploirt consumers’ cognitive biases);</w:t>
      </w:r>
      <w:r w:rsidRPr="007F2674">
        <w:rPr>
          <w:rFonts w:ascii="Times New Roman" w:hAnsi="Times New Roman" w:cs="Times New Roman"/>
        </w:rPr>
        <w:t xml:space="preserve"> Meirav Furth-Matzkin, </w:t>
      </w:r>
      <w:r w:rsidRPr="00BB2F40">
        <w:rPr>
          <w:rFonts w:ascii="Times New Roman" w:hAnsi="Times New Roman" w:cs="Times New Roman"/>
          <w:i/>
        </w:rPr>
        <w:t xml:space="preserve">Bargaining in the Shadow </w:t>
      </w:r>
      <w:r w:rsidRPr="00981130">
        <w:rPr>
          <w:rFonts w:ascii="Times New Roman" w:hAnsi="Times New Roman" w:cs="Times New Roman"/>
          <w:i/>
        </w:rPr>
        <w:t>of the Contract</w:t>
      </w:r>
      <w:r w:rsidRPr="00981130">
        <w:rPr>
          <w:rFonts w:ascii="Times New Roman" w:hAnsi="Times New Roman" w:cs="Times New Roman"/>
        </w:rPr>
        <w:t xml:space="preserve">, </w:t>
      </w:r>
      <w:r w:rsidR="00981130" w:rsidRPr="00981130">
        <w:rPr>
          <w:rFonts w:ascii="Times New Roman" w:hAnsi="Times New Roman" w:cs="Times New Roman"/>
        </w:rPr>
        <w:t>4</w:t>
      </w:r>
      <w:r w:rsidRPr="00981130">
        <w:rPr>
          <w:rFonts w:ascii="Times New Roman" w:hAnsi="Times New Roman" w:cs="Times New Roman"/>
        </w:rPr>
        <w:t xml:space="preserve"> </w:t>
      </w:r>
      <w:r w:rsidRPr="00981130">
        <w:rPr>
          <w:rFonts w:ascii="Times New Roman" w:hAnsi="Times New Roman" w:cs="Times New Roman"/>
          <w:smallCaps/>
        </w:rPr>
        <w:t xml:space="preserve">Ala. L. Rev. </w:t>
      </w:r>
      <w:r w:rsidRPr="00981130">
        <w:rPr>
          <w:rFonts w:ascii="Times New Roman" w:hAnsi="Times New Roman" w:cs="Times New Roman"/>
        </w:rPr>
        <w:t>(</w:t>
      </w:r>
      <w:r w:rsidR="00981130" w:rsidRPr="00981130">
        <w:rPr>
          <w:rFonts w:ascii="Times New Roman" w:hAnsi="Times New Roman" w:cs="Times New Roman"/>
        </w:rPr>
        <w:t>2019)</w:t>
      </w:r>
      <w:r w:rsidRPr="00981130">
        <w:rPr>
          <w:rFonts w:ascii="Times New Roman" w:hAnsi="Times New Roman" w:cs="Times New Roman"/>
        </w:rPr>
        <w:t xml:space="preserve"> [hereinafter Furth-Matzkin 201</w:t>
      </w:r>
      <w:r w:rsidR="00981130" w:rsidRPr="00981130">
        <w:rPr>
          <w:rFonts w:ascii="Times New Roman" w:hAnsi="Times New Roman" w:cs="Times New Roman"/>
        </w:rPr>
        <w:t>9</w:t>
      </w:r>
      <w:r w:rsidRPr="00981130">
        <w:rPr>
          <w:rFonts w:ascii="Times New Roman" w:hAnsi="Times New Roman" w:cs="Times New Roman"/>
        </w:rPr>
        <w:t>].</w:t>
      </w:r>
    </w:p>
  </w:footnote>
  <w:footnote w:id="8">
    <w:p w14:paraId="32D9322C" w14:textId="298F70E2"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7F2674">
        <w:rPr>
          <w:rFonts w:ascii="Times New Roman" w:hAnsi="Times New Roman" w:cs="Times New Roman"/>
          <w:smallCaps/>
        </w:rPr>
        <w:t>Margaret J. Radin</w:t>
      </w:r>
      <w:r w:rsidRPr="00BB2F40">
        <w:rPr>
          <w:rFonts w:ascii="Times New Roman" w:hAnsi="Times New Roman" w:cs="Times New Roman"/>
        </w:rPr>
        <w:t xml:space="preserve">, </w:t>
      </w:r>
      <w:r w:rsidRPr="007F2674">
        <w:rPr>
          <w:rFonts w:ascii="Times New Roman" w:hAnsi="Times New Roman" w:cs="Times New Roman"/>
          <w:smallCaps/>
        </w:rPr>
        <w:t>Margaret, Boilerplate: The Fine Print, Vanishing Rights, and the Rule of Law</w:t>
      </w:r>
      <w:r w:rsidRPr="00BB2F40">
        <w:rPr>
          <w:rFonts w:ascii="Times New Roman" w:hAnsi="Times New Roman" w:cs="Times New Roman"/>
        </w:rPr>
        <w:t xml:space="preserve"> (2013).</w:t>
      </w:r>
      <w:r w:rsidRPr="007F2674">
        <w:rPr>
          <w:rFonts w:ascii="Times New Roman" w:hAnsi="Times New Roman" w:cs="Times New Roman"/>
        </w:rPr>
        <w:t>.</w:t>
      </w:r>
    </w:p>
  </w:footnote>
  <w:footnote w:id="9">
    <w:p w14:paraId="51668246" w14:textId="250C04B8"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smallCaps/>
        </w:rPr>
        <w:t>Oren Bar-Gill, Seduction by Contract: Law, Economics, and Psychology in Consumer Markets</w:t>
      </w:r>
      <w:r w:rsidRPr="00441D55">
        <w:rPr>
          <w:rFonts w:ascii="Times New Roman" w:hAnsi="Times New Roman" w:cs="Times New Roman"/>
        </w:rPr>
        <w:t xml:space="preserve"> (2012)</w:t>
      </w:r>
      <w:r w:rsidRPr="007F2674">
        <w:rPr>
          <w:rFonts w:ascii="Times New Roman" w:hAnsi="Times New Roman" w:cs="Times New Roman"/>
        </w:rPr>
        <w:t xml:space="preserve">; </w:t>
      </w:r>
      <w:r w:rsidRPr="00BB2F40">
        <w:rPr>
          <w:rFonts w:ascii="Times New Roman" w:hAnsi="Times New Roman" w:cs="Times New Roman"/>
        </w:rPr>
        <w:t xml:space="preserve">Korobkin, </w:t>
      </w:r>
      <w:r w:rsidR="0083176F" w:rsidRPr="007F2674">
        <w:rPr>
          <w:rFonts w:ascii="Times New Roman" w:hAnsi="Times New Roman" w:cs="Times New Roman"/>
          <w:i/>
        </w:rPr>
        <w:t>supra</w:t>
      </w:r>
      <w:r w:rsidR="0083176F">
        <w:rPr>
          <w:rFonts w:ascii="Times New Roman" w:hAnsi="Times New Roman" w:cs="Times New Roman"/>
        </w:rPr>
        <w:t xml:space="preserve"> note 6</w:t>
      </w:r>
      <w:r w:rsidRPr="00CD13FE">
        <w:rPr>
          <w:rFonts w:ascii="Times New Roman" w:hAnsi="Times New Roman" w:cs="Times New Roman"/>
        </w:rPr>
        <w:t xml:space="preserve">; </w:t>
      </w:r>
      <w:r w:rsidRPr="007F2674">
        <w:rPr>
          <w:rFonts w:ascii="Times New Roman" w:hAnsi="Times New Roman" w:cs="Times New Roman"/>
          <w:smallCaps/>
        </w:rPr>
        <w:t>Melvin Eisenberg</w:t>
      </w:r>
      <w:r w:rsidR="000B2B89">
        <w:rPr>
          <w:rFonts w:ascii="Times New Roman" w:hAnsi="Times New Roman" w:cs="Times New Roman"/>
        </w:rPr>
        <w:t xml:space="preserve">, </w:t>
      </w:r>
      <w:r w:rsidR="000B2B89" w:rsidRPr="007F2674">
        <w:rPr>
          <w:rFonts w:ascii="Times New Roman" w:hAnsi="Times New Roman" w:cs="Times New Roman"/>
          <w:smallCaps/>
        </w:rPr>
        <w:t>Behavioral Economics and Contract Law</w:t>
      </w:r>
      <w:r w:rsidR="000B2B89">
        <w:rPr>
          <w:rFonts w:ascii="Times New Roman" w:hAnsi="Times New Roman" w:cs="Times New Roman"/>
        </w:rPr>
        <w:t xml:space="preserve"> (Eyal Zamir &amp; Doron Teichman eds., 2014)</w:t>
      </w:r>
      <w:r w:rsidRPr="007F2674">
        <w:rPr>
          <w:rFonts w:ascii="Times New Roman" w:hAnsi="Times New Roman" w:cs="Times New Roman"/>
        </w:rPr>
        <w:t>.</w:t>
      </w:r>
    </w:p>
  </w:footnote>
  <w:footnote w:id="10">
    <w:p w14:paraId="64A0A26D" w14:textId="591DDA2A"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A7515A" w:rsidRPr="00EE7B96">
        <w:rPr>
          <w:rFonts w:ascii="Times New Roman" w:hAnsi="Times New Roman"/>
          <w:i/>
          <w:iCs/>
        </w:rPr>
        <w:t>See</w:t>
      </w:r>
      <w:r w:rsidR="00A7515A" w:rsidRPr="00EE7B96">
        <w:rPr>
          <w:rFonts w:ascii="Times New Roman" w:hAnsi="Times New Roman"/>
        </w:rPr>
        <w:t xml:space="preserve">, </w:t>
      </w:r>
      <w:r w:rsidR="00A7515A" w:rsidRPr="00EE7B96">
        <w:rPr>
          <w:rFonts w:ascii="Times New Roman" w:hAnsi="Times New Roman"/>
          <w:i/>
          <w:iCs/>
        </w:rPr>
        <w:t>e.g.</w:t>
      </w:r>
      <w:r w:rsidR="00A7515A" w:rsidRPr="00EE7B96">
        <w:rPr>
          <w:rFonts w:ascii="Times New Roman" w:hAnsi="Times New Roman"/>
        </w:rPr>
        <w:t xml:space="preserve">, </w:t>
      </w:r>
      <w:r w:rsidR="0083176F">
        <w:rPr>
          <w:rFonts w:ascii="Times New Roman" w:hAnsi="Times New Roman"/>
        </w:rPr>
        <w:t xml:space="preserve">Gilo &amp; Porat, </w:t>
      </w:r>
      <w:r w:rsidR="0083176F">
        <w:rPr>
          <w:rFonts w:ascii="Times New Roman" w:hAnsi="Times New Roman"/>
          <w:i/>
        </w:rPr>
        <w:t xml:space="preserve">supra </w:t>
      </w:r>
      <w:r w:rsidR="0083176F">
        <w:rPr>
          <w:rFonts w:ascii="Times New Roman" w:hAnsi="Times New Roman"/>
        </w:rPr>
        <w:t xml:space="preserve">note 6, at 985 </w:t>
      </w:r>
      <w:r w:rsidR="00A7515A" w:rsidRPr="00EE7B96">
        <w:rPr>
          <w:rFonts w:ascii="Times New Roman" w:hAnsi="Times New Roman"/>
        </w:rPr>
        <w:t>(</w:t>
      </w:r>
      <w:r w:rsidR="00A7515A">
        <w:rPr>
          <w:rFonts w:ascii="Times New Roman" w:hAnsi="Times New Roman"/>
        </w:rPr>
        <w:t>noting</w:t>
      </w:r>
      <w:r w:rsidR="00A7515A" w:rsidRPr="00EE7B96">
        <w:rPr>
          <w:rFonts w:ascii="Times New Roman" w:hAnsi="Times New Roman"/>
        </w:rPr>
        <w:t xml:space="preserve"> that “there is a risk that the supplier will extract payment from the consumer without the latter being aware of the fact that the payment does not reflect the reduction of value due to the harsh clause”); </w:t>
      </w:r>
      <w:r w:rsidR="00A7515A" w:rsidRPr="00EE7B96">
        <w:rPr>
          <w:rFonts w:ascii="Times New Roman" w:hAnsi="Times New Roman"/>
          <w:i/>
        </w:rPr>
        <w:t>see also</w:t>
      </w:r>
      <w:r w:rsidR="00A7515A" w:rsidRPr="00EE7B96">
        <w:rPr>
          <w:rFonts w:ascii="Times New Roman" w:hAnsi="Times New Roman"/>
        </w:rPr>
        <w:t xml:space="preserve"> Thomas J. Miceli &amp; Kathleen Segerson, </w:t>
      </w:r>
      <w:r w:rsidR="00A7515A" w:rsidRPr="00EE7B96">
        <w:rPr>
          <w:rFonts w:ascii="Times New Roman" w:hAnsi="Times New Roman"/>
          <w:i/>
          <w:iCs/>
        </w:rPr>
        <w:t>Liability versus Regulation for Dangerous Products when Consumers Vary in their Susceptibility to Harm and May Misperceive Risk</w:t>
      </w:r>
      <w:r w:rsidR="00A7515A">
        <w:rPr>
          <w:rFonts w:ascii="Times New Roman" w:hAnsi="Times New Roman"/>
          <w:iCs/>
        </w:rPr>
        <w:t>,</w:t>
      </w:r>
      <w:r w:rsidR="00A7515A" w:rsidRPr="00EE7B96">
        <w:rPr>
          <w:rFonts w:ascii="Times New Roman" w:hAnsi="Times New Roman"/>
          <w:i/>
          <w:iCs/>
        </w:rPr>
        <w:t xml:space="preserve"> </w:t>
      </w:r>
      <w:r w:rsidR="00A7515A" w:rsidRPr="00EE7B96">
        <w:rPr>
          <w:rFonts w:ascii="Times New Roman" w:hAnsi="Times New Roman"/>
        </w:rPr>
        <w:t xml:space="preserve">9 </w:t>
      </w:r>
      <w:r w:rsidR="00A7515A" w:rsidRPr="00EE7B96">
        <w:rPr>
          <w:rFonts w:ascii="Times New Roman" w:hAnsi="Times New Roman"/>
          <w:smallCaps/>
        </w:rPr>
        <w:t>Rev. L. &amp; Econ.</w:t>
      </w:r>
      <w:r w:rsidR="00A7515A" w:rsidRPr="00EE7B96">
        <w:rPr>
          <w:rFonts w:ascii="Times New Roman" w:hAnsi="Times New Roman"/>
        </w:rPr>
        <w:t xml:space="preserve"> 341 (2013) (arguing that</w:t>
      </w:r>
      <w:r w:rsidR="00A7515A">
        <w:rPr>
          <w:rFonts w:ascii="Times New Roman" w:hAnsi="Times New Roman"/>
        </w:rPr>
        <w:t xml:space="preserve"> strict product liability is prefereable</w:t>
      </w:r>
      <w:r w:rsidR="00A7515A" w:rsidRPr="00EE7B96">
        <w:rPr>
          <w:rFonts w:ascii="Times New Roman" w:hAnsi="Times New Roman"/>
        </w:rPr>
        <w:t xml:space="preserve"> when consumers misperceive risk, </w:t>
      </w:r>
      <w:r w:rsidR="00A7515A">
        <w:rPr>
          <w:rFonts w:ascii="Times New Roman" w:hAnsi="Times New Roman"/>
        </w:rPr>
        <w:t>in order that</w:t>
      </w:r>
      <w:r w:rsidR="00A7515A" w:rsidRPr="00EE7B96">
        <w:rPr>
          <w:rFonts w:ascii="Times New Roman" w:hAnsi="Times New Roman"/>
        </w:rPr>
        <w:t xml:space="preserve"> the price of the product </w:t>
      </w:r>
      <w:r w:rsidR="00A7515A">
        <w:rPr>
          <w:rFonts w:ascii="Times New Roman" w:hAnsi="Times New Roman"/>
        </w:rPr>
        <w:t>may</w:t>
      </w:r>
      <w:r w:rsidR="00A7515A" w:rsidRPr="00EE7B96">
        <w:rPr>
          <w:rFonts w:ascii="Times New Roman" w:hAnsi="Times New Roman"/>
        </w:rPr>
        <w:t xml:space="preserve"> then accurately reflect the associated risk)</w:t>
      </w:r>
      <w:r w:rsidR="00A7515A">
        <w:rPr>
          <w:rFonts w:ascii="Times New Roman" w:hAnsi="Times New Roman"/>
        </w:rPr>
        <w:t>.</w:t>
      </w:r>
    </w:p>
  </w:footnote>
  <w:footnote w:id="11">
    <w:p w14:paraId="01841820" w14:textId="728768F9"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smallCaps/>
        </w:rPr>
        <w:t>Bar-Gill</w:t>
      </w:r>
      <w:r w:rsidRPr="00BB2F40">
        <w:rPr>
          <w:rFonts w:ascii="Times New Roman" w:hAnsi="Times New Roman" w:cs="Times New Roman"/>
        </w:rPr>
        <w:t xml:space="preserve">, </w:t>
      </w:r>
      <w:r w:rsidRPr="00BB2F40">
        <w:rPr>
          <w:rFonts w:ascii="Times New Roman" w:hAnsi="Times New Roman" w:cs="Times New Roman"/>
          <w:i/>
        </w:rPr>
        <w:t xml:space="preserve">supra </w:t>
      </w:r>
      <w:r w:rsidRPr="00BB2F40">
        <w:rPr>
          <w:rFonts w:ascii="Times New Roman" w:hAnsi="Times New Roman" w:cs="Times New Roman"/>
        </w:rPr>
        <w:t>note 8</w:t>
      </w:r>
      <w:r w:rsidR="0029291B">
        <w:rPr>
          <w:rFonts w:ascii="Times New Roman" w:hAnsi="Times New Roman" w:cs="Times New Roman"/>
        </w:rPr>
        <w:t>, at 15–16</w:t>
      </w:r>
      <w:r w:rsidRPr="00BB2F40">
        <w:rPr>
          <w:rFonts w:ascii="Times New Roman" w:hAnsi="Times New Roman" w:cs="Times New Roman"/>
        </w:rPr>
        <w:t xml:space="preserve">; </w:t>
      </w:r>
      <w:r w:rsidR="0029291B" w:rsidRPr="00EE7B96">
        <w:rPr>
          <w:rFonts w:ascii="Times New Roman" w:hAnsi="Times New Roman"/>
          <w:smallCaps/>
        </w:rPr>
        <w:t xml:space="preserve">Michael </w:t>
      </w:r>
      <w:r w:rsidR="0029291B" w:rsidRPr="00EE7B96">
        <w:rPr>
          <w:rFonts w:ascii="Times New Roman" w:hAnsi="Times New Roman"/>
        </w:rPr>
        <w:t xml:space="preserve">S. </w:t>
      </w:r>
      <w:r w:rsidR="0029291B" w:rsidRPr="00EE7B96">
        <w:rPr>
          <w:rFonts w:ascii="Times New Roman" w:hAnsi="Times New Roman"/>
          <w:smallCaps/>
        </w:rPr>
        <w:t>Barr, Sendhil Mullaintahan, &amp; Eldar Shafir</w:t>
      </w:r>
      <w:r w:rsidR="0029291B" w:rsidRPr="00EE7B96">
        <w:rPr>
          <w:rFonts w:ascii="Times New Roman" w:hAnsi="Times New Roman"/>
        </w:rPr>
        <w:t xml:space="preserve">, </w:t>
      </w:r>
      <w:r w:rsidR="0029291B" w:rsidRPr="00EE7B96">
        <w:rPr>
          <w:rFonts w:ascii="Times New Roman" w:hAnsi="Times New Roman"/>
          <w:smallCaps/>
        </w:rPr>
        <w:t>Behaviorally Informed Financial Services Regulation</w:t>
      </w:r>
      <w:r w:rsidR="0029291B" w:rsidRPr="00EE7B96">
        <w:rPr>
          <w:rFonts w:ascii="Times New Roman" w:hAnsi="Times New Roman"/>
        </w:rPr>
        <w:t xml:space="preserve"> 12 (2008)</w:t>
      </w:r>
      <w:r w:rsidRPr="007F2674">
        <w:rPr>
          <w:rFonts w:ascii="Times New Roman" w:hAnsi="Times New Roman" w:cs="Times New Roman"/>
        </w:rPr>
        <w:t>.</w:t>
      </w:r>
    </w:p>
  </w:footnote>
  <w:footnote w:id="12">
    <w:p w14:paraId="439E4603" w14:textId="6D3B419C"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BB2F40">
        <w:rPr>
          <w:rFonts w:ascii="Times New Roman" w:hAnsi="Times New Roman" w:cs="Times New Roman"/>
          <w:i/>
        </w:rPr>
        <w:t>Id</w:t>
      </w:r>
      <w:r w:rsidRPr="007F2674">
        <w:rPr>
          <w:rFonts w:ascii="Times New Roman" w:hAnsi="Times New Roman" w:cs="Times New Roman"/>
        </w:rPr>
        <w:t>.</w:t>
      </w:r>
    </w:p>
  </w:footnote>
  <w:footnote w:id="13">
    <w:p w14:paraId="29F0B862" w14:textId="1550E946"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009C5B1A">
        <w:rPr>
          <w:rFonts w:ascii="Times New Roman" w:hAnsi="Times New Roman" w:cs="Times New Roman"/>
          <w:i/>
        </w:rPr>
        <w:t>S</w:t>
      </w:r>
      <w:r w:rsidR="009C5B1A" w:rsidRPr="007F2674">
        <w:rPr>
          <w:rFonts w:ascii="Times New Roman" w:hAnsi="Times New Roman" w:cs="Times New Roman"/>
          <w:i/>
        </w:rPr>
        <w:t>ee, e.g.</w:t>
      </w:r>
      <w:r w:rsidR="009C5B1A">
        <w:rPr>
          <w:rFonts w:ascii="Times New Roman" w:hAnsi="Times New Roman" w:cs="Times New Roman"/>
        </w:rPr>
        <w:t xml:space="preserve">, </w:t>
      </w:r>
      <w:r w:rsidR="009C5B1A" w:rsidRPr="00EE7B96">
        <w:rPr>
          <w:rFonts w:ascii="Times New Roman" w:hAnsi="Times New Roman"/>
        </w:rPr>
        <w:t>Magnusson-Moss Warranty-Federal Trade Commission Improvement Act, 15 U.S.C. §§ 2301–2312 (1976</w:t>
      </w:r>
      <w:r w:rsidR="009C5B1A">
        <w:rPr>
          <w:rFonts w:ascii="Times New Roman" w:hAnsi="Times New Roman"/>
        </w:rPr>
        <w:t>) (prohibiting sellers from disclaiming the Uniform Commercial Code’s implied warranty provisions);</w:t>
      </w:r>
      <w:r w:rsidR="009C5B1A" w:rsidRPr="009C5B1A">
        <w:rPr>
          <w:rFonts w:ascii="Times New Roman" w:hAnsi="Times New Roman"/>
        </w:rPr>
        <w:t xml:space="preserve"> </w:t>
      </w:r>
      <w:r w:rsidR="009C5B1A" w:rsidRPr="00EE7B96">
        <w:rPr>
          <w:rFonts w:ascii="Times New Roman" w:hAnsi="Times New Roman"/>
        </w:rPr>
        <w:t xml:space="preserve">Credit Card Accountability Responsibility and Disclosure Act, 12 C.F.R. §§ 226.18, 226.5a (2009) </w:t>
      </w:r>
      <w:r w:rsidR="009C5B1A">
        <w:rPr>
          <w:rFonts w:ascii="Times New Roman" w:hAnsi="Times New Roman"/>
        </w:rPr>
        <w:t>(instituting price caps and other prohibitions, as well as heightened disclosure obligations)</w:t>
      </w:r>
      <w:r w:rsidRPr="007F2674">
        <w:rPr>
          <w:rFonts w:ascii="Times New Roman" w:hAnsi="Times New Roman" w:cs="Times New Roman"/>
        </w:rPr>
        <w:t>.</w:t>
      </w:r>
    </w:p>
  </w:footnote>
  <w:footnote w:id="14">
    <w:p w14:paraId="12DE5DFF" w14:textId="5C11CF9C"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smallCaps/>
        </w:rPr>
        <w:t>Ben-Shahar &amp; Schneider</w:t>
      </w:r>
      <w:r w:rsidRPr="00441D55">
        <w:rPr>
          <w:rFonts w:ascii="Times New Roman" w:hAnsi="Times New Roman" w:cs="Times New Roman"/>
          <w:smallCaps/>
        </w:rPr>
        <w:t xml:space="preserve">, </w:t>
      </w:r>
      <w:r w:rsidRPr="00441D55">
        <w:rPr>
          <w:rFonts w:ascii="Times New Roman" w:hAnsi="Times New Roman" w:cs="Times New Roman"/>
          <w:i/>
        </w:rPr>
        <w:t xml:space="preserve">supra </w:t>
      </w:r>
      <w:r w:rsidRPr="00CD13FE">
        <w:rPr>
          <w:rFonts w:ascii="Times New Roman" w:hAnsi="Times New Roman" w:cs="Times New Roman"/>
        </w:rPr>
        <w:t xml:space="preserve">note 1. </w:t>
      </w:r>
    </w:p>
  </w:footnote>
  <w:footnote w:id="15">
    <w:p w14:paraId="77C8C3AB" w14:textId="3BBF0937"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BB2F40">
        <w:rPr>
          <w:rFonts w:ascii="Times New Roman" w:hAnsi="Times New Roman" w:cs="Times New Roman"/>
          <w:i/>
        </w:rPr>
        <w:t>Id.</w:t>
      </w:r>
      <w:r w:rsidRPr="007F2674">
        <w:rPr>
          <w:rFonts w:ascii="Times New Roman" w:hAnsi="Times New Roman" w:cs="Times New Roman"/>
        </w:rPr>
        <w:t>.</w:t>
      </w:r>
    </w:p>
  </w:footnote>
  <w:footnote w:id="16">
    <w:p w14:paraId="6C0774A0" w14:textId="3C2D9E1C"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BB2F40">
        <w:rPr>
          <w:rFonts w:ascii="Times New Roman" w:hAnsi="Times New Roman" w:cs="Times New Roman"/>
          <w:i/>
        </w:rPr>
        <w:t>Id.</w:t>
      </w:r>
    </w:p>
  </w:footnote>
  <w:footnote w:id="17">
    <w:p w14:paraId="7512018D" w14:textId="46165EED"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009C5B1A">
        <w:rPr>
          <w:rFonts w:ascii="Times New Roman" w:hAnsi="Times New Roman" w:cs="Times New Roman"/>
          <w:i/>
        </w:rPr>
        <w:t xml:space="preserve">See </w:t>
      </w:r>
      <w:r w:rsidR="009C5B1A" w:rsidRPr="007F2674">
        <w:rPr>
          <w:rFonts w:ascii="Times New Roman" w:hAnsi="Times New Roman"/>
          <w:smallCaps/>
        </w:rPr>
        <w:t>Restatement of Consumer Contracts</w:t>
      </w:r>
      <w:r w:rsidR="009C5B1A" w:rsidRPr="00EE7B96">
        <w:rPr>
          <w:rFonts w:ascii="Times New Roman" w:hAnsi="Times New Roman"/>
        </w:rPr>
        <w:t xml:space="preserve"> (Preliminary Draft No. 3, October 26, 2017), at 4</w:t>
      </w:r>
      <w:r w:rsidR="009C5B1A">
        <w:rPr>
          <w:rFonts w:ascii="Times New Roman" w:hAnsi="Times New Roman"/>
        </w:rPr>
        <w:t xml:space="preserve">; </w:t>
      </w:r>
      <w:r w:rsidR="009C5B1A">
        <w:rPr>
          <w:rFonts w:ascii="Times New Roman" w:hAnsi="Times New Roman"/>
          <w:i/>
        </w:rPr>
        <w:t xml:space="preserve">see also </w:t>
      </w:r>
      <w:r w:rsidR="009C5B1A" w:rsidRPr="00EE7B96">
        <w:rPr>
          <w:rFonts w:ascii="Times New Roman" w:hAnsi="Times New Roman"/>
        </w:rPr>
        <w:t xml:space="preserve">Eyal Zamir &amp; Yuval Farkash, </w:t>
      </w:r>
      <w:r w:rsidR="009C5B1A" w:rsidRPr="00EE7B96">
        <w:rPr>
          <w:rFonts w:ascii="Times New Roman" w:hAnsi="Times New Roman"/>
          <w:i/>
          <w:iCs/>
        </w:rPr>
        <w:t>Standard Form Contracts: Empirical Studies, Normative Implications, and the Fragmentation of Legal Scholarship</w:t>
      </w:r>
      <w:r w:rsidR="009C5B1A" w:rsidRPr="00EE7B96">
        <w:rPr>
          <w:rFonts w:ascii="Times New Roman" w:hAnsi="Times New Roman"/>
        </w:rPr>
        <w:t xml:space="preserve">, 12 </w:t>
      </w:r>
      <w:r w:rsidR="009C5B1A" w:rsidRPr="00EE7B96">
        <w:rPr>
          <w:rFonts w:ascii="Times New Roman" w:hAnsi="Times New Roman"/>
          <w:smallCaps/>
        </w:rPr>
        <w:t>Jerusalem Rev. Legal Stud.</w:t>
      </w:r>
      <w:r w:rsidR="009C5B1A" w:rsidRPr="00EE7B96">
        <w:rPr>
          <w:rFonts w:ascii="Times New Roman" w:hAnsi="Times New Roman"/>
        </w:rPr>
        <w:t xml:space="preserve"> 137, 16</w:t>
      </w:r>
      <w:r w:rsidR="009C5B1A">
        <w:rPr>
          <w:rFonts w:ascii="Times New Roman" w:hAnsi="Times New Roman"/>
        </w:rPr>
        <w:t>2</w:t>
      </w:r>
      <w:r w:rsidR="009C5B1A" w:rsidRPr="00EE7B96">
        <w:rPr>
          <w:rFonts w:ascii="Times New Roman" w:hAnsi="Times New Roman"/>
          <w:color w:val="222222"/>
          <w:shd w:val="clear" w:color="auto" w:fill="FFFFFF"/>
        </w:rPr>
        <w:t>–</w:t>
      </w:r>
      <w:r w:rsidR="009C5B1A">
        <w:rPr>
          <w:rFonts w:ascii="Times New Roman" w:hAnsi="Times New Roman"/>
        </w:rPr>
        <w:t xml:space="preserve">67; </w:t>
      </w:r>
      <w:r w:rsidR="009C5B1A" w:rsidRPr="00EE7B96">
        <w:rPr>
          <w:rFonts w:ascii="Times New Roman" w:hAnsi="Times New Roman"/>
          <w:smallCaps/>
        </w:rPr>
        <w:t>Margaret J. Radin</w:t>
      </w:r>
      <w:r w:rsidR="009C5B1A" w:rsidRPr="00EE7B96">
        <w:rPr>
          <w:rFonts w:ascii="Times New Roman" w:hAnsi="Times New Roman"/>
        </w:rPr>
        <w:t xml:space="preserve">, </w:t>
      </w:r>
      <w:r w:rsidR="009C5B1A" w:rsidRPr="00EE7B96">
        <w:rPr>
          <w:rFonts w:ascii="Times New Roman" w:hAnsi="Times New Roman"/>
          <w:smallCaps/>
        </w:rPr>
        <w:t>Boilerplate: The Fine Print, Vanishing Rights, and the Rule of Law</w:t>
      </w:r>
      <w:r w:rsidR="009C5B1A" w:rsidRPr="00EE7B96">
        <w:rPr>
          <w:rFonts w:ascii="Times New Roman" w:hAnsi="Times New Roman"/>
        </w:rPr>
        <w:t xml:space="preserve"> </w:t>
      </w:r>
      <w:r w:rsidR="009C5B1A">
        <w:rPr>
          <w:rFonts w:ascii="Times New Roman" w:hAnsi="Times New Roman"/>
        </w:rPr>
        <w:t>218–32</w:t>
      </w:r>
      <w:r w:rsidR="009C5B1A" w:rsidRPr="00EE7B96">
        <w:rPr>
          <w:rFonts w:ascii="Times New Roman" w:hAnsi="Times New Roman"/>
        </w:rPr>
        <w:t xml:space="preserve"> (2013)</w:t>
      </w:r>
    </w:p>
  </w:footnote>
  <w:footnote w:id="18">
    <w:p w14:paraId="4ED27FEC" w14:textId="634493E5"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2017, </w:t>
      </w:r>
      <w:r w:rsidRPr="00BB2F40">
        <w:rPr>
          <w:rFonts w:ascii="Times New Roman" w:hAnsi="Times New Roman" w:cs="Times New Roman"/>
          <w:i/>
        </w:rPr>
        <w:t xml:space="preserve">supra </w:t>
      </w:r>
      <w:r w:rsidRPr="00441D55">
        <w:rPr>
          <w:rFonts w:ascii="Times New Roman" w:hAnsi="Times New Roman" w:cs="Times New Roman"/>
        </w:rPr>
        <w:t>note 3</w:t>
      </w:r>
      <w:r w:rsidRPr="007F2674">
        <w:rPr>
          <w:rFonts w:ascii="Times New Roman" w:hAnsi="Times New Roman" w:cs="Times New Roman"/>
        </w:rPr>
        <w:t>.</w:t>
      </w:r>
    </w:p>
  </w:footnote>
  <w:footnote w:id="19">
    <w:p w14:paraId="7C826AC1" w14:textId="385DDA52" w:rsidR="00CD13FE" w:rsidRPr="007F2674" w:rsidRDefault="00CD13FE" w:rsidP="0098113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Furth-</w:t>
      </w:r>
      <w:r w:rsidRPr="00981130">
        <w:rPr>
          <w:rFonts w:ascii="Times New Roman" w:hAnsi="Times New Roman" w:cs="Times New Roman"/>
        </w:rPr>
        <w:t>Matzkin 201</w:t>
      </w:r>
      <w:r w:rsidR="00981130" w:rsidRPr="00981130">
        <w:rPr>
          <w:rFonts w:ascii="Times New Roman" w:hAnsi="Times New Roman" w:cs="Times New Roman"/>
        </w:rPr>
        <w:t>9</w:t>
      </w:r>
      <w:r w:rsidRPr="00981130">
        <w:rPr>
          <w:rFonts w:ascii="Times New Roman" w:hAnsi="Times New Roman" w:cs="Times New Roman"/>
        </w:rPr>
        <w:t xml:space="preserve">, </w:t>
      </w:r>
      <w:r w:rsidRPr="00981130">
        <w:rPr>
          <w:rFonts w:ascii="Times New Roman" w:hAnsi="Times New Roman" w:cs="Times New Roman"/>
          <w:i/>
        </w:rPr>
        <w:t>supra</w:t>
      </w:r>
      <w:r w:rsidRPr="00BB2F40">
        <w:rPr>
          <w:rFonts w:ascii="Times New Roman" w:hAnsi="Times New Roman" w:cs="Times New Roman"/>
          <w:i/>
        </w:rPr>
        <w:t xml:space="preserve"> </w:t>
      </w:r>
      <w:r w:rsidRPr="00BB2F40">
        <w:rPr>
          <w:rFonts w:ascii="Times New Roman" w:hAnsi="Times New Roman" w:cs="Times New Roman"/>
        </w:rPr>
        <w:t>note 6</w:t>
      </w:r>
      <w:r w:rsidRPr="007F2674">
        <w:rPr>
          <w:rFonts w:ascii="Times New Roman" w:hAnsi="Times New Roman" w:cs="Times New Roman"/>
        </w:rPr>
        <w:t>.</w:t>
      </w:r>
    </w:p>
  </w:footnote>
  <w:footnote w:id="20">
    <w:p w14:paraId="32466F24" w14:textId="3CAACB95" w:rsidR="00CD13FE" w:rsidRPr="007F2674" w:rsidRDefault="00CD13FE" w:rsidP="00C37889">
      <w:pPr>
        <w:pStyle w:val="FootnoteText"/>
        <w:rPr>
          <w:rFonts w:ascii="Times New Roman" w:hAnsi="Times New Roman" w:cs="Times New Roman"/>
          <w:i/>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2017, </w:t>
      </w:r>
      <w:r w:rsidRPr="00441D55">
        <w:rPr>
          <w:rFonts w:ascii="Times New Roman" w:hAnsi="Times New Roman" w:cs="Times New Roman"/>
          <w:i/>
        </w:rPr>
        <w:t xml:space="preserve">supra </w:t>
      </w:r>
      <w:r w:rsidRPr="00441D55">
        <w:rPr>
          <w:rFonts w:ascii="Times New Roman" w:hAnsi="Times New Roman" w:cs="Times New Roman"/>
        </w:rPr>
        <w:t>note</w:t>
      </w:r>
      <w:r w:rsidRPr="00CD13FE">
        <w:rPr>
          <w:rFonts w:ascii="Times New Roman" w:hAnsi="Times New Roman" w:cs="Times New Roman"/>
        </w:rPr>
        <w:t xml:space="preserve"> 3</w:t>
      </w:r>
      <w:r w:rsidRPr="007F2674">
        <w:rPr>
          <w:rFonts w:ascii="Times New Roman" w:hAnsi="Times New Roman" w:cs="Times New Roman"/>
        </w:rPr>
        <w:t xml:space="preserve">; </w:t>
      </w:r>
      <w:r w:rsidRPr="00BB2F40">
        <w:rPr>
          <w:rFonts w:ascii="Times New Roman" w:hAnsi="Times New Roman" w:cs="Times New Roman"/>
        </w:rPr>
        <w:t xml:space="preserve">Meirav Furth-Matzkin &amp; Roseanna Sommers, </w:t>
      </w:r>
      <w:r w:rsidRPr="00441D55">
        <w:rPr>
          <w:rFonts w:ascii="Times New Roman" w:hAnsi="Times New Roman" w:cs="Times New Roman"/>
          <w:i/>
        </w:rPr>
        <w:t xml:space="preserve">Fool Me Once, Shame on Me: </w:t>
      </w:r>
      <w:r w:rsidRPr="00CD13FE">
        <w:rPr>
          <w:rFonts w:ascii="Times New Roman" w:hAnsi="Times New Roman" w:cs="Times New Roman"/>
          <w:i/>
        </w:rPr>
        <w:t>How Consumers and Lawyers Perceive the Fine Print in Deception Cases</w:t>
      </w:r>
      <w:r w:rsidRPr="00CD13FE">
        <w:rPr>
          <w:rFonts w:ascii="Times New Roman" w:hAnsi="Times New Roman" w:cs="Times New Roman"/>
        </w:rPr>
        <w:t xml:space="preserve"> 1–55</w:t>
      </w:r>
      <w:r w:rsidRPr="00FD7628">
        <w:rPr>
          <w:rFonts w:ascii="Times New Roman" w:hAnsi="Times New Roman" w:cs="Times New Roman"/>
        </w:rPr>
        <w:t xml:space="preserve"> (Harvard John M. Olin Center for Law, Economics, and Business Fellows’ Discussion Paper Series, Discussion Paper No. 82, 2018), http://www.law.harvard.edu/programs/olin_center/fellows_papers/pdf/Furth_82.pdf</w:t>
      </w:r>
      <w:r w:rsidRPr="007F2674">
        <w:rPr>
          <w:rFonts w:ascii="Times New Roman" w:hAnsi="Times New Roman" w:cs="Times New Roman"/>
        </w:rPr>
        <w:t>;</w:t>
      </w:r>
      <w:r w:rsidRPr="00BB2F40">
        <w:rPr>
          <w:rFonts w:ascii="Times New Roman" w:hAnsi="Times New Roman" w:cs="Times New Roman"/>
        </w:rPr>
        <w:t xml:space="preserve">Tess Wilkinson-Ryan, </w:t>
      </w:r>
      <w:r w:rsidRPr="007F2674">
        <w:rPr>
          <w:rFonts w:ascii="Times New Roman" w:hAnsi="Times New Roman" w:cs="Times New Roman"/>
          <w:i/>
        </w:rPr>
        <w:t>The Perverse Behavioral Economics of Disclosing Standard Terms</w:t>
      </w:r>
      <w:r w:rsidRPr="00BB2F40">
        <w:rPr>
          <w:rFonts w:ascii="Times New Roman" w:hAnsi="Times New Roman" w:cs="Times New Roman"/>
        </w:rPr>
        <w:t xml:space="preserve">, 103 </w:t>
      </w:r>
      <w:r w:rsidRPr="007F2674">
        <w:rPr>
          <w:rFonts w:ascii="Times New Roman" w:hAnsi="Times New Roman" w:cs="Times New Roman"/>
          <w:smallCaps/>
        </w:rPr>
        <w:t>Cornell L. Rev</w:t>
      </w:r>
      <w:r w:rsidRPr="00BB2F40">
        <w:rPr>
          <w:rFonts w:ascii="Times New Roman" w:hAnsi="Times New Roman" w:cs="Times New Roman"/>
        </w:rPr>
        <w:t xml:space="preserve">. 117 (2017) </w:t>
      </w:r>
      <w:r w:rsidRPr="007F2674">
        <w:rPr>
          <w:rFonts w:ascii="Times New Roman" w:hAnsi="Times New Roman" w:cs="Times New Roman"/>
        </w:rPr>
        <w:t xml:space="preserve">; </w:t>
      </w:r>
      <w:r w:rsidRPr="00BB2F40">
        <w:rPr>
          <w:rFonts w:ascii="Times New Roman" w:hAnsi="Times New Roman" w:cs="Times New Roman"/>
        </w:rPr>
        <w:t xml:space="preserve">Dennis P. Stolle &amp; Andrew J. Slain, </w:t>
      </w:r>
      <w:r w:rsidRPr="007F2674">
        <w:rPr>
          <w:rFonts w:ascii="Times New Roman" w:hAnsi="Times New Roman" w:cs="Times New Roman"/>
          <w:i/>
        </w:rPr>
        <w:t>Standard Form Contracts and Contract</w:t>
      </w:r>
      <w:r w:rsidRPr="00BB2F40">
        <w:rPr>
          <w:rFonts w:ascii="Times New Roman" w:hAnsi="Times New Roman" w:cs="Times New Roman"/>
          <w:i/>
        </w:rPr>
        <w:t xml:space="preserve"> </w:t>
      </w:r>
      <w:r w:rsidRPr="007F2674">
        <w:rPr>
          <w:rFonts w:ascii="Times New Roman" w:hAnsi="Times New Roman" w:cs="Times New Roman"/>
          <w:i/>
        </w:rPr>
        <w:t>Schemas: A Preliminary Investigation of the Effects of Exculpatory Clauses on Consumers’</w:t>
      </w:r>
      <w:r w:rsidRPr="00BB2F40">
        <w:rPr>
          <w:rFonts w:ascii="Times New Roman" w:hAnsi="Times New Roman" w:cs="Times New Roman"/>
          <w:i/>
        </w:rPr>
        <w:t xml:space="preserve"> </w:t>
      </w:r>
      <w:r w:rsidRPr="007F2674">
        <w:rPr>
          <w:rFonts w:ascii="Times New Roman" w:hAnsi="Times New Roman" w:cs="Times New Roman"/>
          <w:i/>
        </w:rPr>
        <w:t>Propensity to Sue</w:t>
      </w:r>
      <w:r w:rsidRPr="00BB2F40">
        <w:rPr>
          <w:rFonts w:ascii="Times New Roman" w:hAnsi="Times New Roman" w:cs="Times New Roman"/>
        </w:rPr>
        <w:t xml:space="preserve">, 15 </w:t>
      </w:r>
      <w:r w:rsidRPr="007F2674">
        <w:rPr>
          <w:rFonts w:ascii="Times New Roman" w:hAnsi="Times New Roman" w:cs="Times New Roman"/>
          <w:smallCaps/>
        </w:rPr>
        <w:t>Behav. Sci. &amp; L</w:t>
      </w:r>
      <w:r w:rsidRPr="00BB2F40">
        <w:rPr>
          <w:rFonts w:ascii="Times New Roman" w:hAnsi="Times New Roman" w:cs="Times New Roman"/>
        </w:rPr>
        <w:t>. 83 (1997).</w:t>
      </w:r>
    </w:p>
  </w:footnote>
  <w:footnote w:id="21">
    <w:p w14:paraId="532289D3" w14:textId="7F50F0B6"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&amp; Sommers, </w:t>
      </w:r>
      <w:r w:rsidRPr="00441D55">
        <w:rPr>
          <w:rFonts w:ascii="Times New Roman" w:hAnsi="Times New Roman" w:cs="Times New Roman"/>
          <w:i/>
        </w:rPr>
        <w:t xml:space="preserve">supra </w:t>
      </w:r>
      <w:r w:rsidRPr="00441D55">
        <w:rPr>
          <w:rFonts w:ascii="Times New Roman" w:hAnsi="Times New Roman" w:cs="Times New Roman"/>
        </w:rPr>
        <w:t>note 19.</w:t>
      </w:r>
    </w:p>
  </w:footnote>
  <w:footnote w:id="22">
    <w:p w14:paraId="6F0E4402" w14:textId="3A1A6220"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2017, </w:t>
      </w:r>
      <w:r w:rsidRPr="00441D55">
        <w:rPr>
          <w:rFonts w:ascii="Times New Roman" w:hAnsi="Times New Roman" w:cs="Times New Roman"/>
          <w:i/>
        </w:rPr>
        <w:t xml:space="preserve">supra </w:t>
      </w:r>
      <w:r w:rsidRPr="00441D55">
        <w:rPr>
          <w:rFonts w:ascii="Times New Roman" w:hAnsi="Times New Roman" w:cs="Times New Roman"/>
        </w:rPr>
        <w:t>note 3</w:t>
      </w:r>
      <w:r w:rsidRPr="00CD13FE">
        <w:rPr>
          <w:rFonts w:ascii="Times New Roman" w:hAnsi="Times New Roman" w:cs="Times New Roman"/>
        </w:rPr>
        <w:t xml:space="preserve">; </w:t>
      </w:r>
      <w:r w:rsidRPr="00CD13FE">
        <w:rPr>
          <w:rFonts w:ascii="Times New Roman" w:hAnsi="Times New Roman" w:cs="Times New Roman"/>
          <w:i/>
        </w:rPr>
        <w:t>see also, e.g.</w:t>
      </w:r>
      <w:r w:rsidRPr="00CD13FE">
        <w:rPr>
          <w:rFonts w:ascii="Times New Roman" w:hAnsi="Times New Roman" w:cs="Times New Roman"/>
        </w:rPr>
        <w:t xml:space="preserve">, </w:t>
      </w:r>
      <w:r w:rsidRPr="00FD7628">
        <w:rPr>
          <w:rFonts w:ascii="Times New Roman" w:hAnsi="Times New Roman" w:cs="Times New Roman"/>
        </w:rPr>
        <w:t>URLTA §1.403(a)(4) (1972)</w:t>
      </w:r>
      <w:r w:rsidRPr="007F2674">
        <w:rPr>
          <w:rFonts w:ascii="Times New Roman" w:hAnsi="Times New Roman" w:cs="Times New Roman"/>
        </w:rPr>
        <w:t>.</w:t>
      </w:r>
    </w:p>
  </w:footnote>
  <w:footnote w:id="23">
    <w:p w14:paraId="1153F132" w14:textId="21334696"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2017, </w:t>
      </w:r>
      <w:r w:rsidRPr="00441D55">
        <w:rPr>
          <w:rFonts w:ascii="Times New Roman" w:hAnsi="Times New Roman" w:cs="Times New Roman"/>
          <w:i/>
        </w:rPr>
        <w:t xml:space="preserve">supra </w:t>
      </w:r>
      <w:r w:rsidRPr="00441D55">
        <w:rPr>
          <w:rFonts w:ascii="Times New Roman" w:hAnsi="Times New Roman" w:cs="Times New Roman"/>
        </w:rPr>
        <w:t>note 3</w:t>
      </w:r>
      <w:r w:rsidRPr="007F2674">
        <w:rPr>
          <w:rFonts w:ascii="Times New Roman" w:hAnsi="Times New Roman" w:cs="Times New Roman"/>
        </w:rPr>
        <w:t>.</w:t>
      </w:r>
    </w:p>
  </w:footnote>
  <w:footnote w:id="24">
    <w:p w14:paraId="5C58D75D" w14:textId="47279D9E"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i/>
        </w:rPr>
        <w:t>Id</w:t>
      </w:r>
      <w:r w:rsidRPr="007F2674">
        <w:rPr>
          <w:rFonts w:ascii="Times New Roman" w:hAnsi="Times New Roman" w:cs="Times New Roman"/>
        </w:rPr>
        <w:t>.</w:t>
      </w:r>
    </w:p>
  </w:footnote>
  <w:footnote w:id="25">
    <w:p w14:paraId="574B0092" w14:textId="3F53E485" w:rsidR="00CD13FE" w:rsidRPr="00981130" w:rsidRDefault="00CD13FE" w:rsidP="0098113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2017, </w:t>
      </w:r>
      <w:r w:rsidRPr="00441D55">
        <w:rPr>
          <w:rFonts w:ascii="Times New Roman" w:hAnsi="Times New Roman" w:cs="Times New Roman"/>
          <w:i/>
        </w:rPr>
        <w:t xml:space="preserve">supra </w:t>
      </w:r>
      <w:r w:rsidRPr="00441D55">
        <w:rPr>
          <w:rFonts w:ascii="Times New Roman" w:hAnsi="Times New Roman" w:cs="Times New Roman"/>
        </w:rPr>
        <w:t>note</w:t>
      </w:r>
      <w:r w:rsidRPr="00CD13FE">
        <w:rPr>
          <w:rFonts w:ascii="Times New Roman" w:hAnsi="Times New Roman" w:cs="Times New Roman"/>
        </w:rPr>
        <w:t xml:space="preserve"> 3</w:t>
      </w:r>
      <w:r w:rsidRPr="00981130">
        <w:rPr>
          <w:rFonts w:ascii="Times New Roman" w:hAnsi="Times New Roman" w:cs="Times New Roman"/>
        </w:rPr>
        <w:t>; Furth-Matzkin 201</w:t>
      </w:r>
      <w:r w:rsidR="00981130" w:rsidRPr="00981130">
        <w:rPr>
          <w:rFonts w:ascii="Times New Roman" w:hAnsi="Times New Roman" w:cs="Times New Roman"/>
        </w:rPr>
        <w:t>9</w:t>
      </w:r>
      <w:r w:rsidRPr="00981130">
        <w:rPr>
          <w:rFonts w:ascii="Times New Roman" w:hAnsi="Times New Roman" w:cs="Times New Roman"/>
        </w:rPr>
        <w:t xml:space="preserve">, </w:t>
      </w:r>
      <w:r w:rsidRPr="00981130">
        <w:rPr>
          <w:rFonts w:ascii="Times New Roman" w:hAnsi="Times New Roman" w:cs="Times New Roman"/>
          <w:i/>
        </w:rPr>
        <w:t xml:space="preserve">supra </w:t>
      </w:r>
      <w:r w:rsidRPr="00981130">
        <w:rPr>
          <w:rFonts w:ascii="Times New Roman" w:hAnsi="Times New Roman" w:cs="Times New Roman"/>
        </w:rPr>
        <w:t xml:space="preserve">note 6. </w:t>
      </w:r>
    </w:p>
  </w:footnote>
  <w:footnote w:id="26">
    <w:p w14:paraId="7361CF8E" w14:textId="21C3EBE8" w:rsidR="00CD13FE" w:rsidRPr="00981130" w:rsidRDefault="00CD13FE">
      <w:pPr>
        <w:pStyle w:val="FootnoteText"/>
        <w:rPr>
          <w:rFonts w:ascii="Times New Roman" w:hAnsi="Times New Roman" w:cs="Times New Roman"/>
        </w:rPr>
      </w:pPr>
      <w:r w:rsidRPr="00981130">
        <w:rPr>
          <w:rStyle w:val="FootnoteReference"/>
          <w:rFonts w:ascii="Times New Roman" w:hAnsi="Times New Roman" w:cs="Times New Roman"/>
        </w:rPr>
        <w:footnoteRef/>
      </w:r>
      <w:r w:rsidRPr="00981130">
        <w:rPr>
          <w:rFonts w:ascii="Times New Roman" w:hAnsi="Times New Roman" w:cs="Times New Roman"/>
        </w:rPr>
        <w:t xml:space="preserve"> </w:t>
      </w:r>
      <w:r w:rsidRPr="00981130">
        <w:rPr>
          <w:rFonts w:ascii="Times New Roman" w:hAnsi="Times New Roman" w:cs="Times New Roman"/>
          <w:i/>
        </w:rPr>
        <w:t xml:space="preserve">See </w:t>
      </w:r>
      <w:r w:rsidRPr="00981130">
        <w:rPr>
          <w:rFonts w:ascii="Times New Roman" w:hAnsi="Times New Roman" w:cs="Times New Roman"/>
        </w:rPr>
        <w:t xml:space="preserve">Furth-Matzkin 2017, </w:t>
      </w:r>
      <w:r w:rsidRPr="00981130">
        <w:rPr>
          <w:rFonts w:ascii="Times New Roman" w:hAnsi="Times New Roman" w:cs="Times New Roman"/>
          <w:i/>
        </w:rPr>
        <w:t xml:space="preserve">supra </w:t>
      </w:r>
      <w:r w:rsidRPr="00981130">
        <w:rPr>
          <w:rFonts w:ascii="Times New Roman" w:hAnsi="Times New Roman" w:cs="Times New Roman"/>
        </w:rPr>
        <w:t>note 3, at 36–40.</w:t>
      </w:r>
    </w:p>
  </w:footnote>
  <w:footnote w:id="27">
    <w:p w14:paraId="0A6477B8" w14:textId="06EB398B" w:rsidR="00CD13FE" w:rsidRPr="00981130" w:rsidRDefault="00CD13FE">
      <w:pPr>
        <w:pStyle w:val="FootnoteText"/>
        <w:rPr>
          <w:rFonts w:ascii="Times New Roman" w:hAnsi="Times New Roman" w:cs="Times New Roman"/>
        </w:rPr>
      </w:pPr>
      <w:r w:rsidRPr="00981130">
        <w:rPr>
          <w:rStyle w:val="FootnoteReference"/>
          <w:rFonts w:ascii="Times New Roman" w:hAnsi="Times New Roman" w:cs="Times New Roman"/>
        </w:rPr>
        <w:footnoteRef/>
      </w:r>
      <w:r w:rsidRPr="00981130">
        <w:rPr>
          <w:rFonts w:ascii="Times New Roman" w:hAnsi="Times New Roman" w:cs="Times New Roman"/>
          <w:i/>
        </w:rPr>
        <w:t>Id.</w:t>
      </w:r>
    </w:p>
  </w:footnote>
  <w:footnote w:id="28">
    <w:p w14:paraId="4B518E82" w14:textId="15D8137C" w:rsidR="00CD13FE" w:rsidRPr="007F2674" w:rsidRDefault="00CD13FE" w:rsidP="00981130">
      <w:pPr>
        <w:pStyle w:val="FootnoteText"/>
        <w:rPr>
          <w:rFonts w:ascii="Times New Roman" w:hAnsi="Times New Roman" w:cs="Times New Roman"/>
        </w:rPr>
      </w:pPr>
      <w:r w:rsidRPr="00981130">
        <w:rPr>
          <w:rStyle w:val="FootnoteReference"/>
          <w:rFonts w:ascii="Times New Roman" w:hAnsi="Times New Roman" w:cs="Times New Roman"/>
        </w:rPr>
        <w:footnoteRef/>
      </w:r>
      <w:r w:rsidRPr="00981130">
        <w:rPr>
          <w:rFonts w:ascii="Times New Roman" w:hAnsi="Times New Roman" w:cs="Times New Roman"/>
        </w:rPr>
        <w:t xml:space="preserve"> Furth-Matzkin 201</w:t>
      </w:r>
      <w:r w:rsidR="00981130" w:rsidRPr="00981130">
        <w:rPr>
          <w:rFonts w:ascii="Times New Roman" w:hAnsi="Times New Roman" w:cs="Times New Roman"/>
        </w:rPr>
        <w:t>9</w:t>
      </w:r>
      <w:r w:rsidRPr="00981130">
        <w:rPr>
          <w:rFonts w:ascii="Times New Roman" w:hAnsi="Times New Roman" w:cs="Times New Roman"/>
        </w:rPr>
        <w:t xml:space="preserve">, </w:t>
      </w:r>
      <w:r w:rsidRPr="00981130">
        <w:rPr>
          <w:rFonts w:ascii="Times New Roman" w:hAnsi="Times New Roman" w:cs="Times New Roman"/>
          <w:i/>
        </w:rPr>
        <w:t xml:space="preserve">supra </w:t>
      </w:r>
      <w:r w:rsidRPr="00981130">
        <w:rPr>
          <w:rFonts w:ascii="Times New Roman" w:hAnsi="Times New Roman" w:cs="Times New Roman"/>
        </w:rPr>
        <w:t>note 6</w:t>
      </w:r>
      <w:r w:rsidRPr="007F2674">
        <w:rPr>
          <w:rFonts w:ascii="Times New Roman" w:hAnsi="Times New Roman" w:cs="Times New Roman"/>
        </w:rPr>
        <w:t>.</w:t>
      </w:r>
    </w:p>
  </w:footnote>
  <w:footnote w:id="29">
    <w:p w14:paraId="12D4E1B4" w14:textId="75B923E1" w:rsidR="00CD13FE" w:rsidRPr="007F2674" w:rsidRDefault="00CD13FE" w:rsidP="0098113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Furth-</w:t>
      </w:r>
      <w:r w:rsidRPr="00981130">
        <w:rPr>
          <w:rFonts w:ascii="Times New Roman" w:hAnsi="Times New Roman" w:cs="Times New Roman"/>
        </w:rPr>
        <w:t>Matzkin 201</w:t>
      </w:r>
      <w:r w:rsidR="00981130" w:rsidRPr="00981130">
        <w:rPr>
          <w:rFonts w:ascii="Times New Roman" w:hAnsi="Times New Roman" w:cs="Times New Roman"/>
        </w:rPr>
        <w:t>9</w:t>
      </w:r>
      <w:r w:rsidRPr="00BB2F40">
        <w:rPr>
          <w:rFonts w:ascii="Times New Roman" w:hAnsi="Times New Roman" w:cs="Times New Roman"/>
        </w:rPr>
        <w:t xml:space="preserve">, </w:t>
      </w:r>
      <w:r w:rsidRPr="00BB2F40">
        <w:rPr>
          <w:rFonts w:ascii="Times New Roman" w:hAnsi="Times New Roman" w:cs="Times New Roman"/>
          <w:i/>
        </w:rPr>
        <w:t xml:space="preserve">supra </w:t>
      </w:r>
      <w:r w:rsidRPr="00BB2F40">
        <w:rPr>
          <w:rFonts w:ascii="Times New Roman" w:hAnsi="Times New Roman" w:cs="Times New Roman"/>
        </w:rPr>
        <w:t>note</w:t>
      </w:r>
      <w:r w:rsidRPr="00441D55">
        <w:rPr>
          <w:rFonts w:ascii="Times New Roman" w:hAnsi="Times New Roman" w:cs="Times New Roman"/>
        </w:rPr>
        <w:t xml:space="preserve"> 6</w:t>
      </w:r>
      <w:r w:rsidRPr="007F2674">
        <w:rPr>
          <w:rFonts w:ascii="Times New Roman" w:hAnsi="Times New Roman" w:cs="Times New Roman"/>
        </w:rPr>
        <w:t>.</w:t>
      </w:r>
    </w:p>
  </w:footnote>
  <w:footnote w:id="30">
    <w:p w14:paraId="0BE36D04" w14:textId="72C0DAF1"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Furth-Matzkin 2017</w:t>
      </w:r>
      <w:r w:rsidRPr="00441D55">
        <w:rPr>
          <w:rFonts w:ascii="Times New Roman" w:hAnsi="Times New Roman" w:cs="Times New Roman"/>
        </w:rPr>
        <w:t xml:space="preserve">, </w:t>
      </w:r>
      <w:r w:rsidRPr="00441D55">
        <w:rPr>
          <w:rFonts w:ascii="Times New Roman" w:hAnsi="Times New Roman" w:cs="Times New Roman"/>
          <w:i/>
        </w:rPr>
        <w:t xml:space="preserve">supra </w:t>
      </w:r>
      <w:r w:rsidRPr="00441D55">
        <w:rPr>
          <w:rFonts w:ascii="Times New Roman" w:hAnsi="Times New Roman" w:cs="Times New Roman"/>
        </w:rPr>
        <w:t>note 3</w:t>
      </w:r>
      <w:r w:rsidRPr="007F2674">
        <w:rPr>
          <w:rFonts w:ascii="Times New Roman" w:hAnsi="Times New Roman" w:cs="Times New Roman"/>
        </w:rPr>
        <w:t>.</w:t>
      </w:r>
    </w:p>
  </w:footnote>
  <w:footnote w:id="31">
    <w:p w14:paraId="2ED9F5E4" w14:textId="6B9C4F3A"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i/>
        </w:rPr>
        <w:t xml:space="preserve">Id. </w:t>
      </w:r>
      <w:r w:rsidRPr="00BB2F40">
        <w:rPr>
          <w:rFonts w:ascii="Times New Roman" w:hAnsi="Times New Roman" w:cs="Times New Roman"/>
        </w:rPr>
        <w:t xml:space="preserve">at </w:t>
      </w:r>
      <w:r w:rsidRPr="00441D55">
        <w:rPr>
          <w:rFonts w:ascii="Times New Roman" w:hAnsi="Times New Roman" w:cs="Times New Roman"/>
        </w:rPr>
        <w:t>26</w:t>
      </w:r>
      <w:r w:rsidRPr="007F2674">
        <w:rPr>
          <w:rFonts w:ascii="Times New Roman" w:hAnsi="Times New Roman" w:cs="Times New Roman"/>
        </w:rPr>
        <w:t>.</w:t>
      </w:r>
    </w:p>
  </w:footnote>
  <w:footnote w:id="32">
    <w:p w14:paraId="7ABAF195" w14:textId="7C82C33F" w:rsidR="00CD13FE" w:rsidRPr="007F2674" w:rsidRDefault="00CD13FE" w:rsidP="00CD13FE">
      <w:pPr>
        <w:pStyle w:val="FootnoteText"/>
        <w:rPr>
          <w:rFonts w:ascii="Times New Roman" w:hAnsi="Times New Roman" w:cs="Times New Roman"/>
          <w:i/>
        </w:rPr>
      </w:pPr>
      <w:r w:rsidRPr="007F2674">
        <w:rPr>
          <w:rStyle w:val="FootnoteReference"/>
          <w:rFonts w:ascii="Times New Roman" w:hAnsi="Times New Roman" w:cs="Times New Roman"/>
        </w:rPr>
        <w:footnoteRef/>
      </w:r>
      <w:r w:rsidRPr="00CD13FE">
        <w:rPr>
          <w:rFonts w:ascii="Times New Roman" w:hAnsi="Times New Roman" w:cs="Times New Roman"/>
        </w:rPr>
        <w:t>Mateja Djurovic,</w:t>
      </w:r>
      <w:r>
        <w:rPr>
          <w:rFonts w:ascii="Times New Roman" w:hAnsi="Times New Roman" w:cs="Times New Roman"/>
        </w:rPr>
        <w:t xml:space="preserve"> </w:t>
      </w:r>
      <w:r w:rsidRPr="007F2674">
        <w:rPr>
          <w:rFonts w:ascii="Times New Roman" w:hAnsi="Times New Roman" w:cs="Times New Roman"/>
          <w:i/>
        </w:rPr>
        <w:t>The Apple Case: The Commencement of Pan-European</w:t>
      </w:r>
      <w:r>
        <w:rPr>
          <w:rFonts w:ascii="Times New Roman" w:hAnsi="Times New Roman" w:cs="Times New Roman"/>
          <w:i/>
        </w:rPr>
        <w:t xml:space="preserve"> </w:t>
      </w:r>
      <w:r w:rsidRPr="007F2674">
        <w:rPr>
          <w:rFonts w:ascii="Times New Roman" w:hAnsi="Times New Roman" w:cs="Times New Roman"/>
          <w:i/>
        </w:rPr>
        <w:t xml:space="preserve">Battle </w:t>
      </w:r>
      <w:r>
        <w:rPr>
          <w:rFonts w:ascii="Times New Roman" w:hAnsi="Times New Roman" w:cs="Times New Roman"/>
          <w:i/>
        </w:rPr>
        <w:t>A</w:t>
      </w:r>
      <w:r w:rsidRPr="007F2674">
        <w:rPr>
          <w:rFonts w:ascii="Times New Roman" w:hAnsi="Times New Roman" w:cs="Times New Roman"/>
          <w:i/>
        </w:rPr>
        <w:t>gainst Unfair Commercial Practices</w:t>
      </w:r>
      <w:r w:rsidRPr="00CD13FE">
        <w:rPr>
          <w:rFonts w:ascii="Times New Roman" w:hAnsi="Times New Roman" w:cs="Times New Roman"/>
        </w:rPr>
        <w:t>, 9</w:t>
      </w:r>
      <w:r>
        <w:rPr>
          <w:rFonts w:ascii="Times New Roman" w:hAnsi="Times New Roman" w:cs="Times New Roman"/>
        </w:rPr>
        <w:t xml:space="preserve"> </w:t>
      </w:r>
      <w:r w:rsidRPr="007F2674">
        <w:rPr>
          <w:rFonts w:ascii="Times New Roman" w:hAnsi="Times New Roman" w:cs="Times New Roman"/>
          <w:smallCaps/>
        </w:rPr>
        <w:t>Eur. Rev. Cont</w:t>
      </w:r>
      <w:r>
        <w:rPr>
          <w:rFonts w:ascii="Times New Roman" w:hAnsi="Times New Roman" w:cs="Times New Roman"/>
          <w:smallCaps/>
        </w:rPr>
        <w:t>.</w:t>
      </w:r>
      <w:r w:rsidRPr="007F2674">
        <w:rPr>
          <w:rFonts w:ascii="Times New Roman" w:hAnsi="Times New Roman" w:cs="Times New Roman"/>
          <w:smallCaps/>
        </w:rPr>
        <w:t xml:space="preserve"> L</w:t>
      </w:r>
      <w:r>
        <w:rPr>
          <w:rFonts w:ascii="Times New Roman" w:hAnsi="Times New Roman" w:cs="Times New Roman"/>
        </w:rPr>
        <w:t xml:space="preserve">. </w:t>
      </w:r>
      <w:r w:rsidRPr="00CD13FE">
        <w:rPr>
          <w:rFonts w:ascii="Times New Roman" w:hAnsi="Times New Roman" w:cs="Times New Roman"/>
        </w:rPr>
        <w:t>253–266</w:t>
      </w:r>
      <w:r>
        <w:rPr>
          <w:rFonts w:ascii="Times New Roman" w:hAnsi="Times New Roman" w:cs="Times New Roman"/>
        </w:rPr>
        <w:t xml:space="preserve"> (2013)</w:t>
      </w:r>
      <w:r w:rsidRPr="007F2674">
        <w:rPr>
          <w:rFonts w:ascii="Times New Roman" w:hAnsi="Times New Roman" w:cs="Times New Roman"/>
        </w:rPr>
        <w:t>.</w:t>
      </w:r>
    </w:p>
  </w:footnote>
  <w:footnote w:id="33">
    <w:p w14:paraId="70D2E573" w14:textId="0F889893"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Pr>
          <w:rFonts w:ascii="Times New Roman" w:hAnsi="Times New Roman" w:cs="Times New Roman"/>
        </w:rPr>
        <w:t xml:space="preserve">Zack </w:t>
      </w:r>
      <w:r w:rsidRPr="00CD13FE">
        <w:rPr>
          <w:rFonts w:ascii="Times New Roman" w:hAnsi="Times New Roman" w:cs="Times New Roman"/>
        </w:rPr>
        <w:t xml:space="preserve">Whittaker, </w:t>
      </w:r>
      <w:r w:rsidRPr="007F2674">
        <w:rPr>
          <w:rFonts w:ascii="Times New Roman" w:hAnsi="Times New Roman" w:cs="Times New Roman"/>
          <w:i/>
        </w:rPr>
        <w:t xml:space="preserve">EU Plans Stronger Consumer Law Enforcement </w:t>
      </w:r>
      <w:r w:rsidR="00E90B0A">
        <w:rPr>
          <w:rFonts w:ascii="Times New Roman" w:hAnsi="Times New Roman" w:cs="Times New Roman"/>
          <w:i/>
        </w:rPr>
        <w:t>A</w:t>
      </w:r>
      <w:r w:rsidRPr="007F2674">
        <w:rPr>
          <w:rFonts w:ascii="Times New Roman" w:hAnsi="Times New Roman" w:cs="Times New Roman"/>
          <w:i/>
        </w:rPr>
        <w:t>fter Apple Warranty Case</w:t>
      </w:r>
      <w:r w:rsidR="00FD7628">
        <w:rPr>
          <w:rFonts w:ascii="Times New Roman" w:hAnsi="Times New Roman" w:cs="Times New Roman"/>
        </w:rPr>
        <w:t xml:space="preserve">, </w:t>
      </w:r>
      <w:r>
        <w:rPr>
          <w:rFonts w:ascii="Times New Roman" w:hAnsi="Times New Roman" w:cs="Times New Roman"/>
          <w:smallCaps/>
        </w:rPr>
        <w:t>ZD.net</w:t>
      </w:r>
      <w:r w:rsidRPr="00CD13FE">
        <w:rPr>
          <w:rFonts w:ascii="Times New Roman" w:hAnsi="Times New Roman" w:cs="Times New Roman"/>
        </w:rPr>
        <w:t xml:space="preserve"> </w:t>
      </w:r>
      <w:r w:rsidR="00FD7628">
        <w:rPr>
          <w:rFonts w:ascii="Times New Roman" w:hAnsi="Times New Roman" w:cs="Times New Roman"/>
        </w:rPr>
        <w:t xml:space="preserve">(Mar. 19, 2013), </w:t>
      </w:r>
      <w:r w:rsidR="00FD7628" w:rsidRPr="00FD7628">
        <w:rPr>
          <w:rFonts w:ascii="Times New Roman" w:hAnsi="Times New Roman" w:cs="Times New Roman"/>
        </w:rPr>
        <w:t>https://www.zdnet.com/article/eu-plans-stronger-consumer-law-enforcement-after-apple-warranty-case/</w:t>
      </w:r>
      <w:r w:rsidRPr="007F2674">
        <w:rPr>
          <w:rFonts w:ascii="Times New Roman" w:hAnsi="Times New Roman" w:cs="Times New Roman"/>
        </w:rPr>
        <w:t>.</w:t>
      </w:r>
    </w:p>
  </w:footnote>
  <w:footnote w:id="34">
    <w:p w14:paraId="65B96496" w14:textId="0652028B"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&amp; Sommers, </w:t>
      </w:r>
      <w:r w:rsidRPr="00441D55">
        <w:rPr>
          <w:rFonts w:ascii="Times New Roman" w:hAnsi="Times New Roman" w:cs="Times New Roman"/>
          <w:i/>
        </w:rPr>
        <w:t xml:space="preserve">supra </w:t>
      </w:r>
      <w:r w:rsidRPr="00441D55">
        <w:rPr>
          <w:rFonts w:ascii="Times New Roman" w:hAnsi="Times New Roman" w:cs="Times New Roman"/>
        </w:rPr>
        <w:t>note 19</w:t>
      </w:r>
      <w:r w:rsidRPr="007F2674">
        <w:rPr>
          <w:rFonts w:ascii="Times New Roman" w:hAnsi="Times New Roman" w:cs="Times New Roman"/>
        </w:rPr>
        <w:t>.</w:t>
      </w:r>
    </w:p>
  </w:footnote>
  <w:footnote w:id="35">
    <w:p w14:paraId="3AF9B3AE" w14:textId="13383862" w:rsidR="00CD13FE" w:rsidRPr="007F2674" w:rsidRDefault="00CD13FE" w:rsidP="00441D55">
      <w:pPr>
        <w:pStyle w:val="FootnoteText"/>
        <w:rPr>
          <w:rFonts w:ascii="Times New Roman" w:hAnsi="Times New Roman" w:cs="Times New Roman"/>
          <w:i/>
        </w:rPr>
      </w:pPr>
      <w:r w:rsidRPr="007F2674">
        <w:rPr>
          <w:rStyle w:val="FootnoteReference"/>
          <w:rFonts w:ascii="Times New Roman" w:hAnsi="Times New Roman" w:cs="Times New Roman"/>
        </w:rPr>
        <w:footnoteRef/>
      </w:r>
      <w:r w:rsidRPr="007F2674">
        <w:rPr>
          <w:rFonts w:ascii="Times New Roman" w:hAnsi="Times New Roman" w:cs="Times New Roman"/>
          <w:i/>
        </w:rPr>
        <w:t>See</w:t>
      </w:r>
      <w:r w:rsidRPr="00441D55">
        <w:rPr>
          <w:rFonts w:ascii="Times New Roman" w:hAnsi="Times New Roman" w:cs="Times New Roman"/>
        </w:rPr>
        <w:t xml:space="preserve"> Keith B. Anderson, </w:t>
      </w:r>
      <w:r w:rsidRPr="007F2674">
        <w:rPr>
          <w:rFonts w:ascii="Times New Roman" w:hAnsi="Times New Roman" w:cs="Times New Roman"/>
          <w:i/>
        </w:rPr>
        <w:t>Consumer Fraud in the United States: An FTC Survey</w:t>
      </w:r>
      <w:r w:rsidRPr="00441D55">
        <w:rPr>
          <w:rFonts w:ascii="Times New Roman" w:hAnsi="Times New Roman" w:cs="Times New Roman"/>
        </w:rPr>
        <w:t>, FTC (2004),</w:t>
      </w:r>
      <w:r>
        <w:rPr>
          <w:rFonts w:ascii="Times New Roman" w:hAnsi="Times New Roman" w:cs="Times New Roman"/>
        </w:rPr>
        <w:t xml:space="preserve"> </w:t>
      </w:r>
      <w:hyperlink r:id="rId1" w:history="1">
        <w:r w:rsidRPr="00A70398">
          <w:rPr>
            <w:rStyle w:val="Hyperlink"/>
            <w:rFonts w:ascii="Times New Roman" w:hAnsi="Times New Roman" w:cs="Times New Roman"/>
          </w:rPr>
          <w:t>https://www.ftc.gov/sites/default/files/documents/reports/consumer-fraud-unitedstates-ftc-survey/040805confraudrpt.pdf</w:t>
        </w:r>
      </w:hyperlink>
      <w:r w:rsidRPr="00441D55">
        <w:rPr>
          <w:rFonts w:ascii="Times New Roman" w:hAnsi="Times New Roman" w:cs="Times New Roman"/>
        </w:rPr>
        <w:t>;</w:t>
      </w:r>
      <w:r>
        <w:rPr>
          <w:rFonts w:ascii="Times New Roman" w:hAnsi="Times New Roman" w:cs="Times New Roman"/>
        </w:rPr>
        <w:t xml:space="preserve"> </w:t>
      </w:r>
      <w:r w:rsidRPr="00441D55">
        <w:rPr>
          <w:rFonts w:ascii="Times New Roman" w:hAnsi="Times New Roman" w:cs="Times New Roman"/>
        </w:rPr>
        <w:t xml:space="preserve">Keith B. Anderson, </w:t>
      </w:r>
      <w:r w:rsidRPr="007F2674">
        <w:rPr>
          <w:rFonts w:ascii="Times New Roman" w:hAnsi="Times New Roman" w:cs="Times New Roman"/>
          <w:i/>
        </w:rPr>
        <w:t>Consumer Fraud in the United</w:t>
      </w:r>
    </w:p>
    <w:p w14:paraId="1454B96B" w14:textId="6ED7CFAE" w:rsidR="00CD13FE" w:rsidRPr="007F2674" w:rsidRDefault="00CD13FE" w:rsidP="00441D55">
      <w:pPr>
        <w:pStyle w:val="FootnoteText"/>
        <w:rPr>
          <w:rFonts w:ascii="Times New Roman" w:hAnsi="Times New Roman" w:cs="Times New Roman"/>
        </w:rPr>
      </w:pPr>
      <w:r w:rsidRPr="007F2674">
        <w:rPr>
          <w:rFonts w:ascii="Times New Roman" w:hAnsi="Times New Roman" w:cs="Times New Roman"/>
          <w:i/>
        </w:rPr>
        <w:t>States: The Second FTC Survey</w:t>
      </w:r>
      <w:r w:rsidRPr="00441D55">
        <w:rPr>
          <w:rFonts w:ascii="Times New Roman" w:hAnsi="Times New Roman" w:cs="Times New Roman"/>
        </w:rPr>
        <w:t xml:space="preserve">, </w:t>
      </w:r>
      <w:r w:rsidRPr="00441D55">
        <w:rPr>
          <w:rFonts w:ascii="Times New Roman" w:hAnsi="Times New Roman" w:cs="Times New Roman"/>
          <w:smallCaps/>
        </w:rPr>
        <w:t>Ftc Staff Rpt</w:t>
      </w:r>
      <w:r w:rsidRPr="00441D55">
        <w:rPr>
          <w:rFonts w:ascii="Times New Roman" w:hAnsi="Times New Roman" w:cs="Times New Roman"/>
        </w:rPr>
        <w:t>. (2007),</w:t>
      </w:r>
      <w:r>
        <w:rPr>
          <w:rFonts w:ascii="Times New Roman" w:hAnsi="Times New Roman" w:cs="Times New Roman"/>
        </w:rPr>
        <w:t xml:space="preserve"> </w:t>
      </w:r>
      <w:r w:rsidRPr="00441D55">
        <w:rPr>
          <w:rFonts w:ascii="Times New Roman" w:hAnsi="Times New Roman" w:cs="Times New Roman"/>
        </w:rPr>
        <w:t>https://www.ftc.gov/sites/default/files/documents/reports/consumer-fraud-united-states-secondfederal-trade-commission-survey-staff-report-federal-trade/fraud.pdf</w:t>
      </w:r>
      <w:r w:rsidRPr="007F2674">
        <w:rPr>
          <w:rFonts w:ascii="Times New Roman" w:hAnsi="Times New Roman" w:cs="Times New Roman"/>
        </w:rPr>
        <w:t>.</w:t>
      </w:r>
    </w:p>
  </w:footnote>
  <w:footnote w:id="36">
    <w:p w14:paraId="1159F911" w14:textId="0FE3F396" w:rsidR="00CD13FE" w:rsidRPr="007F2674" w:rsidRDefault="00CD13FE" w:rsidP="00C37889">
      <w:pPr>
        <w:pStyle w:val="FootnoteText"/>
        <w:rPr>
          <w:rFonts w:ascii="Times New Roman" w:hAnsi="Times New Roman" w:cs="Times New Roman"/>
          <w:i/>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7F2674">
        <w:rPr>
          <w:rFonts w:ascii="Times New Roman" w:hAnsi="Times New Roman" w:cs="Times New Roman"/>
          <w:i/>
        </w:rPr>
        <w:t>E.g.</w:t>
      </w:r>
      <w:r w:rsidRPr="00441D55">
        <w:rPr>
          <w:rFonts w:ascii="Times New Roman" w:hAnsi="Times New Roman" w:cs="Times New Roman"/>
        </w:rPr>
        <w:t>, Belleville Nat’l Bank v. Rose, 456 N.E. 2d 281 (Ill. App. Ct. 1983) (discussing a case in which</w:t>
      </w:r>
      <w:r>
        <w:rPr>
          <w:rFonts w:ascii="Times New Roman" w:hAnsi="Times New Roman" w:cs="Times New Roman"/>
        </w:rPr>
        <w:t xml:space="preserve"> mortgage fraud occurred via legal documentation reflecting different loan terms than promised, with a floating instead of a fixed interest rate</w:t>
      </w:r>
      <w:r w:rsidRPr="00441D55">
        <w:rPr>
          <w:rFonts w:ascii="Times New Roman" w:hAnsi="Times New Roman" w:cs="Times New Roman"/>
        </w:rPr>
        <w:t>)</w:t>
      </w:r>
      <w:r>
        <w:rPr>
          <w:rFonts w:ascii="Times New Roman" w:hAnsi="Times New Roman" w:cs="Times New Roman"/>
        </w:rPr>
        <w:t xml:space="preserve">; </w:t>
      </w:r>
      <w:r w:rsidRPr="00BB2F40">
        <w:rPr>
          <w:rFonts w:ascii="Times New Roman" w:hAnsi="Times New Roman" w:cs="Times New Roman"/>
        </w:rPr>
        <w:t xml:space="preserve">; </w:t>
      </w:r>
      <w:r>
        <w:rPr>
          <w:rFonts w:ascii="Times New Roman" w:hAnsi="Times New Roman" w:cs="Times New Roman"/>
          <w:i/>
        </w:rPr>
        <w:t xml:space="preserve">see also </w:t>
      </w:r>
      <w:r w:rsidR="0083176F">
        <w:rPr>
          <w:rFonts w:ascii="Times New Roman" w:hAnsi="Times New Roman" w:cs="Times New Roman"/>
        </w:rPr>
        <w:t xml:space="preserve">Stark &amp; Choplin, </w:t>
      </w:r>
      <w:r w:rsidR="0083176F">
        <w:rPr>
          <w:rFonts w:ascii="Times New Roman" w:hAnsi="Times New Roman" w:cs="Times New Roman"/>
          <w:i/>
        </w:rPr>
        <w:t xml:space="preserve">supra </w:t>
      </w:r>
      <w:r w:rsidR="0083176F">
        <w:rPr>
          <w:rFonts w:ascii="Times New Roman" w:hAnsi="Times New Roman" w:cs="Times New Roman"/>
        </w:rPr>
        <w:t>note 4</w:t>
      </w:r>
      <w:r w:rsidRPr="00BB2F40">
        <w:rPr>
          <w:rFonts w:ascii="Times New Roman" w:hAnsi="Times New Roman" w:cs="Times New Roman"/>
        </w:rPr>
        <w:t>.</w:t>
      </w:r>
    </w:p>
  </w:footnote>
  <w:footnote w:id="37">
    <w:p w14:paraId="43B4C7AF" w14:textId="37048AA0" w:rsidR="00CD13FE" w:rsidRPr="007F2674" w:rsidRDefault="00CD13FE" w:rsidP="00BB2F4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7F2674">
        <w:rPr>
          <w:rFonts w:ascii="Times New Roman" w:hAnsi="Times New Roman" w:cs="Times New Roman"/>
          <w:i/>
        </w:rPr>
        <w:t>See</w:t>
      </w:r>
      <w:r w:rsidRPr="00BB2F40">
        <w:rPr>
          <w:rFonts w:ascii="Times New Roman" w:hAnsi="Times New Roman" w:cs="Times New Roman"/>
        </w:rPr>
        <w:t xml:space="preserve"> </w:t>
      </w:r>
      <w:r w:rsidRPr="007F2674">
        <w:rPr>
          <w:rFonts w:ascii="Times New Roman" w:hAnsi="Times New Roman" w:cs="Times New Roman"/>
        </w:rPr>
        <w:t>Furth &amp; Sommers</w:t>
      </w:r>
      <w:r w:rsidRPr="00BB2F40">
        <w:rPr>
          <w:rFonts w:ascii="Times New Roman" w:hAnsi="Times New Roman" w:cs="Times New Roman"/>
        </w:rPr>
        <w:t xml:space="preserve">, </w:t>
      </w:r>
      <w:r w:rsidRPr="00BB2F40">
        <w:rPr>
          <w:rFonts w:ascii="Times New Roman" w:hAnsi="Times New Roman" w:cs="Times New Roman"/>
          <w:i/>
        </w:rPr>
        <w:t xml:space="preserve">supra </w:t>
      </w:r>
      <w:r w:rsidRPr="00BB2F40">
        <w:rPr>
          <w:rFonts w:ascii="Times New Roman" w:hAnsi="Times New Roman" w:cs="Times New Roman"/>
        </w:rPr>
        <w:t xml:space="preserve">note 19, at 8; </w:t>
      </w:r>
      <w:r w:rsidRPr="00BB2F40">
        <w:rPr>
          <w:rFonts w:ascii="Times New Roman" w:hAnsi="Times New Roman" w:cs="Times New Roman"/>
          <w:i/>
        </w:rPr>
        <w:t xml:space="preserve">see also </w:t>
      </w:r>
      <w:r w:rsidRPr="00BB2F40">
        <w:rPr>
          <w:rFonts w:ascii="Times New Roman" w:hAnsi="Times New Roman" w:cs="Times New Roman"/>
        </w:rPr>
        <w:t xml:space="preserve">Korobkin, </w:t>
      </w:r>
      <w:r w:rsidRPr="00BB2F40">
        <w:rPr>
          <w:rFonts w:ascii="Times New Roman" w:hAnsi="Times New Roman" w:cs="Times New Roman"/>
          <w:i/>
        </w:rPr>
        <w:t xml:space="preserve">supra </w:t>
      </w:r>
      <w:r w:rsidRPr="00BB2F40">
        <w:rPr>
          <w:rFonts w:ascii="Times New Roman" w:hAnsi="Times New Roman" w:cs="Times New Roman"/>
        </w:rPr>
        <w:t xml:space="preserve">note </w:t>
      </w:r>
      <w:r w:rsidR="0083176F">
        <w:rPr>
          <w:rFonts w:ascii="Times New Roman" w:hAnsi="Times New Roman" w:cs="Times New Roman"/>
        </w:rPr>
        <w:t>6</w:t>
      </w:r>
      <w:r w:rsidRPr="00BB2F40">
        <w:rPr>
          <w:rFonts w:ascii="Times New Roman" w:hAnsi="Times New Roman" w:cs="Times New Roman"/>
        </w:rPr>
        <w:t xml:space="preserve">, at 60; </w:t>
      </w:r>
      <w:r w:rsidRPr="007F2674">
        <w:rPr>
          <w:rFonts w:ascii="Times New Roman" w:hAnsi="Times New Roman" w:cs="Times New Roman"/>
          <w:smallCaps/>
        </w:rPr>
        <w:t xml:space="preserve">Richard A. Posner, Economic Analysis </w:t>
      </w:r>
      <w:r w:rsidRPr="00BB2F40">
        <w:rPr>
          <w:rFonts w:ascii="Times New Roman" w:hAnsi="Times New Roman" w:cs="Times New Roman"/>
          <w:smallCaps/>
        </w:rPr>
        <w:t>o</w:t>
      </w:r>
      <w:r w:rsidRPr="007F2674">
        <w:rPr>
          <w:rFonts w:ascii="Times New Roman" w:hAnsi="Times New Roman" w:cs="Times New Roman"/>
          <w:smallCaps/>
        </w:rPr>
        <w:t xml:space="preserve">f Law </w:t>
      </w:r>
      <w:r w:rsidRPr="00BB2F40">
        <w:rPr>
          <w:rFonts w:ascii="Times New Roman" w:hAnsi="Times New Roman" w:cs="Times New Roman"/>
        </w:rPr>
        <w:t>14–15 (5th ed. 1998)</w:t>
      </w:r>
      <w:r w:rsidRPr="007F2674">
        <w:rPr>
          <w:rFonts w:ascii="Times New Roman" w:hAnsi="Times New Roman" w:cs="Times New Roman"/>
        </w:rPr>
        <w:t>.</w:t>
      </w:r>
    </w:p>
  </w:footnote>
  <w:footnote w:id="38">
    <w:p w14:paraId="6A6C841C" w14:textId="0275C0F3" w:rsidR="00CD13FE" w:rsidRPr="007F2674" w:rsidRDefault="00CD13FE" w:rsidP="00BB2F40">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See </w:t>
      </w:r>
      <w:r w:rsidRPr="007F2674">
        <w:rPr>
          <w:rFonts w:ascii="Times New Roman" w:hAnsi="Times New Roman" w:cs="Times New Roman"/>
          <w:smallCaps/>
        </w:rPr>
        <w:t>Restatement (Second) of Contracts</w:t>
      </w:r>
      <w:r w:rsidRPr="007F2674">
        <w:rPr>
          <w:rFonts w:ascii="Times New Roman" w:hAnsi="Times New Roman" w:cs="Times New Roman"/>
        </w:rPr>
        <w:t xml:space="preserve"> §§ 164, 1.04 (Am. Law Inst. 1981) (rendering voidable </w:t>
      </w:r>
      <w:r>
        <w:rPr>
          <w:rFonts w:ascii="Times New Roman" w:hAnsi="Times New Roman" w:cs="Times New Roman"/>
        </w:rPr>
        <w:t>contracts involving justifiable reliance by</w:t>
      </w:r>
      <w:r w:rsidRPr="007F2674">
        <w:rPr>
          <w:rFonts w:ascii="Times New Roman" w:hAnsi="Times New Roman" w:cs="Times New Roman"/>
        </w:rPr>
        <w:t xml:space="preserve"> </w:t>
      </w:r>
      <w:r>
        <w:rPr>
          <w:rFonts w:ascii="Times New Roman" w:hAnsi="Times New Roman" w:cs="Times New Roman"/>
        </w:rPr>
        <w:t>one</w:t>
      </w:r>
      <w:r w:rsidRPr="007F2674">
        <w:rPr>
          <w:rFonts w:ascii="Times New Roman" w:hAnsi="Times New Roman" w:cs="Times New Roman"/>
        </w:rPr>
        <w:t xml:space="preserve"> contracting party on a fraudulent or material representation by the other party); </w:t>
      </w:r>
      <w:r w:rsidRPr="007F2674">
        <w:rPr>
          <w:rFonts w:ascii="Times New Roman" w:hAnsi="Times New Roman" w:cs="Times New Roman"/>
          <w:smallCaps/>
        </w:rPr>
        <w:t>Restatement of Consumer Contracts</w:t>
      </w:r>
      <w:r w:rsidRPr="007F2674">
        <w:rPr>
          <w:rFonts w:ascii="Times New Roman" w:hAnsi="Times New Roman" w:cs="Times New Roman"/>
        </w:rPr>
        <w:t xml:space="preserve"> (Preliminary Draft No. 3, October 26, 2017), at § 6.</w:t>
      </w:r>
    </w:p>
  </w:footnote>
  <w:footnote w:id="39">
    <w:p w14:paraId="095D5B7F" w14:textId="6D3505FE" w:rsidR="00CD13FE" w:rsidRPr="007F2674" w:rsidRDefault="00CD13FE" w:rsidP="00BB2F40">
      <w:pPr>
        <w:pStyle w:val="FootnoteText"/>
        <w:rPr>
          <w:rFonts w:ascii="Times New Roman" w:hAnsi="Times New Roman" w:cs="Times New Roman"/>
          <w:i/>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Carolyn Carter, </w:t>
      </w:r>
      <w:r w:rsidRPr="007F2674">
        <w:rPr>
          <w:rFonts w:ascii="Times New Roman" w:hAnsi="Times New Roman" w:cs="Times New Roman"/>
          <w:i/>
        </w:rPr>
        <w:t>Consumer Protection in the States: A 50-State Report on Unfair and</w:t>
      </w:r>
      <w:r>
        <w:rPr>
          <w:rFonts w:ascii="Times New Roman" w:hAnsi="Times New Roman" w:cs="Times New Roman"/>
          <w:i/>
        </w:rPr>
        <w:t xml:space="preserve"> </w:t>
      </w:r>
      <w:r w:rsidRPr="007F2674">
        <w:rPr>
          <w:rFonts w:ascii="Times New Roman" w:hAnsi="Times New Roman" w:cs="Times New Roman"/>
          <w:i/>
        </w:rPr>
        <w:t>Deceptive Acts and Practices Statutes</w:t>
      </w:r>
      <w:r w:rsidRPr="00BB2F40">
        <w:rPr>
          <w:rFonts w:ascii="Times New Roman" w:hAnsi="Times New Roman" w:cs="Times New Roman"/>
        </w:rPr>
        <w:t xml:space="preserve">, </w:t>
      </w:r>
      <w:r w:rsidRPr="00BB2F40">
        <w:rPr>
          <w:rFonts w:ascii="Times New Roman" w:hAnsi="Times New Roman" w:cs="Times New Roman"/>
          <w:smallCaps/>
        </w:rPr>
        <w:t>Nat’l Consumer L. Ctr</w:t>
      </w:r>
      <w:r w:rsidRPr="00BB2F40">
        <w:rPr>
          <w:rFonts w:ascii="Times New Roman" w:hAnsi="Times New Roman" w:cs="Times New Roman"/>
        </w:rPr>
        <w:t>.</w:t>
      </w:r>
      <w:r>
        <w:rPr>
          <w:rFonts w:ascii="Times New Roman" w:hAnsi="Times New Roman" w:cs="Times New Roman"/>
        </w:rPr>
        <w:t xml:space="preserve"> (2018)</w:t>
      </w:r>
      <w:r w:rsidRPr="00BB2F40">
        <w:rPr>
          <w:rFonts w:ascii="Times New Roman" w:hAnsi="Times New Roman" w:cs="Times New Roman"/>
        </w:rPr>
        <w:t>,</w:t>
      </w:r>
      <w:r>
        <w:rPr>
          <w:rFonts w:ascii="Times New Roman" w:hAnsi="Times New Roman" w:cs="Times New Roman"/>
          <w:i/>
        </w:rPr>
        <w:t xml:space="preserve"> </w:t>
      </w:r>
      <w:r w:rsidRPr="00BB2F40">
        <w:rPr>
          <w:rFonts w:ascii="Times New Roman" w:hAnsi="Times New Roman" w:cs="Times New Roman"/>
        </w:rPr>
        <w:t>http://www.nclc.org/images/pdf/udap/report_50_states.pdf</w:t>
      </w:r>
      <w:r w:rsidRPr="007F2674">
        <w:rPr>
          <w:rFonts w:ascii="Times New Roman" w:hAnsi="Times New Roman" w:cs="Times New Roman"/>
        </w:rPr>
        <w:t>.</w:t>
      </w:r>
    </w:p>
  </w:footnote>
  <w:footnote w:id="40">
    <w:p w14:paraId="5D8BBF39" w14:textId="2633CF0C"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7F2674">
        <w:rPr>
          <w:rFonts w:ascii="Times New Roman" w:hAnsi="Times New Roman" w:cs="Times New Roman"/>
          <w:smallCaps/>
        </w:rPr>
        <w:t>Restatement of Consumer Contracts</w:t>
      </w:r>
      <w:r w:rsidRPr="00BB2F40">
        <w:rPr>
          <w:rFonts w:ascii="Times New Roman" w:hAnsi="Times New Roman" w:cs="Times New Roman"/>
        </w:rPr>
        <w:t xml:space="preserve"> (Preliminary Draft No. 3, October 26, 2017)</w:t>
      </w:r>
      <w:r w:rsidRPr="007F2674">
        <w:rPr>
          <w:rFonts w:ascii="Times New Roman" w:hAnsi="Times New Roman" w:cs="Times New Roman"/>
        </w:rPr>
        <w:t>.</w:t>
      </w:r>
    </w:p>
  </w:footnote>
  <w:footnote w:id="41">
    <w:p w14:paraId="5533CE5D" w14:textId="2C9AB6E2" w:rsidR="00CD13FE" w:rsidRPr="007F2674" w:rsidRDefault="00CD13FE" w:rsidP="00C37889">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Stark &amp; Choplin, </w:t>
      </w:r>
      <w:r w:rsidRPr="00BB2F40">
        <w:rPr>
          <w:rFonts w:ascii="Times New Roman" w:hAnsi="Times New Roman" w:cs="Times New Roman"/>
          <w:i/>
        </w:rPr>
        <w:t xml:space="preserve">supra </w:t>
      </w:r>
      <w:r w:rsidRPr="00BB2F40">
        <w:rPr>
          <w:rFonts w:ascii="Times New Roman" w:hAnsi="Times New Roman" w:cs="Times New Roman"/>
        </w:rPr>
        <w:t xml:space="preserve">note </w:t>
      </w:r>
      <w:r w:rsidR="0083176F">
        <w:rPr>
          <w:rFonts w:ascii="Times New Roman" w:hAnsi="Times New Roman" w:cs="Times New Roman"/>
        </w:rPr>
        <w:t>4</w:t>
      </w:r>
      <w:r w:rsidRPr="00BB2F40">
        <w:rPr>
          <w:rFonts w:ascii="Times New Roman" w:hAnsi="Times New Roman" w:cs="Times New Roman"/>
        </w:rPr>
        <w:t>.</w:t>
      </w:r>
      <w:r w:rsidRPr="007F2674">
        <w:rPr>
          <w:rFonts w:ascii="Times New Roman" w:hAnsi="Times New Roman" w:cs="Times New Roman"/>
        </w:rPr>
        <w:t>.</w:t>
      </w:r>
    </w:p>
  </w:footnote>
  <w:footnote w:id="42">
    <w:p w14:paraId="3F80ABC3" w14:textId="4666C66E"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Snyder v. Lovercheck, 992 P.2d 1079, 1086 (Wyo. 1999).</w:t>
      </w:r>
    </w:p>
  </w:footnote>
  <w:footnote w:id="43">
    <w:p w14:paraId="464A39D9" w14:textId="6FD74AFE"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rPr>
        <w:t xml:space="preserve">Furth-Matzkin &amp; Sommers, </w:t>
      </w:r>
      <w:r w:rsidRPr="00BB2F40">
        <w:rPr>
          <w:rFonts w:ascii="Times New Roman" w:hAnsi="Times New Roman" w:cs="Times New Roman"/>
          <w:i/>
        </w:rPr>
        <w:t xml:space="preserve">supra </w:t>
      </w:r>
      <w:r w:rsidRPr="00BB2F40">
        <w:rPr>
          <w:rFonts w:ascii="Times New Roman" w:hAnsi="Times New Roman" w:cs="Times New Roman"/>
        </w:rPr>
        <w:t>note 19, at 19</w:t>
      </w:r>
      <w:r w:rsidRPr="00441D55">
        <w:rPr>
          <w:rFonts w:ascii="Times New Roman" w:hAnsi="Times New Roman" w:cs="Times New Roman"/>
        </w:rPr>
        <w:t>–21.</w:t>
      </w:r>
    </w:p>
  </w:footnote>
  <w:footnote w:id="44">
    <w:p w14:paraId="289A03CA" w14:textId="2DDCFF32"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i/>
        </w:rPr>
        <w:t xml:space="preserve">Id. </w:t>
      </w:r>
      <w:r w:rsidRPr="00BB2F40">
        <w:rPr>
          <w:rFonts w:ascii="Times New Roman" w:hAnsi="Times New Roman" w:cs="Times New Roman"/>
        </w:rPr>
        <w:t>at 16.</w:t>
      </w:r>
    </w:p>
  </w:footnote>
  <w:footnote w:id="45">
    <w:p w14:paraId="553D8D53" w14:textId="0D617D56"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7F2674">
        <w:rPr>
          <w:rFonts w:ascii="Times New Roman" w:hAnsi="Times New Roman" w:cs="Times New Roman"/>
          <w:i/>
        </w:rPr>
        <w:t xml:space="preserve">Id. </w:t>
      </w:r>
      <w:r w:rsidRPr="007F2674">
        <w:rPr>
          <w:rFonts w:ascii="Times New Roman" w:hAnsi="Times New Roman" w:cs="Times New Roman"/>
        </w:rPr>
        <w:t xml:space="preserve">at </w:t>
      </w:r>
      <w:r w:rsidRPr="00BB2F40">
        <w:rPr>
          <w:rFonts w:ascii="Times New Roman" w:hAnsi="Times New Roman" w:cs="Times New Roman"/>
        </w:rPr>
        <w:t>21</w:t>
      </w:r>
      <w:r w:rsidRPr="007F2674">
        <w:rPr>
          <w:rFonts w:ascii="Times New Roman" w:hAnsi="Times New Roman" w:cs="Times New Roman"/>
        </w:rPr>
        <w:t>.</w:t>
      </w:r>
    </w:p>
  </w:footnote>
  <w:footnote w:id="46">
    <w:p w14:paraId="37901A93" w14:textId="5A7E04D7" w:rsidR="00CD13FE" w:rsidRPr="007F2674" w:rsidRDefault="00CD13FE">
      <w:pPr>
        <w:pStyle w:val="FootnoteText"/>
        <w:rPr>
          <w:rFonts w:ascii="Times New Roman" w:hAnsi="Times New Roman" w:cs="Times New Roman"/>
        </w:rPr>
      </w:pPr>
      <w:r w:rsidRPr="007F2674">
        <w:rPr>
          <w:rStyle w:val="FootnoteReference"/>
          <w:rFonts w:ascii="Times New Roman" w:hAnsi="Times New Roman" w:cs="Times New Roman"/>
        </w:rPr>
        <w:footnoteRef/>
      </w:r>
      <w:r w:rsidRPr="007F2674">
        <w:rPr>
          <w:rFonts w:ascii="Times New Roman" w:hAnsi="Times New Roman" w:cs="Times New Roman"/>
        </w:rPr>
        <w:t xml:space="preserve"> </w:t>
      </w:r>
      <w:r w:rsidRPr="00BB2F40">
        <w:rPr>
          <w:rFonts w:ascii="Times New Roman" w:hAnsi="Times New Roman" w:cs="Times New Roman"/>
          <w:i/>
        </w:rPr>
        <w:t>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5501"/>
    <w:multiLevelType w:val="hybridMultilevel"/>
    <w:tmpl w:val="4B8837AA"/>
    <w:lvl w:ilvl="0" w:tplc="7C7E91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560"/>
    <w:multiLevelType w:val="hybridMultilevel"/>
    <w:tmpl w:val="8744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71F17"/>
    <w:multiLevelType w:val="hybridMultilevel"/>
    <w:tmpl w:val="F4DAEAA0"/>
    <w:lvl w:ilvl="0" w:tplc="4308FF7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Ash Smith">
    <w15:presenceInfo w15:providerId="AD" w15:userId="S-1-5-21-822731015-983850740-2675882270-4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EE"/>
    <w:rsid w:val="00003452"/>
    <w:rsid w:val="000139D8"/>
    <w:rsid w:val="000205EC"/>
    <w:rsid w:val="00020BE2"/>
    <w:rsid w:val="00091A24"/>
    <w:rsid w:val="000B2B89"/>
    <w:rsid w:val="000E62F9"/>
    <w:rsid w:val="001171CB"/>
    <w:rsid w:val="00124014"/>
    <w:rsid w:val="001328EF"/>
    <w:rsid w:val="001757DB"/>
    <w:rsid w:val="001C12C5"/>
    <w:rsid w:val="001C22CF"/>
    <w:rsid w:val="001F5535"/>
    <w:rsid w:val="00206034"/>
    <w:rsid w:val="00210B64"/>
    <w:rsid w:val="002329E7"/>
    <w:rsid w:val="0029291B"/>
    <w:rsid w:val="00292FAB"/>
    <w:rsid w:val="002C01D8"/>
    <w:rsid w:val="002F2D13"/>
    <w:rsid w:val="00301075"/>
    <w:rsid w:val="00333383"/>
    <w:rsid w:val="00366471"/>
    <w:rsid w:val="0037488F"/>
    <w:rsid w:val="0039204C"/>
    <w:rsid w:val="003B4F07"/>
    <w:rsid w:val="00400174"/>
    <w:rsid w:val="00412525"/>
    <w:rsid w:val="00441D55"/>
    <w:rsid w:val="004510B7"/>
    <w:rsid w:val="00475C1E"/>
    <w:rsid w:val="004877A1"/>
    <w:rsid w:val="00490B32"/>
    <w:rsid w:val="004C7B93"/>
    <w:rsid w:val="004D1F8A"/>
    <w:rsid w:val="004D4BA4"/>
    <w:rsid w:val="00541C7B"/>
    <w:rsid w:val="00617CEC"/>
    <w:rsid w:val="00651CA3"/>
    <w:rsid w:val="0067515F"/>
    <w:rsid w:val="0067754B"/>
    <w:rsid w:val="00694B12"/>
    <w:rsid w:val="006A00F6"/>
    <w:rsid w:val="006B60C3"/>
    <w:rsid w:val="00702D51"/>
    <w:rsid w:val="0071397D"/>
    <w:rsid w:val="007416D7"/>
    <w:rsid w:val="0074718B"/>
    <w:rsid w:val="0076400C"/>
    <w:rsid w:val="0076445F"/>
    <w:rsid w:val="00774ECF"/>
    <w:rsid w:val="00775FEE"/>
    <w:rsid w:val="007F2674"/>
    <w:rsid w:val="008248B3"/>
    <w:rsid w:val="0083176F"/>
    <w:rsid w:val="008454A0"/>
    <w:rsid w:val="0087051F"/>
    <w:rsid w:val="0088614D"/>
    <w:rsid w:val="008B32D0"/>
    <w:rsid w:val="008C55A5"/>
    <w:rsid w:val="008E595D"/>
    <w:rsid w:val="008F51EA"/>
    <w:rsid w:val="009404D1"/>
    <w:rsid w:val="00955EB8"/>
    <w:rsid w:val="00966908"/>
    <w:rsid w:val="009738BE"/>
    <w:rsid w:val="00981130"/>
    <w:rsid w:val="00984322"/>
    <w:rsid w:val="00986E40"/>
    <w:rsid w:val="009A6D1F"/>
    <w:rsid w:val="009C5B1A"/>
    <w:rsid w:val="009E5E52"/>
    <w:rsid w:val="00A10F85"/>
    <w:rsid w:val="00A2330D"/>
    <w:rsid w:val="00A36714"/>
    <w:rsid w:val="00A7515A"/>
    <w:rsid w:val="00A86C01"/>
    <w:rsid w:val="00AD0291"/>
    <w:rsid w:val="00AE5C8F"/>
    <w:rsid w:val="00AF6FB3"/>
    <w:rsid w:val="00B8080E"/>
    <w:rsid w:val="00B9517D"/>
    <w:rsid w:val="00BB08F1"/>
    <w:rsid w:val="00BB2F40"/>
    <w:rsid w:val="00C37889"/>
    <w:rsid w:val="00C46CAC"/>
    <w:rsid w:val="00CB045E"/>
    <w:rsid w:val="00CC789B"/>
    <w:rsid w:val="00CD13FE"/>
    <w:rsid w:val="00CE3D8F"/>
    <w:rsid w:val="00D511DE"/>
    <w:rsid w:val="00D7383A"/>
    <w:rsid w:val="00D834AF"/>
    <w:rsid w:val="00DB7456"/>
    <w:rsid w:val="00DD183C"/>
    <w:rsid w:val="00DE027A"/>
    <w:rsid w:val="00E1261A"/>
    <w:rsid w:val="00E37CD6"/>
    <w:rsid w:val="00E46190"/>
    <w:rsid w:val="00E90B0A"/>
    <w:rsid w:val="00ED460C"/>
    <w:rsid w:val="00ED7D0C"/>
    <w:rsid w:val="00EE095A"/>
    <w:rsid w:val="00EE6EE4"/>
    <w:rsid w:val="00F81BCC"/>
    <w:rsid w:val="00FA3270"/>
    <w:rsid w:val="00FB2ECE"/>
    <w:rsid w:val="00FB7B33"/>
    <w:rsid w:val="00FD7628"/>
    <w:rsid w:val="00FE12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0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85"/>
    <w:pPr>
      <w:ind w:left="720"/>
      <w:contextualSpacing/>
    </w:pPr>
  </w:style>
  <w:style w:type="paragraph" w:styleId="Header">
    <w:name w:val="header"/>
    <w:basedOn w:val="Normal"/>
    <w:link w:val="HeaderChar"/>
    <w:uiPriority w:val="99"/>
    <w:unhideWhenUsed/>
    <w:rsid w:val="0036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71"/>
  </w:style>
  <w:style w:type="paragraph" w:styleId="Footer">
    <w:name w:val="footer"/>
    <w:basedOn w:val="Normal"/>
    <w:link w:val="FooterChar"/>
    <w:uiPriority w:val="99"/>
    <w:unhideWhenUsed/>
    <w:rsid w:val="0036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71"/>
  </w:style>
  <w:style w:type="character" w:customStyle="1" w:styleId="Heading1Char">
    <w:name w:val="Heading 1 Char"/>
    <w:basedOn w:val="DefaultParagraphFont"/>
    <w:link w:val="Heading1"/>
    <w:uiPriority w:val="9"/>
    <w:rsid w:val="002C01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2C01D8"/>
    <w:pPr>
      <w:spacing w:after="0" w:line="240" w:lineRule="auto"/>
    </w:pPr>
    <w:rPr>
      <w:sz w:val="20"/>
      <w:szCs w:val="20"/>
    </w:rPr>
  </w:style>
  <w:style w:type="character" w:customStyle="1" w:styleId="FootnoteTextChar">
    <w:name w:val="Footnote Text Char"/>
    <w:basedOn w:val="DefaultParagraphFont"/>
    <w:link w:val="FootnoteText"/>
    <w:uiPriority w:val="99"/>
    <w:rsid w:val="002C01D8"/>
    <w:rPr>
      <w:sz w:val="20"/>
      <w:szCs w:val="20"/>
    </w:rPr>
  </w:style>
  <w:style w:type="character" w:styleId="FootnoteReference">
    <w:name w:val="footnote reference"/>
    <w:basedOn w:val="DefaultParagraphFont"/>
    <w:uiPriority w:val="99"/>
    <w:unhideWhenUsed/>
    <w:rsid w:val="002C01D8"/>
    <w:rPr>
      <w:vertAlign w:val="superscript"/>
    </w:rPr>
  </w:style>
  <w:style w:type="paragraph" w:styleId="BalloonText">
    <w:name w:val="Balloon Text"/>
    <w:basedOn w:val="Normal"/>
    <w:link w:val="BalloonTextChar"/>
    <w:uiPriority w:val="99"/>
    <w:semiHidden/>
    <w:unhideWhenUsed/>
    <w:rsid w:val="0067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5F"/>
    <w:rPr>
      <w:rFonts w:ascii="Tahoma" w:hAnsi="Tahoma" w:cs="Tahoma"/>
      <w:sz w:val="16"/>
      <w:szCs w:val="16"/>
    </w:rPr>
  </w:style>
  <w:style w:type="paragraph" w:styleId="Title">
    <w:name w:val="Title"/>
    <w:basedOn w:val="Normal"/>
    <w:next w:val="Normal"/>
    <w:link w:val="TitleChar"/>
    <w:uiPriority w:val="10"/>
    <w:qFormat/>
    <w:rsid w:val="001240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01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20BE2"/>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416D7"/>
    <w:rPr>
      <w:sz w:val="18"/>
      <w:szCs w:val="18"/>
    </w:rPr>
  </w:style>
  <w:style w:type="paragraph" w:styleId="CommentText">
    <w:name w:val="annotation text"/>
    <w:basedOn w:val="Normal"/>
    <w:link w:val="CommentTextChar"/>
    <w:uiPriority w:val="99"/>
    <w:semiHidden/>
    <w:unhideWhenUsed/>
    <w:rsid w:val="007416D7"/>
    <w:pPr>
      <w:spacing w:line="240" w:lineRule="auto"/>
    </w:pPr>
    <w:rPr>
      <w:sz w:val="24"/>
      <w:szCs w:val="24"/>
    </w:rPr>
  </w:style>
  <w:style w:type="character" w:customStyle="1" w:styleId="CommentTextChar">
    <w:name w:val="Comment Text Char"/>
    <w:basedOn w:val="DefaultParagraphFont"/>
    <w:link w:val="CommentText"/>
    <w:uiPriority w:val="99"/>
    <w:semiHidden/>
    <w:rsid w:val="007416D7"/>
    <w:rPr>
      <w:sz w:val="24"/>
      <w:szCs w:val="24"/>
    </w:rPr>
  </w:style>
  <w:style w:type="paragraph" w:styleId="CommentSubject">
    <w:name w:val="annotation subject"/>
    <w:basedOn w:val="CommentText"/>
    <w:next w:val="CommentText"/>
    <w:link w:val="CommentSubjectChar"/>
    <w:uiPriority w:val="99"/>
    <w:semiHidden/>
    <w:unhideWhenUsed/>
    <w:rsid w:val="007416D7"/>
    <w:rPr>
      <w:b/>
      <w:bCs/>
      <w:sz w:val="20"/>
      <w:szCs w:val="20"/>
    </w:rPr>
  </w:style>
  <w:style w:type="character" w:customStyle="1" w:styleId="CommentSubjectChar">
    <w:name w:val="Comment Subject Char"/>
    <w:basedOn w:val="CommentTextChar"/>
    <w:link w:val="CommentSubject"/>
    <w:uiPriority w:val="99"/>
    <w:semiHidden/>
    <w:rsid w:val="007416D7"/>
    <w:rPr>
      <w:b/>
      <w:bCs/>
      <w:sz w:val="20"/>
      <w:szCs w:val="20"/>
    </w:rPr>
  </w:style>
  <w:style w:type="character" w:styleId="Hyperlink">
    <w:name w:val="Hyperlink"/>
    <w:basedOn w:val="DefaultParagraphFont"/>
    <w:uiPriority w:val="99"/>
    <w:unhideWhenUsed/>
    <w:rsid w:val="00441D55"/>
    <w:rPr>
      <w:color w:val="0000FF" w:themeColor="hyperlink"/>
      <w:u w:val="single"/>
    </w:rPr>
  </w:style>
  <w:style w:type="character" w:customStyle="1" w:styleId="UnresolvedMention">
    <w:name w:val="Unresolved Mention"/>
    <w:basedOn w:val="DefaultParagraphFont"/>
    <w:uiPriority w:val="99"/>
    <w:semiHidden/>
    <w:unhideWhenUsed/>
    <w:rsid w:val="00441D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85"/>
    <w:pPr>
      <w:ind w:left="720"/>
      <w:contextualSpacing/>
    </w:pPr>
  </w:style>
  <w:style w:type="paragraph" w:styleId="Header">
    <w:name w:val="header"/>
    <w:basedOn w:val="Normal"/>
    <w:link w:val="HeaderChar"/>
    <w:uiPriority w:val="99"/>
    <w:unhideWhenUsed/>
    <w:rsid w:val="0036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71"/>
  </w:style>
  <w:style w:type="paragraph" w:styleId="Footer">
    <w:name w:val="footer"/>
    <w:basedOn w:val="Normal"/>
    <w:link w:val="FooterChar"/>
    <w:uiPriority w:val="99"/>
    <w:unhideWhenUsed/>
    <w:rsid w:val="0036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71"/>
  </w:style>
  <w:style w:type="character" w:customStyle="1" w:styleId="Heading1Char">
    <w:name w:val="Heading 1 Char"/>
    <w:basedOn w:val="DefaultParagraphFont"/>
    <w:link w:val="Heading1"/>
    <w:uiPriority w:val="9"/>
    <w:rsid w:val="002C01D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2C01D8"/>
    <w:pPr>
      <w:spacing w:after="0" w:line="240" w:lineRule="auto"/>
    </w:pPr>
    <w:rPr>
      <w:sz w:val="20"/>
      <w:szCs w:val="20"/>
    </w:rPr>
  </w:style>
  <w:style w:type="character" w:customStyle="1" w:styleId="FootnoteTextChar">
    <w:name w:val="Footnote Text Char"/>
    <w:basedOn w:val="DefaultParagraphFont"/>
    <w:link w:val="FootnoteText"/>
    <w:uiPriority w:val="99"/>
    <w:rsid w:val="002C01D8"/>
    <w:rPr>
      <w:sz w:val="20"/>
      <w:szCs w:val="20"/>
    </w:rPr>
  </w:style>
  <w:style w:type="character" w:styleId="FootnoteReference">
    <w:name w:val="footnote reference"/>
    <w:basedOn w:val="DefaultParagraphFont"/>
    <w:uiPriority w:val="99"/>
    <w:unhideWhenUsed/>
    <w:rsid w:val="002C01D8"/>
    <w:rPr>
      <w:vertAlign w:val="superscript"/>
    </w:rPr>
  </w:style>
  <w:style w:type="paragraph" w:styleId="BalloonText">
    <w:name w:val="Balloon Text"/>
    <w:basedOn w:val="Normal"/>
    <w:link w:val="BalloonTextChar"/>
    <w:uiPriority w:val="99"/>
    <w:semiHidden/>
    <w:unhideWhenUsed/>
    <w:rsid w:val="0067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15F"/>
    <w:rPr>
      <w:rFonts w:ascii="Tahoma" w:hAnsi="Tahoma" w:cs="Tahoma"/>
      <w:sz w:val="16"/>
      <w:szCs w:val="16"/>
    </w:rPr>
  </w:style>
  <w:style w:type="paragraph" w:styleId="Title">
    <w:name w:val="Title"/>
    <w:basedOn w:val="Normal"/>
    <w:next w:val="Normal"/>
    <w:link w:val="TitleChar"/>
    <w:uiPriority w:val="10"/>
    <w:qFormat/>
    <w:rsid w:val="001240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01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20BE2"/>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7416D7"/>
    <w:rPr>
      <w:sz w:val="18"/>
      <w:szCs w:val="18"/>
    </w:rPr>
  </w:style>
  <w:style w:type="paragraph" w:styleId="CommentText">
    <w:name w:val="annotation text"/>
    <w:basedOn w:val="Normal"/>
    <w:link w:val="CommentTextChar"/>
    <w:uiPriority w:val="99"/>
    <w:semiHidden/>
    <w:unhideWhenUsed/>
    <w:rsid w:val="007416D7"/>
    <w:pPr>
      <w:spacing w:line="240" w:lineRule="auto"/>
    </w:pPr>
    <w:rPr>
      <w:sz w:val="24"/>
      <w:szCs w:val="24"/>
    </w:rPr>
  </w:style>
  <w:style w:type="character" w:customStyle="1" w:styleId="CommentTextChar">
    <w:name w:val="Comment Text Char"/>
    <w:basedOn w:val="DefaultParagraphFont"/>
    <w:link w:val="CommentText"/>
    <w:uiPriority w:val="99"/>
    <w:semiHidden/>
    <w:rsid w:val="007416D7"/>
    <w:rPr>
      <w:sz w:val="24"/>
      <w:szCs w:val="24"/>
    </w:rPr>
  </w:style>
  <w:style w:type="paragraph" w:styleId="CommentSubject">
    <w:name w:val="annotation subject"/>
    <w:basedOn w:val="CommentText"/>
    <w:next w:val="CommentText"/>
    <w:link w:val="CommentSubjectChar"/>
    <w:uiPriority w:val="99"/>
    <w:semiHidden/>
    <w:unhideWhenUsed/>
    <w:rsid w:val="007416D7"/>
    <w:rPr>
      <w:b/>
      <w:bCs/>
      <w:sz w:val="20"/>
      <w:szCs w:val="20"/>
    </w:rPr>
  </w:style>
  <w:style w:type="character" w:customStyle="1" w:styleId="CommentSubjectChar">
    <w:name w:val="Comment Subject Char"/>
    <w:basedOn w:val="CommentTextChar"/>
    <w:link w:val="CommentSubject"/>
    <w:uiPriority w:val="99"/>
    <w:semiHidden/>
    <w:rsid w:val="007416D7"/>
    <w:rPr>
      <w:b/>
      <w:bCs/>
      <w:sz w:val="20"/>
      <w:szCs w:val="20"/>
    </w:rPr>
  </w:style>
  <w:style w:type="character" w:styleId="Hyperlink">
    <w:name w:val="Hyperlink"/>
    <w:basedOn w:val="DefaultParagraphFont"/>
    <w:uiPriority w:val="99"/>
    <w:unhideWhenUsed/>
    <w:rsid w:val="00441D55"/>
    <w:rPr>
      <w:color w:val="0000FF" w:themeColor="hyperlink"/>
      <w:u w:val="single"/>
    </w:rPr>
  </w:style>
  <w:style w:type="character" w:customStyle="1" w:styleId="UnresolvedMention">
    <w:name w:val="Unresolved Mention"/>
    <w:basedOn w:val="DefaultParagraphFont"/>
    <w:uiPriority w:val="99"/>
    <w:semiHidden/>
    <w:unhideWhenUsed/>
    <w:rsid w:val="0044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425">
      <w:bodyDiv w:val="1"/>
      <w:marLeft w:val="0"/>
      <w:marRight w:val="0"/>
      <w:marTop w:val="0"/>
      <w:marBottom w:val="0"/>
      <w:divBdr>
        <w:top w:val="none" w:sz="0" w:space="0" w:color="auto"/>
        <w:left w:val="none" w:sz="0" w:space="0" w:color="auto"/>
        <w:bottom w:val="none" w:sz="0" w:space="0" w:color="auto"/>
        <w:right w:val="none" w:sz="0" w:space="0" w:color="auto"/>
      </w:divBdr>
    </w:div>
    <w:div w:id="16278864">
      <w:bodyDiv w:val="1"/>
      <w:marLeft w:val="0"/>
      <w:marRight w:val="0"/>
      <w:marTop w:val="0"/>
      <w:marBottom w:val="0"/>
      <w:divBdr>
        <w:top w:val="none" w:sz="0" w:space="0" w:color="auto"/>
        <w:left w:val="none" w:sz="0" w:space="0" w:color="auto"/>
        <w:bottom w:val="none" w:sz="0" w:space="0" w:color="auto"/>
        <w:right w:val="none" w:sz="0" w:space="0" w:color="auto"/>
      </w:divBdr>
    </w:div>
    <w:div w:id="166336087">
      <w:bodyDiv w:val="1"/>
      <w:marLeft w:val="0"/>
      <w:marRight w:val="0"/>
      <w:marTop w:val="0"/>
      <w:marBottom w:val="0"/>
      <w:divBdr>
        <w:top w:val="none" w:sz="0" w:space="0" w:color="auto"/>
        <w:left w:val="none" w:sz="0" w:space="0" w:color="auto"/>
        <w:bottom w:val="none" w:sz="0" w:space="0" w:color="auto"/>
        <w:right w:val="none" w:sz="0" w:space="0" w:color="auto"/>
      </w:divBdr>
    </w:div>
    <w:div w:id="253633863">
      <w:bodyDiv w:val="1"/>
      <w:marLeft w:val="0"/>
      <w:marRight w:val="0"/>
      <w:marTop w:val="0"/>
      <w:marBottom w:val="0"/>
      <w:divBdr>
        <w:top w:val="none" w:sz="0" w:space="0" w:color="auto"/>
        <w:left w:val="none" w:sz="0" w:space="0" w:color="auto"/>
        <w:bottom w:val="none" w:sz="0" w:space="0" w:color="auto"/>
        <w:right w:val="none" w:sz="0" w:space="0" w:color="auto"/>
      </w:divBdr>
    </w:div>
    <w:div w:id="307436284">
      <w:bodyDiv w:val="1"/>
      <w:marLeft w:val="0"/>
      <w:marRight w:val="0"/>
      <w:marTop w:val="0"/>
      <w:marBottom w:val="0"/>
      <w:divBdr>
        <w:top w:val="none" w:sz="0" w:space="0" w:color="auto"/>
        <w:left w:val="none" w:sz="0" w:space="0" w:color="auto"/>
        <w:bottom w:val="none" w:sz="0" w:space="0" w:color="auto"/>
        <w:right w:val="none" w:sz="0" w:space="0" w:color="auto"/>
      </w:divBdr>
    </w:div>
    <w:div w:id="391583010">
      <w:bodyDiv w:val="1"/>
      <w:marLeft w:val="0"/>
      <w:marRight w:val="0"/>
      <w:marTop w:val="0"/>
      <w:marBottom w:val="0"/>
      <w:divBdr>
        <w:top w:val="none" w:sz="0" w:space="0" w:color="auto"/>
        <w:left w:val="none" w:sz="0" w:space="0" w:color="auto"/>
        <w:bottom w:val="none" w:sz="0" w:space="0" w:color="auto"/>
        <w:right w:val="none" w:sz="0" w:space="0" w:color="auto"/>
      </w:divBdr>
    </w:div>
    <w:div w:id="396975983">
      <w:bodyDiv w:val="1"/>
      <w:marLeft w:val="0"/>
      <w:marRight w:val="0"/>
      <w:marTop w:val="0"/>
      <w:marBottom w:val="0"/>
      <w:divBdr>
        <w:top w:val="none" w:sz="0" w:space="0" w:color="auto"/>
        <w:left w:val="none" w:sz="0" w:space="0" w:color="auto"/>
        <w:bottom w:val="none" w:sz="0" w:space="0" w:color="auto"/>
        <w:right w:val="none" w:sz="0" w:space="0" w:color="auto"/>
      </w:divBdr>
    </w:div>
    <w:div w:id="397552330">
      <w:bodyDiv w:val="1"/>
      <w:marLeft w:val="0"/>
      <w:marRight w:val="0"/>
      <w:marTop w:val="0"/>
      <w:marBottom w:val="0"/>
      <w:divBdr>
        <w:top w:val="none" w:sz="0" w:space="0" w:color="auto"/>
        <w:left w:val="none" w:sz="0" w:space="0" w:color="auto"/>
        <w:bottom w:val="none" w:sz="0" w:space="0" w:color="auto"/>
        <w:right w:val="none" w:sz="0" w:space="0" w:color="auto"/>
      </w:divBdr>
    </w:div>
    <w:div w:id="417292246">
      <w:bodyDiv w:val="1"/>
      <w:marLeft w:val="0"/>
      <w:marRight w:val="0"/>
      <w:marTop w:val="0"/>
      <w:marBottom w:val="0"/>
      <w:divBdr>
        <w:top w:val="none" w:sz="0" w:space="0" w:color="auto"/>
        <w:left w:val="none" w:sz="0" w:space="0" w:color="auto"/>
        <w:bottom w:val="none" w:sz="0" w:space="0" w:color="auto"/>
        <w:right w:val="none" w:sz="0" w:space="0" w:color="auto"/>
      </w:divBdr>
    </w:div>
    <w:div w:id="577718109">
      <w:bodyDiv w:val="1"/>
      <w:marLeft w:val="0"/>
      <w:marRight w:val="0"/>
      <w:marTop w:val="0"/>
      <w:marBottom w:val="0"/>
      <w:divBdr>
        <w:top w:val="none" w:sz="0" w:space="0" w:color="auto"/>
        <w:left w:val="none" w:sz="0" w:space="0" w:color="auto"/>
        <w:bottom w:val="none" w:sz="0" w:space="0" w:color="auto"/>
        <w:right w:val="none" w:sz="0" w:space="0" w:color="auto"/>
      </w:divBdr>
    </w:div>
    <w:div w:id="616957531">
      <w:bodyDiv w:val="1"/>
      <w:marLeft w:val="0"/>
      <w:marRight w:val="0"/>
      <w:marTop w:val="0"/>
      <w:marBottom w:val="0"/>
      <w:divBdr>
        <w:top w:val="none" w:sz="0" w:space="0" w:color="auto"/>
        <w:left w:val="none" w:sz="0" w:space="0" w:color="auto"/>
        <w:bottom w:val="none" w:sz="0" w:space="0" w:color="auto"/>
        <w:right w:val="none" w:sz="0" w:space="0" w:color="auto"/>
      </w:divBdr>
    </w:div>
    <w:div w:id="628509225">
      <w:bodyDiv w:val="1"/>
      <w:marLeft w:val="0"/>
      <w:marRight w:val="0"/>
      <w:marTop w:val="0"/>
      <w:marBottom w:val="0"/>
      <w:divBdr>
        <w:top w:val="none" w:sz="0" w:space="0" w:color="auto"/>
        <w:left w:val="none" w:sz="0" w:space="0" w:color="auto"/>
        <w:bottom w:val="none" w:sz="0" w:space="0" w:color="auto"/>
        <w:right w:val="none" w:sz="0" w:space="0" w:color="auto"/>
      </w:divBdr>
    </w:div>
    <w:div w:id="678048952">
      <w:bodyDiv w:val="1"/>
      <w:marLeft w:val="0"/>
      <w:marRight w:val="0"/>
      <w:marTop w:val="0"/>
      <w:marBottom w:val="0"/>
      <w:divBdr>
        <w:top w:val="none" w:sz="0" w:space="0" w:color="auto"/>
        <w:left w:val="none" w:sz="0" w:space="0" w:color="auto"/>
        <w:bottom w:val="none" w:sz="0" w:space="0" w:color="auto"/>
        <w:right w:val="none" w:sz="0" w:space="0" w:color="auto"/>
      </w:divBdr>
    </w:div>
    <w:div w:id="680201805">
      <w:bodyDiv w:val="1"/>
      <w:marLeft w:val="0"/>
      <w:marRight w:val="0"/>
      <w:marTop w:val="0"/>
      <w:marBottom w:val="0"/>
      <w:divBdr>
        <w:top w:val="none" w:sz="0" w:space="0" w:color="auto"/>
        <w:left w:val="none" w:sz="0" w:space="0" w:color="auto"/>
        <w:bottom w:val="none" w:sz="0" w:space="0" w:color="auto"/>
        <w:right w:val="none" w:sz="0" w:space="0" w:color="auto"/>
      </w:divBdr>
    </w:div>
    <w:div w:id="697391651">
      <w:bodyDiv w:val="1"/>
      <w:marLeft w:val="0"/>
      <w:marRight w:val="0"/>
      <w:marTop w:val="0"/>
      <w:marBottom w:val="0"/>
      <w:divBdr>
        <w:top w:val="none" w:sz="0" w:space="0" w:color="auto"/>
        <w:left w:val="none" w:sz="0" w:space="0" w:color="auto"/>
        <w:bottom w:val="none" w:sz="0" w:space="0" w:color="auto"/>
        <w:right w:val="none" w:sz="0" w:space="0" w:color="auto"/>
      </w:divBdr>
    </w:div>
    <w:div w:id="702288388">
      <w:bodyDiv w:val="1"/>
      <w:marLeft w:val="0"/>
      <w:marRight w:val="0"/>
      <w:marTop w:val="0"/>
      <w:marBottom w:val="0"/>
      <w:divBdr>
        <w:top w:val="none" w:sz="0" w:space="0" w:color="auto"/>
        <w:left w:val="none" w:sz="0" w:space="0" w:color="auto"/>
        <w:bottom w:val="none" w:sz="0" w:space="0" w:color="auto"/>
        <w:right w:val="none" w:sz="0" w:space="0" w:color="auto"/>
      </w:divBdr>
    </w:div>
    <w:div w:id="718163233">
      <w:bodyDiv w:val="1"/>
      <w:marLeft w:val="0"/>
      <w:marRight w:val="0"/>
      <w:marTop w:val="0"/>
      <w:marBottom w:val="0"/>
      <w:divBdr>
        <w:top w:val="none" w:sz="0" w:space="0" w:color="auto"/>
        <w:left w:val="none" w:sz="0" w:space="0" w:color="auto"/>
        <w:bottom w:val="none" w:sz="0" w:space="0" w:color="auto"/>
        <w:right w:val="none" w:sz="0" w:space="0" w:color="auto"/>
      </w:divBdr>
    </w:div>
    <w:div w:id="754668390">
      <w:bodyDiv w:val="1"/>
      <w:marLeft w:val="0"/>
      <w:marRight w:val="0"/>
      <w:marTop w:val="0"/>
      <w:marBottom w:val="0"/>
      <w:divBdr>
        <w:top w:val="none" w:sz="0" w:space="0" w:color="auto"/>
        <w:left w:val="none" w:sz="0" w:space="0" w:color="auto"/>
        <w:bottom w:val="none" w:sz="0" w:space="0" w:color="auto"/>
        <w:right w:val="none" w:sz="0" w:space="0" w:color="auto"/>
      </w:divBdr>
    </w:div>
    <w:div w:id="807405600">
      <w:bodyDiv w:val="1"/>
      <w:marLeft w:val="0"/>
      <w:marRight w:val="0"/>
      <w:marTop w:val="0"/>
      <w:marBottom w:val="0"/>
      <w:divBdr>
        <w:top w:val="none" w:sz="0" w:space="0" w:color="auto"/>
        <w:left w:val="none" w:sz="0" w:space="0" w:color="auto"/>
        <w:bottom w:val="none" w:sz="0" w:space="0" w:color="auto"/>
        <w:right w:val="none" w:sz="0" w:space="0" w:color="auto"/>
      </w:divBdr>
    </w:div>
    <w:div w:id="881213527">
      <w:bodyDiv w:val="1"/>
      <w:marLeft w:val="0"/>
      <w:marRight w:val="0"/>
      <w:marTop w:val="0"/>
      <w:marBottom w:val="0"/>
      <w:divBdr>
        <w:top w:val="none" w:sz="0" w:space="0" w:color="auto"/>
        <w:left w:val="none" w:sz="0" w:space="0" w:color="auto"/>
        <w:bottom w:val="none" w:sz="0" w:space="0" w:color="auto"/>
        <w:right w:val="none" w:sz="0" w:space="0" w:color="auto"/>
      </w:divBdr>
    </w:div>
    <w:div w:id="897546599">
      <w:bodyDiv w:val="1"/>
      <w:marLeft w:val="0"/>
      <w:marRight w:val="0"/>
      <w:marTop w:val="0"/>
      <w:marBottom w:val="0"/>
      <w:divBdr>
        <w:top w:val="none" w:sz="0" w:space="0" w:color="auto"/>
        <w:left w:val="none" w:sz="0" w:space="0" w:color="auto"/>
        <w:bottom w:val="none" w:sz="0" w:space="0" w:color="auto"/>
        <w:right w:val="none" w:sz="0" w:space="0" w:color="auto"/>
      </w:divBdr>
    </w:div>
    <w:div w:id="903490868">
      <w:bodyDiv w:val="1"/>
      <w:marLeft w:val="0"/>
      <w:marRight w:val="0"/>
      <w:marTop w:val="0"/>
      <w:marBottom w:val="0"/>
      <w:divBdr>
        <w:top w:val="none" w:sz="0" w:space="0" w:color="auto"/>
        <w:left w:val="none" w:sz="0" w:space="0" w:color="auto"/>
        <w:bottom w:val="none" w:sz="0" w:space="0" w:color="auto"/>
        <w:right w:val="none" w:sz="0" w:space="0" w:color="auto"/>
      </w:divBdr>
    </w:div>
    <w:div w:id="918448242">
      <w:bodyDiv w:val="1"/>
      <w:marLeft w:val="0"/>
      <w:marRight w:val="0"/>
      <w:marTop w:val="0"/>
      <w:marBottom w:val="0"/>
      <w:divBdr>
        <w:top w:val="none" w:sz="0" w:space="0" w:color="auto"/>
        <w:left w:val="none" w:sz="0" w:space="0" w:color="auto"/>
        <w:bottom w:val="none" w:sz="0" w:space="0" w:color="auto"/>
        <w:right w:val="none" w:sz="0" w:space="0" w:color="auto"/>
      </w:divBdr>
    </w:div>
    <w:div w:id="998310255">
      <w:bodyDiv w:val="1"/>
      <w:marLeft w:val="0"/>
      <w:marRight w:val="0"/>
      <w:marTop w:val="0"/>
      <w:marBottom w:val="0"/>
      <w:divBdr>
        <w:top w:val="none" w:sz="0" w:space="0" w:color="auto"/>
        <w:left w:val="none" w:sz="0" w:space="0" w:color="auto"/>
        <w:bottom w:val="none" w:sz="0" w:space="0" w:color="auto"/>
        <w:right w:val="none" w:sz="0" w:space="0" w:color="auto"/>
      </w:divBdr>
    </w:div>
    <w:div w:id="1104225071">
      <w:bodyDiv w:val="1"/>
      <w:marLeft w:val="0"/>
      <w:marRight w:val="0"/>
      <w:marTop w:val="0"/>
      <w:marBottom w:val="0"/>
      <w:divBdr>
        <w:top w:val="none" w:sz="0" w:space="0" w:color="auto"/>
        <w:left w:val="none" w:sz="0" w:space="0" w:color="auto"/>
        <w:bottom w:val="none" w:sz="0" w:space="0" w:color="auto"/>
        <w:right w:val="none" w:sz="0" w:space="0" w:color="auto"/>
      </w:divBdr>
    </w:div>
    <w:div w:id="1112169785">
      <w:bodyDiv w:val="1"/>
      <w:marLeft w:val="0"/>
      <w:marRight w:val="0"/>
      <w:marTop w:val="0"/>
      <w:marBottom w:val="0"/>
      <w:divBdr>
        <w:top w:val="none" w:sz="0" w:space="0" w:color="auto"/>
        <w:left w:val="none" w:sz="0" w:space="0" w:color="auto"/>
        <w:bottom w:val="none" w:sz="0" w:space="0" w:color="auto"/>
        <w:right w:val="none" w:sz="0" w:space="0" w:color="auto"/>
      </w:divBdr>
    </w:div>
    <w:div w:id="1176503520">
      <w:bodyDiv w:val="1"/>
      <w:marLeft w:val="0"/>
      <w:marRight w:val="0"/>
      <w:marTop w:val="0"/>
      <w:marBottom w:val="0"/>
      <w:divBdr>
        <w:top w:val="none" w:sz="0" w:space="0" w:color="auto"/>
        <w:left w:val="none" w:sz="0" w:space="0" w:color="auto"/>
        <w:bottom w:val="none" w:sz="0" w:space="0" w:color="auto"/>
        <w:right w:val="none" w:sz="0" w:space="0" w:color="auto"/>
      </w:divBdr>
    </w:div>
    <w:div w:id="1184707605">
      <w:bodyDiv w:val="1"/>
      <w:marLeft w:val="0"/>
      <w:marRight w:val="0"/>
      <w:marTop w:val="0"/>
      <w:marBottom w:val="0"/>
      <w:divBdr>
        <w:top w:val="none" w:sz="0" w:space="0" w:color="auto"/>
        <w:left w:val="none" w:sz="0" w:space="0" w:color="auto"/>
        <w:bottom w:val="none" w:sz="0" w:space="0" w:color="auto"/>
        <w:right w:val="none" w:sz="0" w:space="0" w:color="auto"/>
      </w:divBdr>
    </w:div>
    <w:div w:id="1314724342">
      <w:bodyDiv w:val="1"/>
      <w:marLeft w:val="0"/>
      <w:marRight w:val="0"/>
      <w:marTop w:val="0"/>
      <w:marBottom w:val="0"/>
      <w:divBdr>
        <w:top w:val="none" w:sz="0" w:space="0" w:color="auto"/>
        <w:left w:val="none" w:sz="0" w:space="0" w:color="auto"/>
        <w:bottom w:val="none" w:sz="0" w:space="0" w:color="auto"/>
        <w:right w:val="none" w:sz="0" w:space="0" w:color="auto"/>
      </w:divBdr>
    </w:div>
    <w:div w:id="1322078103">
      <w:bodyDiv w:val="1"/>
      <w:marLeft w:val="0"/>
      <w:marRight w:val="0"/>
      <w:marTop w:val="0"/>
      <w:marBottom w:val="0"/>
      <w:divBdr>
        <w:top w:val="none" w:sz="0" w:space="0" w:color="auto"/>
        <w:left w:val="none" w:sz="0" w:space="0" w:color="auto"/>
        <w:bottom w:val="none" w:sz="0" w:space="0" w:color="auto"/>
        <w:right w:val="none" w:sz="0" w:space="0" w:color="auto"/>
      </w:divBdr>
    </w:div>
    <w:div w:id="1335181518">
      <w:bodyDiv w:val="1"/>
      <w:marLeft w:val="0"/>
      <w:marRight w:val="0"/>
      <w:marTop w:val="0"/>
      <w:marBottom w:val="0"/>
      <w:divBdr>
        <w:top w:val="none" w:sz="0" w:space="0" w:color="auto"/>
        <w:left w:val="none" w:sz="0" w:space="0" w:color="auto"/>
        <w:bottom w:val="none" w:sz="0" w:space="0" w:color="auto"/>
        <w:right w:val="none" w:sz="0" w:space="0" w:color="auto"/>
      </w:divBdr>
    </w:div>
    <w:div w:id="1350179304">
      <w:bodyDiv w:val="1"/>
      <w:marLeft w:val="0"/>
      <w:marRight w:val="0"/>
      <w:marTop w:val="0"/>
      <w:marBottom w:val="0"/>
      <w:divBdr>
        <w:top w:val="none" w:sz="0" w:space="0" w:color="auto"/>
        <w:left w:val="none" w:sz="0" w:space="0" w:color="auto"/>
        <w:bottom w:val="none" w:sz="0" w:space="0" w:color="auto"/>
        <w:right w:val="none" w:sz="0" w:space="0" w:color="auto"/>
      </w:divBdr>
    </w:div>
    <w:div w:id="1367751860">
      <w:bodyDiv w:val="1"/>
      <w:marLeft w:val="0"/>
      <w:marRight w:val="0"/>
      <w:marTop w:val="0"/>
      <w:marBottom w:val="0"/>
      <w:divBdr>
        <w:top w:val="none" w:sz="0" w:space="0" w:color="auto"/>
        <w:left w:val="none" w:sz="0" w:space="0" w:color="auto"/>
        <w:bottom w:val="none" w:sz="0" w:space="0" w:color="auto"/>
        <w:right w:val="none" w:sz="0" w:space="0" w:color="auto"/>
      </w:divBdr>
    </w:div>
    <w:div w:id="1369380429">
      <w:bodyDiv w:val="1"/>
      <w:marLeft w:val="0"/>
      <w:marRight w:val="0"/>
      <w:marTop w:val="0"/>
      <w:marBottom w:val="0"/>
      <w:divBdr>
        <w:top w:val="none" w:sz="0" w:space="0" w:color="auto"/>
        <w:left w:val="none" w:sz="0" w:space="0" w:color="auto"/>
        <w:bottom w:val="none" w:sz="0" w:space="0" w:color="auto"/>
        <w:right w:val="none" w:sz="0" w:space="0" w:color="auto"/>
      </w:divBdr>
    </w:div>
    <w:div w:id="1409301178">
      <w:bodyDiv w:val="1"/>
      <w:marLeft w:val="0"/>
      <w:marRight w:val="0"/>
      <w:marTop w:val="0"/>
      <w:marBottom w:val="0"/>
      <w:divBdr>
        <w:top w:val="none" w:sz="0" w:space="0" w:color="auto"/>
        <w:left w:val="none" w:sz="0" w:space="0" w:color="auto"/>
        <w:bottom w:val="none" w:sz="0" w:space="0" w:color="auto"/>
        <w:right w:val="none" w:sz="0" w:space="0" w:color="auto"/>
      </w:divBdr>
    </w:div>
    <w:div w:id="1578904563">
      <w:bodyDiv w:val="1"/>
      <w:marLeft w:val="0"/>
      <w:marRight w:val="0"/>
      <w:marTop w:val="0"/>
      <w:marBottom w:val="0"/>
      <w:divBdr>
        <w:top w:val="none" w:sz="0" w:space="0" w:color="auto"/>
        <w:left w:val="none" w:sz="0" w:space="0" w:color="auto"/>
        <w:bottom w:val="none" w:sz="0" w:space="0" w:color="auto"/>
        <w:right w:val="none" w:sz="0" w:space="0" w:color="auto"/>
      </w:divBdr>
    </w:div>
    <w:div w:id="1581283562">
      <w:bodyDiv w:val="1"/>
      <w:marLeft w:val="0"/>
      <w:marRight w:val="0"/>
      <w:marTop w:val="0"/>
      <w:marBottom w:val="0"/>
      <w:divBdr>
        <w:top w:val="none" w:sz="0" w:space="0" w:color="auto"/>
        <w:left w:val="none" w:sz="0" w:space="0" w:color="auto"/>
        <w:bottom w:val="none" w:sz="0" w:space="0" w:color="auto"/>
        <w:right w:val="none" w:sz="0" w:space="0" w:color="auto"/>
      </w:divBdr>
    </w:div>
    <w:div w:id="1671712533">
      <w:bodyDiv w:val="1"/>
      <w:marLeft w:val="0"/>
      <w:marRight w:val="0"/>
      <w:marTop w:val="0"/>
      <w:marBottom w:val="0"/>
      <w:divBdr>
        <w:top w:val="none" w:sz="0" w:space="0" w:color="auto"/>
        <w:left w:val="none" w:sz="0" w:space="0" w:color="auto"/>
        <w:bottom w:val="none" w:sz="0" w:space="0" w:color="auto"/>
        <w:right w:val="none" w:sz="0" w:space="0" w:color="auto"/>
      </w:divBdr>
    </w:div>
    <w:div w:id="1712534291">
      <w:bodyDiv w:val="1"/>
      <w:marLeft w:val="0"/>
      <w:marRight w:val="0"/>
      <w:marTop w:val="0"/>
      <w:marBottom w:val="0"/>
      <w:divBdr>
        <w:top w:val="none" w:sz="0" w:space="0" w:color="auto"/>
        <w:left w:val="none" w:sz="0" w:space="0" w:color="auto"/>
        <w:bottom w:val="none" w:sz="0" w:space="0" w:color="auto"/>
        <w:right w:val="none" w:sz="0" w:space="0" w:color="auto"/>
      </w:divBdr>
    </w:div>
    <w:div w:id="1733119982">
      <w:bodyDiv w:val="1"/>
      <w:marLeft w:val="0"/>
      <w:marRight w:val="0"/>
      <w:marTop w:val="0"/>
      <w:marBottom w:val="0"/>
      <w:divBdr>
        <w:top w:val="none" w:sz="0" w:space="0" w:color="auto"/>
        <w:left w:val="none" w:sz="0" w:space="0" w:color="auto"/>
        <w:bottom w:val="none" w:sz="0" w:space="0" w:color="auto"/>
        <w:right w:val="none" w:sz="0" w:space="0" w:color="auto"/>
      </w:divBdr>
    </w:div>
    <w:div w:id="1770351149">
      <w:bodyDiv w:val="1"/>
      <w:marLeft w:val="0"/>
      <w:marRight w:val="0"/>
      <w:marTop w:val="0"/>
      <w:marBottom w:val="0"/>
      <w:divBdr>
        <w:top w:val="none" w:sz="0" w:space="0" w:color="auto"/>
        <w:left w:val="none" w:sz="0" w:space="0" w:color="auto"/>
        <w:bottom w:val="none" w:sz="0" w:space="0" w:color="auto"/>
        <w:right w:val="none" w:sz="0" w:space="0" w:color="auto"/>
      </w:divBdr>
    </w:div>
    <w:div w:id="1778868335">
      <w:bodyDiv w:val="1"/>
      <w:marLeft w:val="0"/>
      <w:marRight w:val="0"/>
      <w:marTop w:val="0"/>
      <w:marBottom w:val="0"/>
      <w:divBdr>
        <w:top w:val="none" w:sz="0" w:space="0" w:color="auto"/>
        <w:left w:val="none" w:sz="0" w:space="0" w:color="auto"/>
        <w:bottom w:val="none" w:sz="0" w:space="0" w:color="auto"/>
        <w:right w:val="none" w:sz="0" w:space="0" w:color="auto"/>
      </w:divBdr>
    </w:div>
    <w:div w:id="1864053108">
      <w:bodyDiv w:val="1"/>
      <w:marLeft w:val="0"/>
      <w:marRight w:val="0"/>
      <w:marTop w:val="0"/>
      <w:marBottom w:val="0"/>
      <w:divBdr>
        <w:top w:val="none" w:sz="0" w:space="0" w:color="auto"/>
        <w:left w:val="none" w:sz="0" w:space="0" w:color="auto"/>
        <w:bottom w:val="none" w:sz="0" w:space="0" w:color="auto"/>
        <w:right w:val="none" w:sz="0" w:space="0" w:color="auto"/>
      </w:divBdr>
    </w:div>
    <w:div w:id="1893466762">
      <w:bodyDiv w:val="1"/>
      <w:marLeft w:val="0"/>
      <w:marRight w:val="0"/>
      <w:marTop w:val="0"/>
      <w:marBottom w:val="0"/>
      <w:divBdr>
        <w:top w:val="none" w:sz="0" w:space="0" w:color="auto"/>
        <w:left w:val="none" w:sz="0" w:space="0" w:color="auto"/>
        <w:bottom w:val="none" w:sz="0" w:space="0" w:color="auto"/>
        <w:right w:val="none" w:sz="0" w:space="0" w:color="auto"/>
      </w:divBdr>
    </w:div>
    <w:div w:id="2039817432">
      <w:bodyDiv w:val="1"/>
      <w:marLeft w:val="0"/>
      <w:marRight w:val="0"/>
      <w:marTop w:val="0"/>
      <w:marBottom w:val="0"/>
      <w:divBdr>
        <w:top w:val="none" w:sz="0" w:space="0" w:color="auto"/>
        <w:left w:val="none" w:sz="0" w:space="0" w:color="auto"/>
        <w:bottom w:val="none" w:sz="0" w:space="0" w:color="auto"/>
        <w:right w:val="none" w:sz="0" w:space="0" w:color="auto"/>
      </w:divBdr>
    </w:div>
    <w:div w:id="2098674869">
      <w:bodyDiv w:val="1"/>
      <w:marLeft w:val="0"/>
      <w:marRight w:val="0"/>
      <w:marTop w:val="0"/>
      <w:marBottom w:val="0"/>
      <w:divBdr>
        <w:top w:val="none" w:sz="0" w:space="0" w:color="auto"/>
        <w:left w:val="none" w:sz="0" w:space="0" w:color="auto"/>
        <w:bottom w:val="none" w:sz="0" w:space="0" w:color="auto"/>
        <w:right w:val="none" w:sz="0" w:space="0" w:color="auto"/>
      </w:divBdr>
    </w:div>
    <w:div w:id="21401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tc.gov/sites/default/files/documents/reports/consumer-fraud-unitedstates-ftc-survey/040805confraudrp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irav\Dropbox\Misrepresentation%20with%20Meirav%20and%20Roseanna\Graphs%20for%20CELS%20Fraud%20+%20Fine%20Print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irav\Downloads\Spread%20for%20each%20D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irav\Downloads\Spread%20for%20each%20D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a:cs typeface="Times New Roman"/>
              </a:defRPr>
            </a:pPr>
            <a:r>
              <a:rPr lang="en-US" sz="1100" b="1" i="0" baseline="0">
                <a:effectLst/>
                <a:latin typeface="Times New Roman"/>
                <a:cs typeface="Times New Roman"/>
              </a:rPr>
              <a:t>Study 1: Autoloan Scenario</a:t>
            </a:r>
            <a:endParaRPr lang="en-US" sz="1100">
              <a:effectLst/>
              <a:latin typeface="Times New Roman"/>
              <a:cs typeface="Times New Roman"/>
            </a:endParaRPr>
          </a:p>
        </c:rich>
      </c:tx>
      <c:overlay val="0"/>
    </c:title>
    <c:autoTitleDeleted val="0"/>
    <c:plotArea>
      <c:layout/>
      <c:barChart>
        <c:barDir val="col"/>
        <c:grouping val="clustered"/>
        <c:varyColors val="0"/>
        <c:ser>
          <c:idx val="0"/>
          <c:order val="0"/>
          <c:tx>
            <c:strRef>
              <c:f>'Study 2'!$A$2</c:f>
              <c:strCache>
                <c:ptCount val="1"/>
                <c:pt idx="0">
                  <c:v>Fraud Only</c:v>
                </c:pt>
              </c:strCache>
            </c:strRef>
          </c:tx>
          <c:spPr>
            <a:ln>
              <a:solidFill>
                <a:schemeClr val="tx1"/>
              </a:solidFill>
            </a:ln>
          </c:spPr>
          <c:invertIfNegative val="0"/>
          <c:dLbls>
            <c:spPr>
              <a:noFill/>
              <a:ln>
                <a:noFill/>
              </a:ln>
              <a:effectLst/>
            </c:spPr>
            <c:txPr>
              <a:bodyPr/>
              <a:lstStyle/>
              <a:p>
                <a:pPr>
                  <a:defRPr>
                    <a:latin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'Study 2'!$B$10:$E$10</c:f>
                <c:numCache>
                  <c:formatCode>General</c:formatCode>
                  <c:ptCount val="4"/>
                  <c:pt idx="0">
                    <c:v>0.2585693</c:v>
                  </c:pt>
                  <c:pt idx="1">
                    <c:v>0.24313290000000001</c:v>
                  </c:pt>
                  <c:pt idx="2">
                    <c:v>0.24696499999999999</c:v>
                  </c:pt>
                  <c:pt idx="3">
                    <c:v>0.21441550000000001</c:v>
                  </c:pt>
                </c:numCache>
              </c:numRef>
            </c:plus>
            <c:minus>
              <c:numRef>
                <c:f>'Study 2'!$B$10:$E$10</c:f>
                <c:numCache>
                  <c:formatCode>General</c:formatCode>
                  <c:ptCount val="4"/>
                  <c:pt idx="0">
                    <c:v>0.2585693</c:v>
                  </c:pt>
                  <c:pt idx="1">
                    <c:v>0.24313290000000001</c:v>
                  </c:pt>
                  <c:pt idx="2">
                    <c:v>0.24696499999999999</c:v>
                  </c:pt>
                  <c:pt idx="3">
                    <c:v>0.21441550000000001</c:v>
                  </c:pt>
                </c:numCache>
              </c:numRef>
            </c:minus>
          </c:errBars>
          <c:cat>
            <c:strRef>
              <c:f>'Study 2'!$B$1:$E$1</c:f>
              <c:strCache>
                <c:ptCount val="4"/>
                <c:pt idx="0">
                  <c:v>Court (Impose Fees)</c:v>
                </c:pt>
                <c:pt idx="1">
                  <c:v>Fair</c:v>
                </c:pt>
                <c:pt idx="2">
                  <c:v>Consent</c:v>
                </c:pt>
                <c:pt idx="3">
                  <c:v>Notice</c:v>
                </c:pt>
              </c:strCache>
            </c:strRef>
          </c:cat>
          <c:val>
            <c:numRef>
              <c:f>'Study 2'!$B$2:$E$2</c:f>
              <c:numCache>
                <c:formatCode>General</c:formatCode>
                <c:ptCount val="4"/>
                <c:pt idx="0">
                  <c:v>3.12</c:v>
                </c:pt>
                <c:pt idx="1">
                  <c:v>2.15</c:v>
                </c:pt>
                <c:pt idx="2">
                  <c:v>2.25</c:v>
                </c:pt>
                <c:pt idx="3">
                  <c:v>1.96</c:v>
                </c:pt>
              </c:numCache>
            </c:numRef>
          </c:val>
          <c:extLst xmlns:c16r2="http://schemas.microsoft.com/office/drawing/2015/06/chart">
            <c:ext xmlns:c16="http://schemas.microsoft.com/office/drawing/2014/chart" uri="{C3380CC4-5D6E-409C-BE32-E72D297353CC}">
              <c16:uniqueId val="{00000000-817B-40B1-95D4-A6B675E40E38}"/>
            </c:ext>
          </c:extLst>
        </c:ser>
        <c:ser>
          <c:idx val="1"/>
          <c:order val="1"/>
          <c:tx>
            <c:strRef>
              <c:f>'Study 2'!$A$3</c:f>
              <c:strCache>
                <c:ptCount val="1"/>
                <c:pt idx="0">
                  <c:v>Fraud + Fine Print</c:v>
                </c:pt>
              </c:strCache>
            </c:strRef>
          </c:tx>
          <c:invertIfNegative val="0"/>
          <c:dLbls>
            <c:spPr>
              <a:noFill/>
              <a:ln>
                <a:noFill/>
              </a:ln>
              <a:effectLst/>
            </c:spPr>
            <c:txPr>
              <a:bodyPr/>
              <a:lstStyle/>
              <a:p>
                <a:pPr>
                  <a:defRPr>
                    <a:latin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'Study 2'!$B$9:$E$9</c:f>
                <c:numCache>
                  <c:formatCode>General</c:formatCode>
                  <c:ptCount val="4"/>
                  <c:pt idx="0">
                    <c:v>0.21367269999999999</c:v>
                  </c:pt>
                  <c:pt idx="1">
                    <c:v>0.29400029999999999</c:v>
                  </c:pt>
                  <c:pt idx="2">
                    <c:v>0.25949749999999999</c:v>
                  </c:pt>
                  <c:pt idx="3">
                    <c:v>0.28481050000000002</c:v>
                  </c:pt>
                </c:numCache>
              </c:numRef>
            </c:plus>
            <c:minus>
              <c:numRef>
                <c:f>'Study 2'!$B$9:$E$9</c:f>
                <c:numCache>
                  <c:formatCode>General</c:formatCode>
                  <c:ptCount val="4"/>
                  <c:pt idx="0">
                    <c:v>0.21367269999999999</c:v>
                  </c:pt>
                  <c:pt idx="1">
                    <c:v>0.29400029999999999</c:v>
                  </c:pt>
                  <c:pt idx="2">
                    <c:v>0.25949749999999999</c:v>
                  </c:pt>
                  <c:pt idx="3">
                    <c:v>0.28481050000000002</c:v>
                  </c:pt>
                </c:numCache>
              </c:numRef>
            </c:minus>
          </c:errBars>
          <c:cat>
            <c:strRef>
              <c:f>'Study 2'!$B$1:$E$1</c:f>
              <c:strCache>
                <c:ptCount val="4"/>
                <c:pt idx="0">
                  <c:v>Court (Impose Fees)</c:v>
                </c:pt>
                <c:pt idx="1">
                  <c:v>Fair</c:v>
                </c:pt>
                <c:pt idx="2">
                  <c:v>Consent</c:v>
                </c:pt>
                <c:pt idx="3">
                  <c:v>Notice</c:v>
                </c:pt>
              </c:strCache>
            </c:strRef>
          </c:cat>
          <c:val>
            <c:numRef>
              <c:f>'Study 2'!$B$3:$E$3</c:f>
              <c:numCache>
                <c:formatCode>General</c:formatCode>
                <c:ptCount val="4"/>
                <c:pt idx="0">
                  <c:v>5.55</c:v>
                </c:pt>
                <c:pt idx="1">
                  <c:v>3.88</c:v>
                </c:pt>
                <c:pt idx="2">
                  <c:v>4.6099999999999994</c:v>
                </c:pt>
                <c:pt idx="3">
                  <c:v>4.08</c:v>
                </c:pt>
              </c:numCache>
            </c:numRef>
          </c:val>
          <c:extLst xmlns:c16r2="http://schemas.microsoft.com/office/drawing/2015/06/chart">
            <c:ext xmlns:c16="http://schemas.microsoft.com/office/drawing/2014/chart" uri="{C3380CC4-5D6E-409C-BE32-E72D297353CC}">
              <c16:uniqueId val="{00000001-817B-40B1-95D4-A6B675E40E38}"/>
            </c:ext>
          </c:extLst>
        </c:ser>
        <c:ser>
          <c:idx val="2"/>
          <c:order val="2"/>
          <c:tx>
            <c:strRef>
              <c:f>'Study 2'!$A$4</c:f>
              <c:strCache>
                <c:ptCount val="1"/>
                <c:pt idx="0">
                  <c:v>Fine Print Only</c:v>
                </c:pt>
              </c:strCache>
            </c:strRef>
          </c:tx>
          <c:invertIfNegative val="0"/>
          <c:dLbls>
            <c:spPr>
              <a:noFill/>
              <a:ln>
                <a:noFill/>
              </a:ln>
              <a:effectLst/>
            </c:spPr>
            <c:txPr>
              <a:bodyPr/>
              <a:lstStyle/>
              <a:p>
                <a:pPr>
                  <a:defRPr>
                    <a:latin typeface="Times New Roman"/>
                    <a:cs typeface="Times New Roman"/>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'Study 2'!$B$8:$E$8</c:f>
                <c:numCache>
                  <c:formatCode>General</c:formatCode>
                  <c:ptCount val="4"/>
                  <c:pt idx="0">
                    <c:v>0.22633259999999999</c:v>
                  </c:pt>
                  <c:pt idx="1">
                    <c:v>0.29723830000000001</c:v>
                  </c:pt>
                  <c:pt idx="2">
                    <c:v>0.29382989999999998</c:v>
                  </c:pt>
                  <c:pt idx="3">
                    <c:v>0.29351569999999999</c:v>
                  </c:pt>
                </c:numCache>
              </c:numRef>
            </c:plus>
            <c:minus>
              <c:numRef>
                <c:f>'Study 2'!$B$8:$E$8</c:f>
                <c:numCache>
                  <c:formatCode>General</c:formatCode>
                  <c:ptCount val="4"/>
                  <c:pt idx="0">
                    <c:v>0.22633259999999999</c:v>
                  </c:pt>
                  <c:pt idx="1">
                    <c:v>0.29723830000000001</c:v>
                  </c:pt>
                  <c:pt idx="2">
                    <c:v>0.29382989999999998</c:v>
                  </c:pt>
                  <c:pt idx="3">
                    <c:v>0.29351569999999999</c:v>
                  </c:pt>
                </c:numCache>
              </c:numRef>
            </c:minus>
          </c:errBars>
          <c:cat>
            <c:strRef>
              <c:f>'Study 2'!$B$1:$E$1</c:f>
              <c:strCache>
                <c:ptCount val="4"/>
                <c:pt idx="0">
                  <c:v>Court (Impose Fees)</c:v>
                </c:pt>
                <c:pt idx="1">
                  <c:v>Fair</c:v>
                </c:pt>
                <c:pt idx="2">
                  <c:v>Consent</c:v>
                </c:pt>
                <c:pt idx="3">
                  <c:v>Notice</c:v>
                </c:pt>
              </c:strCache>
            </c:strRef>
          </c:cat>
          <c:val>
            <c:numRef>
              <c:f>'Study 2'!$B$4:$E$4</c:f>
              <c:numCache>
                <c:formatCode>General</c:formatCode>
                <c:ptCount val="4"/>
                <c:pt idx="0">
                  <c:v>5.75</c:v>
                </c:pt>
                <c:pt idx="1">
                  <c:v>3.75</c:v>
                </c:pt>
                <c:pt idx="2">
                  <c:v>5.04</c:v>
                </c:pt>
                <c:pt idx="3">
                  <c:v>4.25</c:v>
                </c:pt>
              </c:numCache>
            </c:numRef>
          </c:val>
          <c:extLst xmlns:c16r2="http://schemas.microsoft.com/office/drawing/2015/06/chart">
            <c:ext xmlns:c16="http://schemas.microsoft.com/office/drawing/2014/chart" uri="{C3380CC4-5D6E-409C-BE32-E72D297353CC}">
              <c16:uniqueId val="{00000002-817B-40B1-95D4-A6B675E40E38}"/>
            </c:ext>
          </c:extLst>
        </c:ser>
        <c:dLbls>
          <c:showLegendKey val="0"/>
          <c:showVal val="1"/>
          <c:showCatName val="0"/>
          <c:showSerName val="0"/>
          <c:showPercent val="0"/>
          <c:showBubbleSize val="0"/>
        </c:dLbls>
        <c:gapWidth val="150"/>
        <c:overlap val="-25"/>
        <c:axId val="383469824"/>
        <c:axId val="384247296"/>
      </c:barChart>
      <c:catAx>
        <c:axId val="383469824"/>
        <c:scaling>
          <c:orientation val="minMax"/>
        </c:scaling>
        <c:delete val="0"/>
        <c:axPos val="b"/>
        <c:numFmt formatCode="General" sourceLinked="0"/>
        <c:majorTickMark val="none"/>
        <c:minorTickMark val="none"/>
        <c:tickLblPos val="nextTo"/>
        <c:txPr>
          <a:bodyPr/>
          <a:lstStyle/>
          <a:p>
            <a:pPr>
              <a:defRPr sz="1000">
                <a:latin typeface="Times New Roman"/>
                <a:cs typeface="Times New Roman"/>
              </a:defRPr>
            </a:pPr>
            <a:endParaRPr lang="en-US"/>
          </a:p>
        </c:txPr>
        <c:crossAx val="384247296"/>
        <c:crosses val="autoZero"/>
        <c:auto val="1"/>
        <c:lblAlgn val="ctr"/>
        <c:lblOffset val="100"/>
        <c:noMultiLvlLbl val="0"/>
      </c:catAx>
      <c:valAx>
        <c:axId val="384247296"/>
        <c:scaling>
          <c:orientation val="minMax"/>
          <c:min val="1"/>
        </c:scaling>
        <c:delete val="0"/>
        <c:axPos val="l"/>
        <c:numFmt formatCode="General" sourceLinked="1"/>
        <c:majorTickMark val="out"/>
        <c:minorTickMark val="none"/>
        <c:tickLblPos val="nextTo"/>
        <c:txPr>
          <a:bodyPr/>
          <a:lstStyle/>
          <a:p>
            <a:pPr>
              <a:defRPr>
                <a:latin typeface="Times New Roman"/>
                <a:cs typeface="Times New Roman"/>
              </a:defRPr>
            </a:pPr>
            <a:endParaRPr lang="en-US"/>
          </a:p>
        </c:txPr>
        <c:crossAx val="383469824"/>
        <c:crosses val="autoZero"/>
        <c:crossBetween val="between"/>
      </c:valAx>
    </c:plotArea>
    <c:legend>
      <c:legendPos val="t"/>
      <c:overlay val="0"/>
      <c:txPr>
        <a:bodyPr/>
        <a:lstStyle/>
        <a:p>
          <a:pPr>
            <a:defRPr sz="1000">
              <a:latin typeface="Times New Roman"/>
              <a:cs typeface="Times New Roman"/>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Legal</a:t>
            </a:r>
          </a:p>
        </c:rich>
      </c:tx>
      <c:overlay val="0"/>
    </c:title>
    <c:autoTitleDeleted val="0"/>
    <c:plotArea>
      <c:layout>
        <c:manualLayout>
          <c:layoutTarget val="inner"/>
          <c:xMode val="edge"/>
          <c:yMode val="edge"/>
          <c:x val="6.5773265427823496E-2"/>
          <c:y val="0.12277734898803"/>
          <c:w val="0.90573562534823604"/>
          <c:h val="0.78019410759458396"/>
        </c:manualLayout>
      </c:layout>
      <c:barChart>
        <c:barDir val="col"/>
        <c:grouping val="clustered"/>
        <c:varyColors val="0"/>
        <c:ser>
          <c:idx val="0"/>
          <c:order val="0"/>
          <c:spPr>
            <a:solidFill>
              <a:schemeClr val="accent3"/>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'[Spread for each DV.xlsx]Sheet2'!$A$8:$G$8</c:f>
              <c:strCache>
                <c:ptCount val="7"/>
                <c:pt idx="0">
                  <c:v>Strongly Disagree</c:v>
                </c:pt>
                <c:pt idx="6">
                  <c:v>Strongly Agree</c:v>
                </c:pt>
              </c:strCache>
            </c:strRef>
          </c:cat>
          <c:val>
            <c:numRef>
              <c:f>'[Spread for each DV.xlsx]Sheet2'!$A$9:$G$9</c:f>
              <c:numCache>
                <c:formatCode>General</c:formatCode>
                <c:ptCount val="7"/>
                <c:pt idx="0">
                  <c:v>16</c:v>
                </c:pt>
                <c:pt idx="1">
                  <c:v>11</c:v>
                </c:pt>
                <c:pt idx="2">
                  <c:v>11</c:v>
                </c:pt>
                <c:pt idx="3">
                  <c:v>30</c:v>
                </c:pt>
                <c:pt idx="4">
                  <c:v>15</c:v>
                </c:pt>
                <c:pt idx="5">
                  <c:v>21</c:v>
                </c:pt>
                <c:pt idx="6">
                  <c:v>47</c:v>
                </c:pt>
              </c:numCache>
            </c:numRef>
          </c:val>
          <c:extLst xmlns:c16r2="http://schemas.microsoft.com/office/drawing/2015/06/chart">
            <c:ext xmlns:c16="http://schemas.microsoft.com/office/drawing/2014/chart" uri="{C3380CC4-5D6E-409C-BE32-E72D297353CC}">
              <c16:uniqueId val="{00000000-2D4E-46A6-B4E9-99B3E9FDCCB5}"/>
            </c:ext>
          </c:extLst>
        </c:ser>
        <c:dLbls>
          <c:showLegendKey val="0"/>
          <c:showVal val="1"/>
          <c:showCatName val="0"/>
          <c:showSerName val="0"/>
          <c:showPercent val="0"/>
          <c:showBubbleSize val="0"/>
        </c:dLbls>
        <c:gapWidth val="150"/>
        <c:overlap val="-25"/>
        <c:axId val="431259008"/>
        <c:axId val="431321856"/>
      </c:barChart>
      <c:catAx>
        <c:axId val="431259008"/>
        <c:scaling>
          <c:orientation val="minMax"/>
        </c:scaling>
        <c:delete val="0"/>
        <c:axPos val="b"/>
        <c:numFmt formatCode="General" sourceLinked="0"/>
        <c:majorTickMark val="none"/>
        <c:minorTickMark val="none"/>
        <c:tickLblPos val="nextTo"/>
        <c:crossAx val="431321856"/>
        <c:crosses val="autoZero"/>
        <c:auto val="1"/>
        <c:lblAlgn val="ctr"/>
        <c:lblOffset val="100"/>
        <c:noMultiLvlLbl val="0"/>
      </c:catAx>
      <c:valAx>
        <c:axId val="431321856"/>
        <c:scaling>
          <c:orientation val="minMax"/>
          <c:max val="60"/>
        </c:scaling>
        <c:delete val="0"/>
        <c:axPos val="l"/>
        <c:numFmt formatCode="General" sourceLinked="1"/>
        <c:majorTickMark val="out"/>
        <c:minorTickMark val="none"/>
        <c:tickLblPos val="nextTo"/>
        <c:crossAx val="431259008"/>
        <c:crosses val="autoZero"/>
        <c:crossBetween val="between"/>
      </c:valAx>
    </c:plotArea>
    <c:plotVisOnly val="1"/>
    <c:dispBlanksAs val="gap"/>
    <c:showDLblsOverMax val="0"/>
  </c:chart>
  <c:txPr>
    <a:bodyPr/>
    <a:lstStyle/>
    <a:p>
      <a:pPr>
        <a:defRPr>
          <a:latin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Fair</a:t>
            </a:r>
          </a:p>
        </c:rich>
      </c:tx>
      <c:overlay val="0"/>
    </c:title>
    <c:autoTitleDeleted val="0"/>
    <c:plotArea>
      <c:layout>
        <c:manualLayout>
          <c:layoutTarget val="inner"/>
          <c:xMode val="edge"/>
          <c:yMode val="edge"/>
          <c:x val="5.23902859362105E-2"/>
          <c:y val="0.118089711346772"/>
          <c:w val="0.90650739518099599"/>
          <c:h val="0.783537613029609"/>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'[Spread for each DV.xlsx]Sheet2'!$A$20:$G$20</c:f>
              <c:strCache>
                <c:ptCount val="7"/>
                <c:pt idx="0">
                  <c:v>Strongly Disagree</c:v>
                </c:pt>
                <c:pt idx="6">
                  <c:v>Strongly Agree</c:v>
                </c:pt>
              </c:strCache>
            </c:strRef>
          </c:cat>
          <c:val>
            <c:numRef>
              <c:f>'[Spread for each DV.xlsx]Sheet2'!$A$21:$G$21</c:f>
              <c:numCache>
                <c:formatCode>General</c:formatCode>
                <c:ptCount val="7"/>
                <c:pt idx="0">
                  <c:v>50</c:v>
                </c:pt>
                <c:pt idx="1">
                  <c:v>22</c:v>
                </c:pt>
                <c:pt idx="2">
                  <c:v>13</c:v>
                </c:pt>
                <c:pt idx="3">
                  <c:v>17</c:v>
                </c:pt>
                <c:pt idx="4">
                  <c:v>18</c:v>
                </c:pt>
                <c:pt idx="5">
                  <c:v>18</c:v>
                </c:pt>
                <c:pt idx="6">
                  <c:v>13</c:v>
                </c:pt>
              </c:numCache>
            </c:numRef>
          </c:val>
          <c:extLst xmlns:c16r2="http://schemas.microsoft.com/office/drawing/2015/06/chart">
            <c:ext xmlns:c16="http://schemas.microsoft.com/office/drawing/2014/chart" uri="{C3380CC4-5D6E-409C-BE32-E72D297353CC}">
              <c16:uniqueId val="{00000000-FD74-4959-8ACD-BF0E9DA4521C}"/>
            </c:ext>
          </c:extLst>
        </c:ser>
        <c:dLbls>
          <c:showLegendKey val="0"/>
          <c:showVal val="1"/>
          <c:showCatName val="0"/>
          <c:showSerName val="0"/>
          <c:showPercent val="0"/>
          <c:showBubbleSize val="0"/>
        </c:dLbls>
        <c:gapWidth val="150"/>
        <c:overlap val="-25"/>
        <c:axId val="440874496"/>
        <c:axId val="452268416"/>
      </c:barChart>
      <c:catAx>
        <c:axId val="440874496"/>
        <c:scaling>
          <c:orientation val="minMax"/>
        </c:scaling>
        <c:delete val="0"/>
        <c:axPos val="b"/>
        <c:numFmt formatCode="General" sourceLinked="0"/>
        <c:majorTickMark val="none"/>
        <c:minorTickMark val="none"/>
        <c:tickLblPos val="nextTo"/>
        <c:crossAx val="452268416"/>
        <c:crosses val="autoZero"/>
        <c:auto val="1"/>
        <c:lblAlgn val="ctr"/>
        <c:lblOffset val="100"/>
        <c:noMultiLvlLbl val="0"/>
      </c:catAx>
      <c:valAx>
        <c:axId val="452268416"/>
        <c:scaling>
          <c:orientation val="minMax"/>
        </c:scaling>
        <c:delete val="0"/>
        <c:axPos val="l"/>
        <c:numFmt formatCode="General" sourceLinked="1"/>
        <c:majorTickMark val="out"/>
        <c:minorTickMark val="none"/>
        <c:tickLblPos val="nextTo"/>
        <c:crossAx val="440874496"/>
        <c:crosses val="autoZero"/>
        <c:crossBetween val="between"/>
      </c:valAx>
    </c:plotArea>
    <c:plotVisOnly val="1"/>
    <c:dispBlanksAs val="gap"/>
    <c:showDLblsOverMax val="0"/>
  </c:chart>
  <c:txPr>
    <a:bodyPr/>
    <a:lstStyle/>
    <a:p>
      <a:pPr>
        <a:defRPr>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AA8CDE-2FF6-41F9-985D-A693E135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3407</Words>
  <Characters>18092</Characters>
  <Application>Microsoft Office Word</Application>
  <DocSecurity>0</DocSecurity>
  <Lines>301</Lines>
  <Paragraphs>56</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Meirav</cp:lastModifiedBy>
  <cp:revision>2</cp:revision>
  <dcterms:created xsi:type="dcterms:W3CDTF">2018-07-29T15:29:00Z</dcterms:created>
  <dcterms:modified xsi:type="dcterms:W3CDTF">2018-07-29T15:29:00Z</dcterms:modified>
</cp:coreProperties>
</file>