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8D" w:rsidRDefault="0099078D" w:rsidP="0099078D">
      <w:pPr>
        <w:jc w:val="right"/>
        <w:rPr>
          <w:rFonts w:cs="Arial"/>
          <w:b/>
          <w:bCs/>
          <w:u w:val="single"/>
          <w:rtl/>
        </w:rPr>
      </w:pPr>
      <w:r>
        <w:rPr>
          <w:rFonts w:cs="Arial" w:hint="cs"/>
          <w:b/>
          <w:bCs/>
          <w:u w:val="single"/>
          <w:rtl/>
        </w:rPr>
        <w:t>22/10/2022</w:t>
      </w:r>
    </w:p>
    <w:p w:rsidR="0099078D" w:rsidRDefault="0099078D" w:rsidP="004271C9">
      <w:pPr>
        <w:jc w:val="center"/>
        <w:rPr>
          <w:rFonts w:cs="Arial"/>
          <w:b/>
          <w:bCs/>
          <w:u w:val="single"/>
          <w:rtl/>
        </w:rPr>
      </w:pPr>
      <w:r>
        <w:rPr>
          <w:rFonts w:cs="Arial" w:hint="cs"/>
          <w:b/>
          <w:bCs/>
          <w:u w:val="single"/>
          <w:rtl/>
        </w:rPr>
        <w:t>פנימי לדיון</w:t>
      </w:r>
    </w:p>
    <w:p w:rsidR="004271C9" w:rsidRPr="0099078D" w:rsidRDefault="004271C9" w:rsidP="004271C9">
      <w:pPr>
        <w:jc w:val="center"/>
        <w:rPr>
          <w:rFonts w:cs="Arial"/>
          <w:b/>
          <w:bCs/>
          <w:sz w:val="28"/>
          <w:szCs w:val="28"/>
          <w:u w:val="single"/>
          <w:rtl/>
        </w:rPr>
      </w:pPr>
      <w:r w:rsidRPr="0099078D">
        <w:rPr>
          <w:rFonts w:cs="Arial" w:hint="cs"/>
          <w:b/>
          <w:bCs/>
          <w:sz w:val="28"/>
          <w:szCs w:val="28"/>
          <w:highlight w:val="yellow"/>
          <w:u w:val="single"/>
          <w:rtl/>
        </w:rPr>
        <w:t xml:space="preserve">קרן מו"פ </w:t>
      </w:r>
      <w:r w:rsidRPr="0099078D">
        <w:rPr>
          <w:rFonts w:cs="Arial"/>
          <w:b/>
          <w:bCs/>
          <w:sz w:val="28"/>
          <w:szCs w:val="28"/>
          <w:highlight w:val="yellow"/>
          <w:u w:val="single"/>
        </w:rPr>
        <w:t xml:space="preserve">ISRAEL </w:t>
      </w:r>
      <w:r w:rsidR="009625E6" w:rsidRPr="0099078D">
        <w:rPr>
          <w:rFonts w:cs="Arial"/>
          <w:b/>
          <w:bCs/>
          <w:sz w:val="28"/>
          <w:szCs w:val="28"/>
          <w:highlight w:val="yellow"/>
          <w:u w:val="single"/>
        </w:rPr>
        <w:t>–</w:t>
      </w:r>
      <w:r w:rsidRPr="0099078D">
        <w:rPr>
          <w:rFonts w:cs="Arial"/>
          <w:b/>
          <w:bCs/>
          <w:sz w:val="28"/>
          <w:szCs w:val="28"/>
          <w:highlight w:val="yellow"/>
          <w:u w:val="single"/>
        </w:rPr>
        <w:t xml:space="preserve"> UAE</w:t>
      </w:r>
      <w:r w:rsidR="009625E6" w:rsidRPr="0099078D">
        <w:rPr>
          <w:rFonts w:cs="Arial" w:hint="cs"/>
          <w:b/>
          <w:bCs/>
          <w:sz w:val="28"/>
          <w:szCs w:val="28"/>
          <w:highlight w:val="yellow"/>
          <w:u w:val="single"/>
          <w:rtl/>
        </w:rPr>
        <w:t xml:space="preserve"> ברוח התקופה</w:t>
      </w:r>
    </w:p>
    <w:p w:rsidR="004271C9" w:rsidRPr="00231508" w:rsidRDefault="004271C9" w:rsidP="004271C9">
      <w:pPr>
        <w:rPr>
          <w:rFonts w:cs="Arial" w:hint="cs"/>
          <w:b/>
          <w:bCs/>
          <w:sz w:val="28"/>
          <w:szCs w:val="28"/>
          <w:u w:val="single"/>
          <w:rtl/>
        </w:rPr>
      </w:pPr>
      <w:r w:rsidRPr="00231508">
        <w:rPr>
          <w:rFonts w:cs="Arial" w:hint="cs"/>
          <w:b/>
          <w:bCs/>
          <w:sz w:val="28"/>
          <w:szCs w:val="28"/>
          <w:u w:val="single"/>
          <w:rtl/>
        </w:rPr>
        <w:t>כללי:</w:t>
      </w:r>
    </w:p>
    <w:p w:rsidR="004271C9" w:rsidRDefault="004271C9" w:rsidP="004271C9">
      <w:pPr>
        <w:rPr>
          <w:rFonts w:cs="Arial"/>
          <w:rtl/>
        </w:rPr>
      </w:pPr>
      <w:r w:rsidRPr="004A5B3D">
        <w:rPr>
          <w:rFonts w:cs="Arial" w:hint="cs"/>
          <w:rtl/>
        </w:rPr>
        <w:t>מדינת ישראל מפעילה כיום ארבע קרנות מו"פ דו לאומיות.</w:t>
      </w:r>
      <w:r w:rsidR="006233E0">
        <w:rPr>
          <w:rFonts w:cs="Arial" w:hint="cs"/>
          <w:rtl/>
        </w:rPr>
        <w:t xml:space="preserve"> (עם ארה"ב, סינגפור, דרום קוריאה וקנדה)</w:t>
      </w:r>
    </w:p>
    <w:p w:rsidR="004A5B3D" w:rsidRDefault="004A5B3D" w:rsidP="004271C9">
      <w:pPr>
        <w:rPr>
          <w:rFonts w:cs="Arial" w:hint="cs"/>
          <w:rtl/>
        </w:rPr>
      </w:pPr>
      <w:r>
        <w:rPr>
          <w:rFonts w:cs="Arial" w:hint="cs"/>
          <w:rtl/>
        </w:rPr>
        <w:t>המסלולים מאפשרים לחברות ישראליות וחברות מהמדינה השותפה לקרן, לפתח ביחד מוצר חדשני ולשתף פעולה בתחומי המחקר, הפיתוח, הפיתוח העסקי והמכירות.</w:t>
      </w:r>
    </w:p>
    <w:p w:rsidR="004A5B3D" w:rsidRDefault="004A5B3D" w:rsidP="004A5B3D">
      <w:pPr>
        <w:rPr>
          <w:rFonts w:cs="Arial"/>
          <w:rtl/>
        </w:rPr>
      </w:pPr>
      <w:r>
        <w:rPr>
          <w:rFonts w:cs="Arial" w:hint="cs"/>
          <w:rtl/>
        </w:rPr>
        <w:t>הקמת קרן דו לאומית עם איחוד האמירויות, תעודד חברות ישראליות ואמירתיות לפעול לאיתור שותפים (כל אחת במדינה השנייה), להגיש בקשת מימון משותפת ולעבוד יחד משלב המו"פ ועד לשלב המכירות.</w:t>
      </w:r>
    </w:p>
    <w:p w:rsidR="004A5B3D" w:rsidRDefault="004A5B3D" w:rsidP="004A5B3D">
      <w:pPr>
        <w:rPr>
          <w:rFonts w:cs="Arial"/>
          <w:rtl/>
        </w:rPr>
      </w:pPr>
      <w:r>
        <w:rPr>
          <w:rFonts w:cs="Arial" w:hint="cs"/>
          <w:rtl/>
        </w:rPr>
        <w:t xml:space="preserve">לשתי המדינות יש עניין רב בשותפויות מסוג זה </w:t>
      </w:r>
      <w:r w:rsidR="00870DFA">
        <w:rPr>
          <w:rFonts w:cs="Arial" w:hint="cs"/>
          <w:rtl/>
        </w:rPr>
        <w:t>אשר יכולות להיות ממוקדות בתחומי עניין אשר לשתי המדינות יש רצון לקדמם ולשתף בהם פעולה, כגון:</w:t>
      </w:r>
    </w:p>
    <w:p w:rsidR="00870DFA" w:rsidRDefault="00870DFA" w:rsidP="00870DFA">
      <w:pPr>
        <w:pStyle w:val="ListParagraph"/>
        <w:numPr>
          <w:ilvl w:val="0"/>
          <w:numId w:val="14"/>
        </w:numPr>
        <w:rPr>
          <w:rFonts w:cs="Arial"/>
        </w:rPr>
      </w:pPr>
      <w:r>
        <w:rPr>
          <w:rFonts w:cs="Arial"/>
        </w:rPr>
        <w:t xml:space="preserve">Food Security </w:t>
      </w:r>
    </w:p>
    <w:p w:rsidR="00870DFA" w:rsidRDefault="00870DFA" w:rsidP="00870DFA">
      <w:pPr>
        <w:pStyle w:val="ListParagraph"/>
        <w:numPr>
          <w:ilvl w:val="0"/>
          <w:numId w:val="14"/>
        </w:numPr>
        <w:rPr>
          <w:rFonts w:cs="Arial"/>
        </w:rPr>
      </w:pPr>
      <w:r>
        <w:rPr>
          <w:rFonts w:cs="Arial"/>
        </w:rPr>
        <w:t xml:space="preserve">Agro Technology </w:t>
      </w:r>
    </w:p>
    <w:p w:rsidR="00870DFA" w:rsidRDefault="00870DFA" w:rsidP="00870DFA">
      <w:pPr>
        <w:pStyle w:val="ListParagraph"/>
        <w:numPr>
          <w:ilvl w:val="0"/>
          <w:numId w:val="14"/>
        </w:numPr>
        <w:rPr>
          <w:rFonts w:cs="Arial" w:hint="cs"/>
        </w:rPr>
      </w:pPr>
      <w:r>
        <w:rPr>
          <w:rFonts w:cs="Arial" w:hint="cs"/>
          <w:rtl/>
        </w:rPr>
        <w:t>הגנת הסביבה</w:t>
      </w:r>
    </w:p>
    <w:p w:rsidR="00870DFA" w:rsidRDefault="00870DFA" w:rsidP="00870DFA">
      <w:pPr>
        <w:pStyle w:val="ListParagraph"/>
        <w:numPr>
          <w:ilvl w:val="0"/>
          <w:numId w:val="14"/>
        </w:numPr>
        <w:rPr>
          <w:rFonts w:cs="Arial"/>
        </w:rPr>
      </w:pPr>
      <w:r>
        <w:rPr>
          <w:rFonts w:cs="Arial"/>
        </w:rPr>
        <w:t xml:space="preserve">Cyber </w:t>
      </w:r>
    </w:p>
    <w:p w:rsidR="00870DFA" w:rsidRDefault="00870DFA" w:rsidP="00870DFA">
      <w:pPr>
        <w:pStyle w:val="ListParagraph"/>
        <w:numPr>
          <w:ilvl w:val="0"/>
          <w:numId w:val="14"/>
        </w:numPr>
        <w:rPr>
          <w:rFonts w:cs="Arial"/>
        </w:rPr>
      </w:pPr>
      <w:r>
        <w:rPr>
          <w:rFonts w:cs="Arial"/>
        </w:rPr>
        <w:t xml:space="preserve">FinTech </w:t>
      </w:r>
    </w:p>
    <w:p w:rsidR="00870DFA" w:rsidRDefault="00870DFA" w:rsidP="00793B2C">
      <w:pPr>
        <w:pStyle w:val="ListParagraph"/>
        <w:numPr>
          <w:ilvl w:val="0"/>
          <w:numId w:val="14"/>
        </w:numPr>
        <w:rPr>
          <w:rFonts w:cs="Arial"/>
        </w:rPr>
      </w:pPr>
      <w:r>
        <w:rPr>
          <w:rFonts w:cs="Arial" w:hint="cs"/>
          <w:rtl/>
        </w:rPr>
        <w:t xml:space="preserve">התמודדות עם תופעת המדבור </w:t>
      </w:r>
    </w:p>
    <w:p w:rsidR="006233E0" w:rsidRPr="006233E0" w:rsidRDefault="006233E0" w:rsidP="006233E0">
      <w:pPr>
        <w:rPr>
          <w:rFonts w:cs="Arial"/>
          <w:rtl/>
        </w:rPr>
      </w:pPr>
      <w:r>
        <w:rPr>
          <w:rFonts w:cs="Arial" w:hint="cs"/>
          <w:rtl/>
        </w:rPr>
        <w:t>אפשר להחליט על תחומים בהם תתמקד הקרן ולבחון אותם אחת לשנה כדי להתאימם לצרכים.</w:t>
      </w:r>
    </w:p>
    <w:p w:rsidR="00231508" w:rsidRDefault="00231508" w:rsidP="004271C9">
      <w:pPr>
        <w:rPr>
          <w:rFonts w:cs="Arial"/>
          <w:b/>
          <w:bCs/>
          <w:sz w:val="28"/>
          <w:szCs w:val="28"/>
          <w:u w:val="single"/>
          <w:rtl/>
        </w:rPr>
      </w:pPr>
    </w:p>
    <w:p w:rsidR="00793B2C" w:rsidRPr="00231508" w:rsidRDefault="00231508" w:rsidP="004271C9">
      <w:pPr>
        <w:rPr>
          <w:rFonts w:cs="Arial" w:hint="cs"/>
          <w:b/>
          <w:bCs/>
          <w:sz w:val="28"/>
          <w:szCs w:val="28"/>
          <w:u w:val="single"/>
          <w:rtl/>
        </w:rPr>
      </w:pPr>
      <w:r w:rsidRPr="00231508">
        <w:rPr>
          <w:rFonts w:cs="Arial" w:hint="cs"/>
          <w:b/>
          <w:bCs/>
          <w:sz w:val="28"/>
          <w:szCs w:val="28"/>
          <w:u w:val="single"/>
          <w:rtl/>
        </w:rPr>
        <w:t>ישראל ומסלולי הקרנות הדו לאומיות כיום: (*מאתר הרשות לחדשנות)</w:t>
      </w:r>
    </w:p>
    <w:p w:rsidR="00231508" w:rsidRDefault="00231508" w:rsidP="004271C9">
      <w:pPr>
        <w:rPr>
          <w:rFonts w:cs="Arial"/>
          <w:rtl/>
        </w:rPr>
      </w:pPr>
    </w:p>
    <w:p w:rsidR="004271C9" w:rsidRPr="004271C9" w:rsidRDefault="00793B2C" w:rsidP="004271C9">
      <w:pPr>
        <w:rPr>
          <w:rFonts w:ascii="oe_doo_pro" w:eastAsia="Times New Roman" w:hAnsi="oe_doo_pro" w:cs="Times New Roman"/>
          <w:sz w:val="24"/>
          <w:szCs w:val="24"/>
        </w:rPr>
      </w:pPr>
      <w:r>
        <w:rPr>
          <w:rFonts w:cs="Arial" w:hint="cs"/>
          <w:rtl/>
        </w:rPr>
        <w:t xml:space="preserve">כיום, </w:t>
      </w:r>
      <w:r w:rsidR="004271C9" w:rsidRPr="004A5B3D">
        <w:rPr>
          <w:rFonts w:cs="Arial" w:hint="cs"/>
          <w:rtl/>
        </w:rPr>
        <w:t xml:space="preserve">המסלולים מופעלים ע"י הרשות לחדשנות במשרד המדע ומספקים </w:t>
      </w:r>
      <w:r w:rsidR="004271C9" w:rsidRPr="004271C9">
        <w:rPr>
          <w:rFonts w:ascii="oe_doo_pro" w:eastAsia="Times New Roman" w:hAnsi="oe_doo_pro" w:cs="Times New Roman"/>
          <w:sz w:val="24"/>
          <w:szCs w:val="24"/>
          <w:rtl/>
        </w:rPr>
        <w:t>תמיכה לחברות ישראליות אשר עובדות עם חברות זרות בארה"ב, הודו, סינגפור וקוריאה על פרויקטי מו"פ של מוצרים טכנולוגיים חדשים או בשדרוג מהותי של טכנולוגיה קיימת. המסלול מעניק תמריץ כספי במימון הקרנות הדו-לאומיות המאפשר לפזר את הסיכון הקיים במימון הפרויקט. בנוסף, המסלול מציע גם סיוע בחיפוש שותפים טכנולוגיים זרים</w:t>
      </w:r>
      <w:r w:rsidR="004271C9" w:rsidRPr="004271C9">
        <w:rPr>
          <w:rFonts w:ascii="oe_doo_pro" w:eastAsia="Times New Roman" w:hAnsi="oe_doo_pro" w:cs="Times New Roman"/>
          <w:sz w:val="24"/>
          <w:szCs w:val="24"/>
        </w:rPr>
        <w:t>.</w:t>
      </w:r>
    </w:p>
    <w:p w:rsidR="004271C9" w:rsidRPr="004271C9" w:rsidRDefault="004271C9" w:rsidP="004271C9">
      <w:pPr>
        <w:shd w:val="clear" w:color="auto" w:fill="FFFFFF"/>
        <w:spacing w:before="300" w:after="150" w:line="240" w:lineRule="auto"/>
        <w:outlineLvl w:val="2"/>
        <w:rPr>
          <w:rFonts w:ascii="inherit" w:eastAsia="Times New Roman" w:hAnsi="inherit" w:cs="Times New Roman"/>
          <w:sz w:val="36"/>
          <w:szCs w:val="36"/>
          <w:rtl/>
        </w:rPr>
      </w:pPr>
      <w:r w:rsidRPr="004271C9">
        <w:rPr>
          <w:rFonts w:ascii="inherit" w:eastAsia="Times New Roman" w:hAnsi="inherit" w:cs="Times New Roman"/>
          <w:sz w:val="27"/>
          <w:szCs w:val="27"/>
          <w:rtl/>
        </w:rPr>
        <w:t>קיימות ארבע קרנות דו-לאומיות:</w:t>
      </w:r>
    </w:p>
    <w:p w:rsidR="004271C9" w:rsidRPr="004271C9" w:rsidRDefault="004271C9" w:rsidP="004271C9">
      <w:pPr>
        <w:shd w:val="clear" w:color="auto" w:fill="FFFFFF"/>
        <w:spacing w:after="150" w:line="240" w:lineRule="auto"/>
        <w:rPr>
          <w:rFonts w:ascii="oe_doo_pro" w:eastAsia="Times New Roman" w:hAnsi="oe_doo_pro" w:cs="Times New Roman"/>
          <w:sz w:val="24"/>
          <w:szCs w:val="24"/>
          <w:rtl/>
        </w:rPr>
      </w:pPr>
      <w:hyperlink r:id="rId7" w:tgtFrame="_blank" w:history="1">
        <w:r w:rsidRPr="004271C9">
          <w:rPr>
            <w:rFonts w:ascii="oe_doo_pro" w:eastAsia="Times New Roman" w:hAnsi="oe_doo_pro" w:cs="Times New Roman"/>
            <w:sz w:val="24"/>
            <w:szCs w:val="24"/>
            <w:u w:val="single"/>
            <w:rtl/>
          </w:rPr>
          <w:t>קרן ישראל-ארה"ב (</w:t>
        </w:r>
        <w:r w:rsidRPr="004271C9">
          <w:rPr>
            <w:rFonts w:ascii="oe_doo_pro" w:eastAsia="Times New Roman" w:hAnsi="oe_doo_pro" w:cs="Times New Roman"/>
            <w:sz w:val="24"/>
            <w:szCs w:val="24"/>
            <w:u w:val="single"/>
          </w:rPr>
          <w:t>BIRD</w:t>
        </w:r>
        <w:r w:rsidRPr="004271C9">
          <w:rPr>
            <w:rFonts w:ascii="oe_doo_pro" w:eastAsia="Times New Roman" w:hAnsi="oe_doo_pro" w:cs="Times New Roman"/>
            <w:sz w:val="24"/>
            <w:szCs w:val="24"/>
            <w:u w:val="single"/>
            <w:rtl/>
          </w:rPr>
          <w:t>)</w:t>
        </w:r>
      </w:hyperlink>
    </w:p>
    <w:p w:rsidR="004271C9" w:rsidRPr="004271C9" w:rsidRDefault="004271C9" w:rsidP="004271C9">
      <w:pPr>
        <w:shd w:val="clear" w:color="auto" w:fill="FFFFFF"/>
        <w:spacing w:after="150" w:line="240" w:lineRule="auto"/>
        <w:rPr>
          <w:rFonts w:ascii="oe_doo_pro" w:eastAsia="Times New Roman" w:hAnsi="oe_doo_pro" w:cs="Times New Roman"/>
          <w:sz w:val="24"/>
          <w:szCs w:val="24"/>
          <w:rtl/>
        </w:rPr>
      </w:pPr>
      <w:hyperlink r:id="rId8" w:tgtFrame="_blank" w:history="1">
        <w:r w:rsidRPr="004271C9">
          <w:rPr>
            <w:rFonts w:ascii="oe_doo_pro" w:eastAsia="Times New Roman" w:hAnsi="oe_doo_pro" w:cs="Times New Roman"/>
            <w:sz w:val="24"/>
            <w:szCs w:val="24"/>
            <w:u w:val="single"/>
            <w:rtl/>
          </w:rPr>
          <w:t>קרן ישראל - הודו (</w:t>
        </w:r>
        <w:r w:rsidRPr="004271C9">
          <w:rPr>
            <w:rFonts w:ascii="oe_doo_pro" w:eastAsia="Times New Roman" w:hAnsi="oe_doo_pro" w:cs="Times New Roman"/>
            <w:sz w:val="24"/>
            <w:szCs w:val="24"/>
            <w:u w:val="single"/>
          </w:rPr>
          <w:t>I4F</w:t>
        </w:r>
        <w:r w:rsidRPr="004271C9">
          <w:rPr>
            <w:rFonts w:ascii="oe_doo_pro" w:eastAsia="Times New Roman" w:hAnsi="oe_doo_pro" w:cs="Times New Roman"/>
            <w:sz w:val="24"/>
            <w:szCs w:val="24"/>
            <w:u w:val="single"/>
            <w:rtl/>
          </w:rPr>
          <w:t>)</w:t>
        </w:r>
      </w:hyperlink>
    </w:p>
    <w:p w:rsidR="004271C9" w:rsidRPr="004271C9" w:rsidRDefault="004271C9" w:rsidP="004271C9">
      <w:pPr>
        <w:shd w:val="clear" w:color="auto" w:fill="FFFFFF"/>
        <w:spacing w:after="150" w:line="240" w:lineRule="auto"/>
        <w:rPr>
          <w:rFonts w:ascii="oe_doo_pro" w:eastAsia="Times New Roman" w:hAnsi="oe_doo_pro" w:cs="Times New Roman"/>
          <w:sz w:val="24"/>
          <w:szCs w:val="24"/>
          <w:rtl/>
        </w:rPr>
      </w:pPr>
      <w:hyperlink r:id="rId9" w:tgtFrame="_blank" w:history="1">
        <w:r w:rsidRPr="004271C9">
          <w:rPr>
            <w:rFonts w:ascii="oe_doo_pro" w:eastAsia="Times New Roman" w:hAnsi="oe_doo_pro" w:cs="Times New Roman"/>
            <w:sz w:val="24"/>
            <w:szCs w:val="24"/>
            <w:u w:val="single"/>
            <w:rtl/>
          </w:rPr>
          <w:t>קרן ישראל-סינגפור (</w:t>
        </w:r>
        <w:r w:rsidRPr="004271C9">
          <w:rPr>
            <w:rFonts w:ascii="oe_doo_pro" w:eastAsia="Times New Roman" w:hAnsi="oe_doo_pro" w:cs="Times New Roman"/>
            <w:sz w:val="24"/>
            <w:szCs w:val="24"/>
            <w:u w:val="single"/>
          </w:rPr>
          <w:t>SIIRD</w:t>
        </w:r>
        <w:r w:rsidRPr="004271C9">
          <w:rPr>
            <w:rFonts w:ascii="oe_doo_pro" w:eastAsia="Times New Roman" w:hAnsi="oe_doo_pro" w:cs="Times New Roman"/>
            <w:sz w:val="24"/>
            <w:szCs w:val="24"/>
            <w:u w:val="single"/>
            <w:rtl/>
          </w:rPr>
          <w:t>)</w:t>
        </w:r>
      </w:hyperlink>
    </w:p>
    <w:p w:rsidR="004271C9" w:rsidRPr="004271C9" w:rsidRDefault="004271C9" w:rsidP="004271C9">
      <w:pPr>
        <w:shd w:val="clear" w:color="auto" w:fill="FFFFFF"/>
        <w:spacing w:after="150" w:line="240" w:lineRule="auto"/>
        <w:rPr>
          <w:rFonts w:ascii="oe_doo_pro" w:eastAsia="Times New Roman" w:hAnsi="oe_doo_pro" w:cs="Times New Roman"/>
          <w:sz w:val="24"/>
          <w:szCs w:val="24"/>
          <w:rtl/>
        </w:rPr>
      </w:pPr>
      <w:hyperlink r:id="rId10" w:tgtFrame="_blank" w:history="1">
        <w:r w:rsidRPr="004271C9">
          <w:rPr>
            <w:rFonts w:ascii="oe_doo_pro" w:eastAsia="Times New Roman" w:hAnsi="oe_doo_pro" w:cs="Times New Roman"/>
            <w:sz w:val="24"/>
            <w:szCs w:val="24"/>
            <w:u w:val="single"/>
            <w:rtl/>
          </w:rPr>
          <w:t>קרן ישראל-קוריאה (</w:t>
        </w:r>
        <w:r w:rsidRPr="004271C9">
          <w:rPr>
            <w:rFonts w:ascii="oe_doo_pro" w:eastAsia="Times New Roman" w:hAnsi="oe_doo_pro" w:cs="Times New Roman"/>
            <w:sz w:val="24"/>
            <w:szCs w:val="24"/>
            <w:u w:val="single"/>
          </w:rPr>
          <w:t>KORIL</w:t>
        </w:r>
        <w:r w:rsidRPr="004271C9">
          <w:rPr>
            <w:rFonts w:ascii="oe_doo_pro" w:eastAsia="Times New Roman" w:hAnsi="oe_doo_pro" w:cs="Times New Roman"/>
            <w:sz w:val="24"/>
            <w:szCs w:val="24"/>
            <w:u w:val="single"/>
            <w:rtl/>
          </w:rPr>
          <w:t>)</w:t>
        </w:r>
      </w:hyperlink>
    </w:p>
    <w:p w:rsidR="004271C9" w:rsidRPr="004A5B3D" w:rsidRDefault="004271C9" w:rsidP="004271C9">
      <w:pPr>
        <w:shd w:val="clear" w:color="auto" w:fill="FFFFFF"/>
        <w:bidi w:val="0"/>
        <w:spacing w:after="0" w:line="240" w:lineRule="auto"/>
        <w:jc w:val="right"/>
        <w:rPr>
          <w:rFonts w:ascii="inherit" w:eastAsia="Times New Roman" w:hAnsi="inherit" w:cs="Times New Roman"/>
          <w:b/>
          <w:bCs/>
          <w:sz w:val="33"/>
          <w:szCs w:val="33"/>
          <w:rtl/>
        </w:rPr>
      </w:pPr>
      <w:r w:rsidRPr="004271C9">
        <w:rPr>
          <w:rFonts w:ascii="oe_doo_pro" w:eastAsia="Times New Roman" w:hAnsi="oe_doo_pro" w:cs="Times New Roman"/>
          <w:sz w:val="24"/>
          <w:szCs w:val="24"/>
          <w:rtl/>
        </w:rPr>
        <w:t> </w:t>
      </w:r>
    </w:p>
    <w:p w:rsidR="004271C9" w:rsidRPr="004271C9" w:rsidRDefault="004271C9" w:rsidP="004A5B3D">
      <w:pPr>
        <w:shd w:val="clear" w:color="auto" w:fill="FFFFFF"/>
        <w:bidi w:val="0"/>
        <w:spacing w:after="0" w:line="240" w:lineRule="auto"/>
        <w:jc w:val="right"/>
        <w:rPr>
          <w:rFonts w:ascii="inherit" w:eastAsia="Times New Roman" w:hAnsi="inherit" w:cs="Times New Roman" w:hint="cs"/>
          <w:b/>
          <w:bCs/>
          <w:sz w:val="33"/>
          <w:szCs w:val="33"/>
        </w:rPr>
      </w:pPr>
      <w:r w:rsidRPr="004271C9">
        <w:rPr>
          <w:rFonts w:ascii="oe_doo_pro" w:eastAsia="Times New Roman" w:hAnsi="oe_doo_pro" w:cs="Times New Roman"/>
          <w:sz w:val="24"/>
          <w:szCs w:val="24"/>
          <w:rtl/>
        </w:rPr>
        <w:t>המסלול מעודד שיתופי פעולה בינלאומיים לפיתוח ויישום טכנולוגיות חדשניות בכל התחומים ובחינת היתכנותן במטרה לעזור לחברות ישראליות לצמוח באמצעות יצירת קשרים אסטרטגיים בינלאומיים, למוצריהן בשווקים בינלאומיים</w:t>
      </w:r>
      <w:r w:rsidR="004A5B3D" w:rsidRPr="004A5B3D">
        <w:rPr>
          <w:rFonts w:ascii="oe_doo_pro" w:eastAsia="Times New Roman" w:hAnsi="oe_doo_pro" w:cs="Times New Roman" w:hint="cs"/>
          <w:sz w:val="24"/>
          <w:szCs w:val="24"/>
          <w:rtl/>
        </w:rPr>
        <w:t xml:space="preserve">. </w:t>
      </w:r>
      <w:r w:rsidRPr="004271C9">
        <w:rPr>
          <w:rFonts w:ascii="oe_doo_pro" w:eastAsia="Times New Roman" w:hAnsi="oe_doo_pro" w:cs="Times New Roman"/>
          <w:sz w:val="24"/>
          <w:szCs w:val="24"/>
          <w:rtl/>
        </w:rPr>
        <w:t xml:space="preserve">המסלול ככלל פונה לחברות ישראליות טכנולוגיות בכל ענפי התעשייה </w:t>
      </w:r>
      <w:r w:rsidRPr="004271C9">
        <w:rPr>
          <w:rFonts w:ascii="oe_doo_pro" w:eastAsia="Times New Roman" w:hAnsi="oe_doo_pro" w:cs="Times New Roman"/>
          <w:sz w:val="24"/>
          <w:szCs w:val="24"/>
          <w:rtl/>
        </w:rPr>
        <w:lastRenderedPageBreak/>
        <w:t>המעוניינות לפתח או לשדרג מהותית מוצרים וטכנולוגיות עם שותף בינלאומי בארה"ב, הודו, סינגפור וקוריאה. עם זאת לעתים ישנם קולות קוראים שנותנים עדיפות לתחומים טכנולוגיים מסוימים</w:t>
      </w:r>
      <w:r w:rsidR="004A5B3D" w:rsidRPr="004A5B3D">
        <w:rPr>
          <w:rFonts w:ascii="oe_doo_pro" w:eastAsia="Times New Roman" w:hAnsi="oe_doo_pro" w:cs="Times New Roman" w:hint="cs"/>
          <w:sz w:val="24"/>
          <w:szCs w:val="24"/>
          <w:rtl/>
        </w:rPr>
        <w:t>.</w:t>
      </w:r>
    </w:p>
    <w:p w:rsidR="00231508" w:rsidRDefault="00231508" w:rsidP="004A5B3D">
      <w:pPr>
        <w:shd w:val="clear" w:color="auto" w:fill="FFFFFF"/>
        <w:spacing w:before="675" w:after="150" w:line="240" w:lineRule="auto"/>
        <w:outlineLvl w:val="1"/>
        <w:rPr>
          <w:rFonts w:ascii="inherit" w:eastAsia="Times New Roman" w:hAnsi="inherit" w:cs="Times New Roman"/>
          <w:b/>
          <w:bCs/>
          <w:sz w:val="33"/>
          <w:szCs w:val="33"/>
          <w:rtl/>
        </w:rPr>
      </w:pPr>
    </w:p>
    <w:p w:rsidR="004271C9" w:rsidRPr="004271C9" w:rsidRDefault="004271C9" w:rsidP="004A5B3D">
      <w:pPr>
        <w:shd w:val="clear" w:color="auto" w:fill="FFFFFF"/>
        <w:spacing w:before="675" w:after="150" w:line="240" w:lineRule="auto"/>
        <w:outlineLvl w:val="1"/>
        <w:rPr>
          <w:rFonts w:ascii="inherit" w:eastAsia="Times New Roman" w:hAnsi="inherit" w:cs="Times New Roman"/>
          <w:b/>
          <w:bCs/>
          <w:sz w:val="24"/>
          <w:szCs w:val="24"/>
          <w:u w:val="single"/>
        </w:rPr>
      </w:pPr>
      <w:r w:rsidRPr="004271C9">
        <w:rPr>
          <w:rFonts w:ascii="inherit" w:eastAsia="Times New Roman" w:hAnsi="inherit" w:cs="Times New Roman"/>
          <w:b/>
          <w:bCs/>
          <w:sz w:val="24"/>
          <w:szCs w:val="24"/>
          <w:u w:val="single"/>
          <w:rtl/>
        </w:rPr>
        <w:t>מה מקבלים</w:t>
      </w:r>
      <w:r w:rsidRPr="004271C9">
        <w:rPr>
          <w:rFonts w:ascii="inherit" w:eastAsia="Times New Roman" w:hAnsi="inherit" w:cs="Times New Roman"/>
          <w:b/>
          <w:bCs/>
          <w:sz w:val="24"/>
          <w:szCs w:val="24"/>
          <w:u w:val="single"/>
        </w:rPr>
        <w:t>? </w:t>
      </w:r>
    </w:p>
    <w:p w:rsidR="004271C9" w:rsidRPr="004271C9" w:rsidRDefault="004271C9" w:rsidP="004A5B3D">
      <w:pPr>
        <w:numPr>
          <w:ilvl w:val="0"/>
          <w:numId w:val="1"/>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תמיכה כספית בשיעור של עד 50% מהוצאות המו"פ המאושרות.</w:t>
      </w:r>
    </w:p>
    <w:p w:rsidR="004271C9" w:rsidRPr="004271C9" w:rsidRDefault="004271C9" w:rsidP="004A5B3D">
      <w:pPr>
        <w:numPr>
          <w:ilvl w:val="0"/>
          <w:numId w:val="1"/>
        </w:numPr>
        <w:shd w:val="clear" w:color="auto" w:fill="FFFFFF"/>
        <w:spacing w:before="100" w:beforeAutospacing="1" w:after="100" w:afterAutospacing="1" w:line="240" w:lineRule="auto"/>
        <w:rPr>
          <w:rFonts w:ascii="oe_doo_pro" w:eastAsia="Times New Roman" w:hAnsi="oe_doo_pro" w:cs="Times New Roman"/>
          <w:sz w:val="24"/>
          <w:szCs w:val="24"/>
          <w:rtl/>
        </w:rPr>
      </w:pPr>
      <w:r w:rsidRPr="004271C9">
        <w:rPr>
          <w:rFonts w:ascii="oe_doo_pro" w:eastAsia="Times New Roman" w:hAnsi="oe_doo_pro" w:cs="Times New Roman"/>
          <w:sz w:val="24"/>
          <w:szCs w:val="24"/>
          <w:rtl/>
        </w:rPr>
        <w:t>​​סיוע במציאת שותף זר</w:t>
      </w:r>
      <w:r w:rsidRPr="004271C9">
        <w:rPr>
          <w:rFonts w:ascii="oe_doo_pro" w:eastAsia="Times New Roman" w:hAnsi="oe_doo_pro" w:cs="Times New Roman"/>
          <w:sz w:val="24"/>
          <w:szCs w:val="24"/>
        </w:rPr>
        <w:t>.</w:t>
      </w:r>
    </w:p>
    <w:p w:rsidR="004271C9" w:rsidRPr="004271C9" w:rsidRDefault="004271C9" w:rsidP="004A5B3D">
      <w:pPr>
        <w:shd w:val="clear" w:color="auto" w:fill="FFFFFF"/>
        <w:bidi w:val="0"/>
        <w:spacing w:after="0" w:line="240" w:lineRule="auto"/>
        <w:jc w:val="right"/>
        <w:rPr>
          <w:rFonts w:ascii="oe_doo_pro" w:eastAsia="Times New Roman" w:hAnsi="oe_doo_pro" w:cs="Times New Roman"/>
          <w:sz w:val="24"/>
          <w:szCs w:val="24"/>
        </w:rPr>
      </w:pPr>
      <w:r w:rsidRPr="004271C9">
        <w:rPr>
          <w:rFonts w:ascii="oe_doo_pro" w:eastAsia="Times New Roman" w:hAnsi="oe_doo_pro" w:cs="Times New Roman"/>
          <w:sz w:val="24"/>
          <w:szCs w:val="24"/>
          <w:rtl/>
        </w:rPr>
        <w:t> </w:t>
      </w:r>
      <w:r w:rsidRPr="004271C9">
        <w:rPr>
          <w:rFonts w:ascii="oe_doo_pro" w:eastAsia="Times New Roman" w:hAnsi="oe_doo_pro" w:cs="Times New Roman"/>
          <w:sz w:val="24"/>
          <w:szCs w:val="24"/>
        </w:rPr>
        <w:t> </w:t>
      </w:r>
    </w:p>
    <w:p w:rsidR="004271C9" w:rsidRPr="004271C9" w:rsidRDefault="004271C9" w:rsidP="004A5B3D">
      <w:pPr>
        <w:shd w:val="clear" w:color="auto" w:fill="FFFFFF"/>
        <w:spacing w:before="675" w:after="150" w:line="240" w:lineRule="auto"/>
        <w:outlineLvl w:val="1"/>
        <w:rPr>
          <w:rFonts w:ascii="inherit" w:eastAsia="Times New Roman" w:hAnsi="inherit" w:cs="Times New Roman"/>
          <w:b/>
          <w:bCs/>
          <w:sz w:val="24"/>
          <w:szCs w:val="24"/>
          <w:u w:val="single"/>
        </w:rPr>
      </w:pPr>
      <w:r w:rsidRPr="004271C9">
        <w:rPr>
          <w:rFonts w:ascii="inherit" w:eastAsia="Times New Roman" w:hAnsi="inherit" w:cs="Times New Roman"/>
          <w:b/>
          <w:bCs/>
          <w:sz w:val="24"/>
          <w:szCs w:val="24"/>
          <w:u w:val="single"/>
          <w:rtl/>
        </w:rPr>
        <w:t>מדוע כדאי</w:t>
      </w:r>
      <w:r w:rsidRPr="004271C9">
        <w:rPr>
          <w:rFonts w:ascii="inherit" w:eastAsia="Times New Roman" w:hAnsi="inherit" w:cs="Times New Roman"/>
          <w:b/>
          <w:bCs/>
          <w:sz w:val="24"/>
          <w:szCs w:val="24"/>
          <w:u w:val="single"/>
        </w:rPr>
        <w:t>? </w:t>
      </w:r>
    </w:p>
    <w:p w:rsidR="004271C9" w:rsidRPr="004271C9" w:rsidRDefault="004271C9" w:rsidP="004A5B3D">
      <w:pPr>
        <w:numPr>
          <w:ilvl w:val="0"/>
          <w:numId w:val="11"/>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b/>
          <w:bCs/>
          <w:sz w:val="24"/>
          <w:szCs w:val="24"/>
          <w:rtl/>
        </w:rPr>
        <w:t>מינוף החברה ע"י גישה למשאבים בינלאומיים</w:t>
      </w:r>
      <w:r w:rsidRPr="004271C9">
        <w:rPr>
          <w:rFonts w:ascii="oe_doo_pro" w:eastAsia="Times New Roman" w:hAnsi="oe_doo_pro" w:cs="Times New Roman"/>
          <w:b/>
          <w:bCs/>
          <w:sz w:val="24"/>
          <w:szCs w:val="24"/>
        </w:rPr>
        <w:t>:</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שיתוף פעולה במו"פ עם חברה זרה מאפשר גישה לידע וטכנולוגיה וגישה לתשתיות פיתוח או בדיקה אשר לא קיימות בישראל, ובכך מעמיק באופן משמעותי את איכות תהליכי המו"פ ומקרב את היציאה לשוק</w:t>
      </w:r>
      <w:r w:rsidRPr="004271C9">
        <w:rPr>
          <w:rFonts w:ascii="oe_doo_pro" w:eastAsia="Times New Roman" w:hAnsi="oe_doo_pro" w:cs="Times New Roman"/>
          <w:sz w:val="24"/>
          <w:szCs w:val="24"/>
        </w:rPr>
        <w:t>.</w:t>
      </w:r>
      <w:r w:rsidRPr="004271C9">
        <w:rPr>
          <w:rFonts w:ascii="oe_doo_pro" w:eastAsia="Times New Roman" w:hAnsi="oe_doo_pro" w:cs="Times New Roman"/>
          <w:sz w:val="24"/>
          <w:szCs w:val="24"/>
        </w:rPr>
        <w:br/>
      </w:r>
      <w:r w:rsidRPr="004271C9">
        <w:rPr>
          <w:rFonts w:ascii="oe_doo_pro" w:eastAsia="Times New Roman" w:hAnsi="oe_doo_pro" w:cs="Times New Roman"/>
          <w:sz w:val="24"/>
          <w:szCs w:val="24"/>
          <w:rtl/>
        </w:rPr>
        <w:t>בנוסף, שיתוף פעולה בינלאומי יכול לעזור לחברה ישראלית לצמוח דרך גיוס שותפים מקומיים, התאמה לרגולציה זרה, ויצירת יתרון שיווקי, כלכלי או עסקי</w:t>
      </w:r>
      <w:r w:rsidRPr="004271C9">
        <w:rPr>
          <w:rFonts w:ascii="oe_doo_pro" w:eastAsia="Times New Roman" w:hAnsi="oe_doo_pro" w:cs="Times New Roman"/>
          <w:sz w:val="24"/>
          <w:szCs w:val="24"/>
        </w:rPr>
        <w:t>.</w:t>
      </w:r>
    </w:p>
    <w:p w:rsidR="004271C9" w:rsidRPr="004271C9" w:rsidRDefault="004271C9" w:rsidP="004A5B3D">
      <w:pPr>
        <w:numPr>
          <w:ilvl w:val="0"/>
          <w:numId w:val="11"/>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b/>
          <w:bCs/>
          <w:sz w:val="24"/>
          <w:szCs w:val="24"/>
          <w:rtl/>
        </w:rPr>
        <w:t>מודל מימון אטרקטיבי</w:t>
      </w:r>
      <w:r w:rsidRPr="004271C9">
        <w:rPr>
          <w:rFonts w:ascii="oe_doo_pro" w:eastAsia="Times New Roman" w:hAnsi="oe_doo_pro" w:cs="Times New Roman"/>
          <w:b/>
          <w:bCs/>
          <w:sz w:val="24"/>
          <w:szCs w:val="24"/>
        </w:rPr>
        <w:t>:</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חברות אשר בקשותיהן יאושרו על ידי הקרנות יקבלו מענק כספי בהיקף משמעותי בתנאי מימוש שיתוף הפעולה, ללא תלות ברווחים או בהצלחות עתידיות וללא העברת זכויות קניין רוחני לממשלות התומכות. חברה ישראלית נתמכת תשלם לקרן תמלוגים בגובה של 2.5-5% ממכירות רק אם המיזם הצליח להגיע לשלב המסחור</w:t>
      </w:r>
      <w:r w:rsidRPr="004271C9">
        <w:rPr>
          <w:rFonts w:ascii="oe_doo_pro" w:eastAsia="Times New Roman" w:hAnsi="oe_doo_pro" w:cs="Times New Roman"/>
          <w:sz w:val="24"/>
          <w:szCs w:val="24"/>
        </w:rPr>
        <w:t>. </w:t>
      </w:r>
    </w:p>
    <w:p w:rsidR="00793B2C" w:rsidRDefault="004271C9" w:rsidP="00773549">
      <w:pPr>
        <w:numPr>
          <w:ilvl w:val="0"/>
          <w:numId w:val="11"/>
        </w:numPr>
        <w:shd w:val="clear" w:color="auto" w:fill="FFFFFF"/>
        <w:spacing w:before="675" w:beforeAutospacing="1" w:after="150" w:afterAutospacing="1" w:line="240" w:lineRule="auto"/>
        <w:outlineLvl w:val="1"/>
        <w:rPr>
          <w:rFonts w:ascii="inherit" w:eastAsia="Times New Roman" w:hAnsi="inherit" w:cs="Times New Roman"/>
          <w:b/>
          <w:bCs/>
          <w:sz w:val="33"/>
          <w:szCs w:val="33"/>
        </w:rPr>
      </w:pPr>
      <w:r w:rsidRPr="004271C9">
        <w:rPr>
          <w:rFonts w:ascii="oe_doo_pro" w:eastAsia="Times New Roman" w:hAnsi="oe_doo_pro" w:cs="Times New Roman"/>
          <w:b/>
          <w:bCs/>
          <w:sz w:val="24"/>
          <w:szCs w:val="24"/>
          <w:rtl/>
        </w:rPr>
        <w:t>תמיכה שהיא תו איכות בארץ ובעולם</w:t>
      </w:r>
      <w:r w:rsidRPr="004271C9">
        <w:rPr>
          <w:rFonts w:ascii="oe_doo_pro" w:eastAsia="Times New Roman" w:hAnsi="oe_doo_pro" w:cs="Times New Roman"/>
          <w:b/>
          <w:bCs/>
          <w:sz w:val="24"/>
          <w:szCs w:val="24"/>
        </w:rPr>
        <w:t>:</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תמיכת הקרנות ניתנת רק לאחר הערכה מקצועית מקיפה של הפרויקט, ובכך מהווה תו איכות לחברות בתעשייה ומקלה עליהן לגייס משקיעים ולשווק את מוצריהן בארץ ובעולם. תו איכות זה עשוי לסייע בהצעת ערך לשותפים אסטרטגיים בחו"ל, יצירת בסיס לשיתוף פעולה ארוך טווח וחדירה לשווקים זרים</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Pr>
        <w:br/>
        <w:t> </w:t>
      </w:r>
    </w:p>
    <w:p w:rsidR="004271C9" w:rsidRPr="004271C9" w:rsidRDefault="004271C9" w:rsidP="00793B2C">
      <w:pPr>
        <w:shd w:val="clear" w:color="auto" w:fill="FFFFFF"/>
        <w:spacing w:before="675" w:beforeAutospacing="1" w:after="150" w:afterAutospacing="1" w:line="240" w:lineRule="auto"/>
        <w:outlineLvl w:val="1"/>
        <w:rPr>
          <w:rFonts w:ascii="inherit" w:eastAsia="Times New Roman" w:hAnsi="inherit" w:cs="Times New Roman" w:hint="cs"/>
          <w:b/>
          <w:bCs/>
          <w:sz w:val="24"/>
          <w:szCs w:val="24"/>
          <w:u w:val="single"/>
          <w:rtl/>
        </w:rPr>
      </w:pPr>
      <w:r w:rsidRPr="004271C9">
        <w:rPr>
          <w:rFonts w:ascii="inherit" w:eastAsia="Times New Roman" w:hAnsi="inherit" w:cs="Times New Roman"/>
          <w:b/>
          <w:bCs/>
          <w:sz w:val="24"/>
          <w:szCs w:val="24"/>
          <w:u w:val="single"/>
          <w:rtl/>
        </w:rPr>
        <w:t>תנאי המסלול</w:t>
      </w:r>
      <w:r w:rsidR="00231508">
        <w:rPr>
          <w:rFonts w:ascii="inherit" w:eastAsia="Times New Roman" w:hAnsi="inherit" w:cs="Times New Roman" w:hint="cs"/>
          <w:b/>
          <w:bCs/>
          <w:sz w:val="24"/>
          <w:szCs w:val="24"/>
          <w:u w:val="single"/>
          <w:rtl/>
        </w:rPr>
        <w:t>ים:</w:t>
      </w:r>
    </w:p>
    <w:p w:rsidR="004271C9" w:rsidRPr="004271C9" w:rsidRDefault="004271C9" w:rsidP="004A5B3D">
      <w:pPr>
        <w:shd w:val="clear" w:color="auto" w:fill="FFFFFF"/>
        <w:spacing w:before="150" w:after="150" w:line="240" w:lineRule="auto"/>
        <w:outlineLvl w:val="3"/>
        <w:rPr>
          <w:rFonts w:ascii="inherit" w:eastAsia="Times New Roman" w:hAnsi="inherit" w:cs="Times New Roman"/>
          <w:sz w:val="24"/>
          <w:szCs w:val="24"/>
        </w:rPr>
      </w:pPr>
      <w:r w:rsidRPr="004271C9">
        <w:rPr>
          <w:rFonts w:ascii="inherit" w:eastAsia="Times New Roman" w:hAnsi="inherit" w:cs="Times New Roman"/>
          <w:sz w:val="24"/>
          <w:szCs w:val="24"/>
          <w:rtl/>
        </w:rPr>
        <w:t>התמיכה בחברות נעשית בכפוף לנוהלי הקרנות השונות, ובכללם</w:t>
      </w:r>
      <w:r w:rsidRPr="004271C9">
        <w:rPr>
          <w:rFonts w:ascii="inherit" w:eastAsia="Times New Roman" w:hAnsi="inherit" w:cs="Times New Roman"/>
          <w:sz w:val="24"/>
          <w:szCs w:val="24"/>
        </w:rPr>
        <w:t>:</w:t>
      </w:r>
    </w:p>
    <w:p w:rsidR="004271C9" w:rsidRPr="004271C9" w:rsidRDefault="004271C9" w:rsidP="004A5B3D">
      <w:pPr>
        <w:numPr>
          <w:ilvl w:val="0"/>
          <w:numId w:val="12"/>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על המוצר או התהליך המפותחים במסגרת שיתוף הפעולה האזרחי להיות חדשני, מוכן למסחור ובעל ערך מוסף עבור כלכלת ישראל וכלכלת המדינה הזרה</w:t>
      </w:r>
      <w:r w:rsidRPr="004271C9">
        <w:rPr>
          <w:rFonts w:ascii="oe_doo_pro" w:eastAsia="Times New Roman" w:hAnsi="oe_doo_pro" w:cs="Times New Roman"/>
          <w:sz w:val="24"/>
          <w:szCs w:val="24"/>
        </w:rPr>
        <w:t>.</w:t>
      </w:r>
    </w:p>
    <w:p w:rsidR="004271C9" w:rsidRPr="004271C9" w:rsidRDefault="004271C9" w:rsidP="004A5B3D">
      <w:pPr>
        <w:numPr>
          <w:ilvl w:val="0"/>
          <w:numId w:val="12"/>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החברות השותפות חייבות להיות בעלות יכולת ליישם את הפרויקט ואת תהליכי המחקר והפיתוח הנחוצים להשלמתו, כמו גם היכולת לממן את חלקן היחסי בתהליך הנחוץ למימוש הפרויקט</w:t>
      </w:r>
      <w:r w:rsidRPr="004271C9">
        <w:rPr>
          <w:rFonts w:ascii="oe_doo_pro" w:eastAsia="Times New Roman" w:hAnsi="oe_doo_pro" w:cs="Times New Roman"/>
          <w:sz w:val="24"/>
          <w:szCs w:val="24"/>
        </w:rPr>
        <w:t>.</w:t>
      </w:r>
    </w:p>
    <w:p w:rsidR="004271C9" w:rsidRPr="004271C9" w:rsidRDefault="004271C9" w:rsidP="004A5B3D">
      <w:pPr>
        <w:numPr>
          <w:ilvl w:val="0"/>
          <w:numId w:val="12"/>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מוסדות מחקר וגופים אקדמיים רשאים לקחת חלק בשיתוף הפעולה אך ורק כקבלני משנה ולא כשותפים מלאים</w:t>
      </w:r>
      <w:r w:rsidR="004A5B3D" w:rsidRPr="004A5B3D">
        <w:rPr>
          <w:rFonts w:ascii="oe_doo_pro" w:eastAsia="Times New Roman" w:hAnsi="oe_doo_pro" w:cs="Times New Roman" w:hint="cs"/>
          <w:sz w:val="24"/>
          <w:szCs w:val="24"/>
          <w:rtl/>
        </w:rPr>
        <w:t xml:space="preserve"> </w:t>
      </w:r>
      <w:r w:rsidRPr="004271C9">
        <w:rPr>
          <w:rFonts w:ascii="oe_doo_pro" w:eastAsia="Times New Roman" w:hAnsi="oe_doo_pro" w:cs="Times New Roman"/>
          <w:sz w:val="24"/>
          <w:szCs w:val="24"/>
          <w:rtl/>
        </w:rPr>
        <w:t>למעט בקרן</w:t>
      </w:r>
      <w:r w:rsidRPr="004271C9">
        <w:rPr>
          <w:rFonts w:ascii="oe_doo_pro" w:eastAsia="Times New Roman" w:hAnsi="oe_doo_pro" w:cs="Times New Roman"/>
          <w:sz w:val="24"/>
          <w:szCs w:val="24"/>
        </w:rPr>
        <w:t xml:space="preserve"> SIIRD </w:t>
      </w:r>
      <w:r w:rsidRPr="004271C9">
        <w:rPr>
          <w:rFonts w:ascii="oe_doo_pro" w:eastAsia="Times New Roman" w:hAnsi="oe_doo_pro" w:cs="Times New Roman"/>
          <w:sz w:val="24"/>
          <w:szCs w:val="24"/>
          <w:rtl/>
        </w:rPr>
        <w:t>שבה הצד הסינגפורי יכול להיות גוף מחקרי</w:t>
      </w:r>
      <w:r w:rsidR="004A5B3D" w:rsidRPr="004A5B3D">
        <w:rPr>
          <w:rFonts w:ascii="oe_doo_pro" w:eastAsia="Times New Roman" w:hAnsi="oe_doo_pro" w:cs="Times New Roman" w:hint="cs"/>
          <w:sz w:val="24"/>
          <w:szCs w:val="24"/>
          <w:rtl/>
        </w:rPr>
        <w:t>.</w:t>
      </w:r>
    </w:p>
    <w:p w:rsidR="004271C9" w:rsidRPr="004271C9" w:rsidRDefault="004271C9" w:rsidP="004A5B3D">
      <w:pPr>
        <w:numPr>
          <w:ilvl w:val="0"/>
          <w:numId w:val="12"/>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על החברות השותפות להראות כי שיתוף הפעולה ביניהן נחוץ לפיתוח טכנולוגיה בעלת ערך מוסף, הנובע מהעברת ידע בין החברות, חלוקת משאבים, תשתיות או קשרים מסחריים, יישום חדשני של טכנולוגיות קיימות בשווקים חדשים ועוד</w:t>
      </w:r>
      <w:r w:rsidRPr="004271C9">
        <w:rPr>
          <w:rFonts w:ascii="oe_doo_pro" w:eastAsia="Times New Roman" w:hAnsi="oe_doo_pro" w:cs="Times New Roman"/>
          <w:sz w:val="24"/>
          <w:szCs w:val="24"/>
        </w:rPr>
        <w:t>.</w:t>
      </w:r>
    </w:p>
    <w:p w:rsidR="004271C9" w:rsidRPr="004271C9" w:rsidRDefault="004271C9" w:rsidP="004A5B3D">
      <w:pPr>
        <w:numPr>
          <w:ilvl w:val="0"/>
          <w:numId w:val="12"/>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החברות השותפות יחתמו ביניהן על הסכם מסחרי להסדרת הבעלות על כל קניין רוחני אשר יופק במהלך הפרויקט ומסחורו</w:t>
      </w:r>
      <w:r w:rsidRPr="004271C9">
        <w:rPr>
          <w:rFonts w:ascii="oe_doo_pro" w:eastAsia="Times New Roman" w:hAnsi="oe_doo_pro" w:cs="Times New Roman"/>
          <w:sz w:val="24"/>
          <w:szCs w:val="24"/>
        </w:rPr>
        <w:t>.</w:t>
      </w:r>
    </w:p>
    <w:p w:rsidR="004271C9" w:rsidRPr="004271C9" w:rsidRDefault="004271C9" w:rsidP="004A5B3D">
      <w:pPr>
        <w:numPr>
          <w:ilvl w:val="0"/>
          <w:numId w:val="12"/>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יש לקרוא בעיון את רשימת התנאים המלאה, הנמצאת באתרי הקרנות, המפרטת את חובות וזכויות החברה</w:t>
      </w:r>
      <w:r w:rsidRPr="004271C9">
        <w:rPr>
          <w:rFonts w:ascii="oe_doo_pro" w:eastAsia="Times New Roman" w:hAnsi="oe_doo_pro" w:cs="Times New Roman"/>
          <w:sz w:val="24"/>
          <w:szCs w:val="24"/>
        </w:rPr>
        <w:t>.</w:t>
      </w:r>
    </w:p>
    <w:p w:rsidR="004271C9" w:rsidRPr="004271C9" w:rsidRDefault="00231508" w:rsidP="004A5B3D">
      <w:pPr>
        <w:shd w:val="clear" w:color="auto" w:fill="FFFFFF"/>
        <w:spacing w:before="675" w:after="150" w:line="240" w:lineRule="auto"/>
        <w:outlineLvl w:val="1"/>
        <w:rPr>
          <w:rFonts w:ascii="inherit" w:eastAsia="Times New Roman" w:hAnsi="inherit" w:cs="Times New Roman"/>
          <w:b/>
          <w:bCs/>
          <w:sz w:val="24"/>
          <w:szCs w:val="24"/>
          <w:u w:val="single"/>
        </w:rPr>
      </w:pPr>
      <w:r>
        <w:rPr>
          <w:rFonts w:ascii="inherit" w:eastAsia="Times New Roman" w:hAnsi="inherit" w:cs="Times New Roman"/>
          <w:b/>
          <w:bCs/>
          <w:sz w:val="24"/>
          <w:szCs w:val="24"/>
          <w:u w:val="single"/>
          <w:rtl/>
        </w:rPr>
        <w:t>קריטריונים להערכת בקש</w:t>
      </w:r>
      <w:r>
        <w:rPr>
          <w:rFonts w:ascii="inherit" w:eastAsia="Times New Roman" w:hAnsi="inherit" w:cs="Times New Roman" w:hint="cs"/>
          <w:b/>
          <w:bCs/>
          <w:sz w:val="24"/>
          <w:szCs w:val="24"/>
          <w:u w:val="single"/>
          <w:rtl/>
        </w:rPr>
        <w:t>ה:</w:t>
      </w:r>
      <w:r w:rsidR="004271C9" w:rsidRPr="004271C9">
        <w:rPr>
          <w:rFonts w:ascii="inherit" w:eastAsia="Times New Roman" w:hAnsi="inherit" w:cs="Times New Roman"/>
          <w:b/>
          <w:bCs/>
          <w:sz w:val="24"/>
          <w:szCs w:val="24"/>
          <w:u w:val="single"/>
        </w:rPr>
        <w:t> </w:t>
      </w:r>
    </w:p>
    <w:p w:rsidR="004271C9" w:rsidRPr="004271C9" w:rsidRDefault="004271C9" w:rsidP="004A5B3D">
      <w:pPr>
        <w:shd w:val="clear" w:color="auto" w:fill="FFFFFF"/>
        <w:spacing w:after="150"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מידע לגבי הקריטריונים מופיע באתרי הקרנות השונות ובכללם</w:t>
      </w:r>
      <w:r w:rsidRPr="004271C9">
        <w:rPr>
          <w:rFonts w:ascii="oe_doo_pro" w:eastAsia="Times New Roman" w:hAnsi="oe_doo_pro" w:cs="Times New Roman"/>
          <w:sz w:val="24"/>
          <w:szCs w:val="24"/>
        </w:rPr>
        <w:t>:</w:t>
      </w:r>
    </w:p>
    <w:p w:rsidR="004271C9" w:rsidRPr="004271C9" w:rsidRDefault="004271C9" w:rsidP="004A5B3D">
      <w:pPr>
        <w:numPr>
          <w:ilvl w:val="0"/>
          <w:numId w:val="13"/>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b/>
          <w:bCs/>
          <w:sz w:val="24"/>
          <w:szCs w:val="24"/>
          <w:rtl/>
        </w:rPr>
        <w:t>חדשנות</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המוצר או התהליך המפותחים במסגרת שיתוף הפעולה</w:t>
      </w:r>
      <w:r w:rsidRPr="004271C9">
        <w:rPr>
          <w:rFonts w:ascii="oe_doo_pro" w:eastAsia="Times New Roman" w:hAnsi="oe_doo_pro" w:cs="Times New Roman"/>
          <w:sz w:val="24"/>
          <w:szCs w:val="24"/>
        </w:rPr>
        <w:t>.</w:t>
      </w:r>
    </w:p>
    <w:p w:rsidR="004271C9" w:rsidRPr="004271C9" w:rsidRDefault="004271C9" w:rsidP="004A5B3D">
      <w:pPr>
        <w:numPr>
          <w:ilvl w:val="0"/>
          <w:numId w:val="13"/>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sz w:val="24"/>
          <w:szCs w:val="24"/>
          <w:rtl/>
        </w:rPr>
        <w:t>בתכנית המוגשת יש מענה </w:t>
      </w:r>
      <w:r w:rsidRPr="004271C9">
        <w:rPr>
          <w:rFonts w:ascii="oe_doo_pro" w:eastAsia="Times New Roman" w:hAnsi="oe_doo_pro" w:cs="Times New Roman"/>
          <w:b/>
          <w:bCs/>
          <w:sz w:val="24"/>
          <w:szCs w:val="24"/>
          <w:rtl/>
        </w:rPr>
        <w:t>לאתגר בסיכון גבוה</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או</w:t>
      </w:r>
      <w:r w:rsidRPr="004271C9">
        <w:rPr>
          <w:rFonts w:ascii="oe_doo_pro" w:eastAsia="Times New Roman" w:hAnsi="oe_doo_pro" w:cs="Times New Roman"/>
          <w:sz w:val="24"/>
          <w:szCs w:val="24"/>
        </w:rPr>
        <w:t> </w:t>
      </w:r>
      <w:r w:rsidRPr="004271C9">
        <w:rPr>
          <w:rFonts w:ascii="oe_doo_pro" w:eastAsia="Times New Roman" w:hAnsi="oe_doo_pro" w:cs="Times New Roman"/>
          <w:b/>
          <w:bCs/>
          <w:sz w:val="24"/>
          <w:szCs w:val="24"/>
          <w:rtl/>
        </w:rPr>
        <w:t>כשל שוק</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מימוני המצריך מימון ממשלתי</w:t>
      </w:r>
      <w:r w:rsidRPr="004271C9">
        <w:rPr>
          <w:rFonts w:ascii="oe_doo_pro" w:eastAsia="Times New Roman" w:hAnsi="oe_doo_pro" w:cs="Times New Roman"/>
          <w:sz w:val="24"/>
          <w:szCs w:val="24"/>
        </w:rPr>
        <w:t>.</w:t>
      </w:r>
    </w:p>
    <w:p w:rsidR="004271C9" w:rsidRPr="004271C9" w:rsidRDefault="004271C9" w:rsidP="004A5B3D">
      <w:pPr>
        <w:numPr>
          <w:ilvl w:val="0"/>
          <w:numId w:val="13"/>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b/>
          <w:bCs/>
          <w:sz w:val="24"/>
          <w:szCs w:val="24"/>
          <w:rtl/>
        </w:rPr>
        <w:t>רלוונטיות למסחור</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בשווקי היעד ו</w:t>
      </w:r>
      <w:r w:rsidRPr="004271C9">
        <w:rPr>
          <w:rFonts w:ascii="oe_doo_pro" w:eastAsia="Times New Roman" w:hAnsi="oe_doo_pro" w:cs="Times New Roman"/>
          <w:b/>
          <w:bCs/>
          <w:sz w:val="24"/>
          <w:szCs w:val="24"/>
          <w:rtl/>
        </w:rPr>
        <w:t>ערך כלכלי מוסף</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עבור כלכלת ישראל והשותף לפרויקט</w:t>
      </w:r>
      <w:r w:rsidRPr="004271C9">
        <w:rPr>
          <w:rFonts w:ascii="oe_doo_pro" w:eastAsia="Times New Roman" w:hAnsi="oe_doo_pro" w:cs="Times New Roman"/>
          <w:sz w:val="24"/>
          <w:szCs w:val="24"/>
        </w:rPr>
        <w:t>.</w:t>
      </w:r>
    </w:p>
    <w:p w:rsidR="004271C9" w:rsidRPr="004271C9" w:rsidRDefault="004271C9" w:rsidP="004A5B3D">
      <w:pPr>
        <w:numPr>
          <w:ilvl w:val="0"/>
          <w:numId w:val="13"/>
        </w:numPr>
        <w:shd w:val="clear" w:color="auto" w:fill="FFFFFF"/>
        <w:spacing w:before="100" w:beforeAutospacing="1" w:after="100" w:afterAutospacing="1" w:line="240" w:lineRule="auto"/>
        <w:rPr>
          <w:rFonts w:ascii="oe_doo_pro" w:eastAsia="Times New Roman" w:hAnsi="oe_doo_pro" w:cs="Times New Roman"/>
          <w:sz w:val="24"/>
          <w:szCs w:val="24"/>
        </w:rPr>
      </w:pPr>
      <w:r w:rsidRPr="004271C9">
        <w:rPr>
          <w:rFonts w:ascii="oe_doo_pro" w:eastAsia="Times New Roman" w:hAnsi="oe_doo_pro" w:cs="Times New Roman"/>
          <w:b/>
          <w:bCs/>
          <w:sz w:val="24"/>
          <w:szCs w:val="24"/>
          <w:rtl/>
        </w:rPr>
        <w:lastRenderedPageBreak/>
        <w:t>יכולת יישום ומימון</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של הפרויקט ותהליכי המחקר והפיתוח הנחוצים להשלמתו על ידי החברות השותפות</w:t>
      </w:r>
      <w:r w:rsidRPr="004271C9">
        <w:rPr>
          <w:rFonts w:ascii="oe_doo_pro" w:eastAsia="Times New Roman" w:hAnsi="oe_doo_pro" w:cs="Times New Roman"/>
          <w:sz w:val="24"/>
          <w:szCs w:val="24"/>
        </w:rPr>
        <w:t>.</w:t>
      </w:r>
    </w:p>
    <w:p w:rsidR="004A5B3D" w:rsidRPr="004A5B3D" w:rsidRDefault="004271C9" w:rsidP="004A5B3D">
      <w:pPr>
        <w:numPr>
          <w:ilvl w:val="0"/>
          <w:numId w:val="13"/>
        </w:numPr>
        <w:shd w:val="clear" w:color="auto" w:fill="FFFFFF"/>
        <w:spacing w:before="100" w:beforeAutospacing="1" w:after="100" w:afterAutospacing="1" w:line="240" w:lineRule="auto"/>
      </w:pPr>
      <w:r w:rsidRPr="004271C9">
        <w:rPr>
          <w:rFonts w:ascii="oe_doo_pro" w:eastAsia="Times New Roman" w:hAnsi="oe_doo_pro" w:cs="Times New Roman"/>
          <w:b/>
          <w:bCs/>
          <w:sz w:val="24"/>
          <w:szCs w:val="24"/>
          <w:rtl/>
        </w:rPr>
        <w:t>איכות וסינרגיה של שיתוף הפעולה</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באות לידי ביטוי ב</w:t>
      </w:r>
      <w:r w:rsidRPr="004271C9">
        <w:rPr>
          <w:rFonts w:ascii="oe_doo_pro" w:eastAsia="Times New Roman" w:hAnsi="oe_doo_pro" w:cs="Times New Roman"/>
          <w:b/>
          <w:bCs/>
          <w:sz w:val="24"/>
          <w:szCs w:val="24"/>
          <w:rtl/>
        </w:rPr>
        <w:t>תכנית עבודה משותפת ומחייבת-הדדית עם החברה הזרה</w:t>
      </w:r>
      <w:r w:rsidRPr="004271C9">
        <w:rPr>
          <w:rFonts w:ascii="oe_doo_pro" w:eastAsia="Times New Roman" w:hAnsi="oe_doo_pro" w:cs="Times New Roman"/>
          <w:sz w:val="24"/>
          <w:szCs w:val="24"/>
        </w:rPr>
        <w:t> </w:t>
      </w:r>
      <w:r w:rsidRPr="004271C9">
        <w:rPr>
          <w:rFonts w:ascii="oe_doo_pro" w:eastAsia="Times New Roman" w:hAnsi="oe_doo_pro" w:cs="Times New Roman"/>
          <w:sz w:val="24"/>
          <w:szCs w:val="24"/>
          <w:rtl/>
        </w:rPr>
        <w:t>כך שכל צד תורם תרומה ברורה ונחוצה לפיתוח טכנולוגיה בעלת ערך מוסף הנובע מהעברת ידע, חלוקת משאבים, תשתיות או קשרים מסחריים על פי יתרון יחסי</w:t>
      </w:r>
      <w:r w:rsidRPr="004271C9">
        <w:rPr>
          <w:rFonts w:ascii="oe_doo_pro" w:eastAsia="Times New Roman" w:hAnsi="oe_doo_pro" w:cs="Times New Roman"/>
          <w:sz w:val="24"/>
          <w:szCs w:val="24"/>
        </w:rPr>
        <w:t xml:space="preserve">, </w:t>
      </w:r>
      <w:r w:rsidRPr="004271C9">
        <w:rPr>
          <w:rFonts w:ascii="oe_doo_pro" w:eastAsia="Times New Roman" w:hAnsi="oe_doo_pro" w:cs="Times New Roman"/>
          <w:sz w:val="24"/>
          <w:szCs w:val="24"/>
          <w:rtl/>
        </w:rPr>
        <w:t>יישום חדשני של טכנולוגיות קיימות בשווקים חדשים ועוד. על התכנית לכלול פעולות קונקרטיות משני הצדדים, תיקוף שוק, יעדים משותפים</w:t>
      </w:r>
      <w:r w:rsidRPr="004271C9">
        <w:rPr>
          <w:rFonts w:ascii="oe_doo_pro" w:eastAsia="Times New Roman" w:hAnsi="oe_doo_pro" w:cs="Times New Roman"/>
          <w:sz w:val="24"/>
          <w:szCs w:val="24"/>
        </w:rPr>
        <w:t xml:space="preserve"> (KPIs) </w:t>
      </w:r>
      <w:r w:rsidRPr="004271C9">
        <w:rPr>
          <w:rFonts w:ascii="oe_doo_pro" w:eastAsia="Times New Roman" w:hAnsi="oe_doo_pro" w:cs="Times New Roman"/>
          <w:sz w:val="24"/>
          <w:szCs w:val="24"/>
          <w:rtl/>
        </w:rPr>
        <w:t xml:space="preserve">לסיום התכנית, ולשלבי המסחור ההמשכיים גם לאחר תום </w:t>
      </w:r>
      <w:r w:rsidR="004A5B3D" w:rsidRPr="004271C9">
        <w:rPr>
          <w:rFonts w:ascii="oe_doo_pro" w:eastAsia="Times New Roman" w:hAnsi="oe_doo_pro" w:cs="Times New Roman" w:hint="cs"/>
          <w:sz w:val="24"/>
          <w:szCs w:val="24"/>
          <w:rtl/>
        </w:rPr>
        <w:t>הפרויקט</w:t>
      </w:r>
      <w:r w:rsidRPr="004271C9">
        <w:rPr>
          <w:rFonts w:ascii="oe_doo_pro" w:eastAsia="Times New Roman" w:hAnsi="oe_doo_pro" w:cs="Times New Roman"/>
          <w:sz w:val="24"/>
          <w:szCs w:val="24"/>
        </w:rPr>
        <w:t>.</w:t>
      </w:r>
    </w:p>
    <w:p w:rsidR="004A5B3D" w:rsidRDefault="00E56EEB" w:rsidP="004A5B3D">
      <w:pPr>
        <w:shd w:val="clear" w:color="auto" w:fill="FFFFFF"/>
        <w:spacing w:before="100" w:beforeAutospacing="1" w:after="100" w:afterAutospacing="1" w:line="240" w:lineRule="auto"/>
        <w:ind w:left="720"/>
        <w:rPr>
          <w:b/>
          <w:bCs/>
          <w:u w:val="single"/>
          <w:rtl/>
        </w:rPr>
      </w:pPr>
      <w:r w:rsidRPr="00E56EEB">
        <w:rPr>
          <w:rFonts w:hint="cs"/>
          <w:b/>
          <w:bCs/>
          <w:u w:val="single"/>
          <w:rtl/>
        </w:rPr>
        <w:t xml:space="preserve">נקודות לדיון </w:t>
      </w:r>
      <w:r w:rsidRPr="00E56EEB">
        <w:rPr>
          <w:b/>
          <w:bCs/>
          <w:u w:val="single"/>
          <w:rtl/>
        </w:rPr>
        <w:t>–</w:t>
      </w:r>
      <w:r w:rsidRPr="00E56EEB">
        <w:rPr>
          <w:rFonts w:hint="cs"/>
          <w:b/>
          <w:bCs/>
          <w:u w:val="single"/>
          <w:rtl/>
        </w:rPr>
        <w:t xml:space="preserve"> קרן ישראל </w:t>
      </w:r>
      <w:r w:rsidRPr="00E56EEB">
        <w:rPr>
          <w:b/>
          <w:bCs/>
          <w:u w:val="single"/>
          <w:rtl/>
        </w:rPr>
        <w:t>–</w:t>
      </w:r>
      <w:r w:rsidRPr="00E56EEB">
        <w:rPr>
          <w:rFonts w:hint="cs"/>
          <w:b/>
          <w:bCs/>
          <w:u w:val="single"/>
          <w:rtl/>
        </w:rPr>
        <w:t xml:space="preserve"> איחוד האמירויות:</w:t>
      </w:r>
    </w:p>
    <w:p w:rsidR="00E56EEB" w:rsidRDefault="00E56EEB" w:rsidP="00E56EEB">
      <w:pPr>
        <w:pStyle w:val="ListParagraph"/>
        <w:numPr>
          <w:ilvl w:val="1"/>
          <w:numId w:val="13"/>
        </w:numPr>
        <w:shd w:val="clear" w:color="auto" w:fill="FFFFFF"/>
        <w:spacing w:before="100" w:beforeAutospacing="1" w:after="100" w:afterAutospacing="1" w:line="240" w:lineRule="auto"/>
      </w:pPr>
      <w:r>
        <w:rPr>
          <w:rFonts w:hint="cs"/>
          <w:rtl/>
        </w:rPr>
        <w:t>היקף הקרן ומקורות מימון:</w:t>
      </w:r>
    </w:p>
    <w:p w:rsidR="00E56EEB" w:rsidRDefault="00E56EEB" w:rsidP="00E56EEB">
      <w:pPr>
        <w:pStyle w:val="ListParagraph"/>
        <w:numPr>
          <w:ilvl w:val="2"/>
          <w:numId w:val="13"/>
        </w:numPr>
        <w:shd w:val="clear" w:color="auto" w:fill="FFFFFF"/>
        <w:spacing w:before="100" w:beforeAutospacing="1" w:after="100" w:afterAutospacing="1" w:line="240" w:lineRule="auto"/>
      </w:pPr>
      <w:r>
        <w:rPr>
          <w:rFonts w:hint="cs"/>
          <w:rtl/>
        </w:rPr>
        <w:t xml:space="preserve">ישנם מודלים שונים: </w:t>
      </w:r>
    </w:p>
    <w:p w:rsidR="00E56EEB" w:rsidRDefault="00E56EEB" w:rsidP="00E56EEB">
      <w:pPr>
        <w:pStyle w:val="ListParagraph"/>
        <w:numPr>
          <w:ilvl w:val="3"/>
          <w:numId w:val="13"/>
        </w:numPr>
        <w:shd w:val="clear" w:color="auto" w:fill="FFFFFF"/>
        <w:spacing w:before="100" w:beforeAutospacing="1" w:after="100" w:afterAutospacing="1" w:line="240" w:lineRule="auto"/>
        <w:rPr>
          <w:rFonts w:hint="cs"/>
        </w:rPr>
      </w:pPr>
      <w:r>
        <w:rPr>
          <w:rFonts w:hint="cs"/>
          <w:rtl/>
        </w:rPr>
        <w:t xml:space="preserve">מימון שנתי </w:t>
      </w:r>
      <w:r>
        <w:rPr>
          <w:rtl/>
        </w:rPr>
        <w:t>–</w:t>
      </w:r>
      <w:r>
        <w:rPr>
          <w:rFonts w:hint="cs"/>
          <w:rtl/>
        </w:rPr>
        <w:t xml:space="preserve"> בכל שנה כל אחת מהמדינות מעמידה כ 5 מיליון דולר לטובת הקרן ופעילות הקרן (תקורה* וחלוקת המענקים) תמומן מסכומים אלו כשבעתיד יתווספו </w:t>
      </w:r>
      <w:r w:rsidR="00A5052E">
        <w:rPr>
          <w:rFonts w:hint="cs"/>
          <w:rtl/>
        </w:rPr>
        <w:t>תמלוגים מהמכירות של פרויקטים מוצלחים.</w:t>
      </w:r>
    </w:p>
    <w:p w:rsidR="00A5052E" w:rsidRDefault="00A5052E" w:rsidP="00A5052E">
      <w:pPr>
        <w:pStyle w:val="ListParagraph"/>
        <w:numPr>
          <w:ilvl w:val="4"/>
          <w:numId w:val="13"/>
        </w:numPr>
        <w:shd w:val="clear" w:color="auto" w:fill="FFFFFF"/>
        <w:spacing w:before="100" w:beforeAutospacing="1" w:after="100" w:afterAutospacing="1" w:line="240" w:lineRule="auto"/>
        <w:rPr>
          <w:rFonts w:hint="cs"/>
        </w:rPr>
      </w:pPr>
      <w:r>
        <w:rPr>
          <w:rFonts w:hint="cs"/>
          <w:rtl/>
        </w:rPr>
        <w:t>יתרונות: קל ליישום, אין מעמסה תקציבית</w:t>
      </w:r>
    </w:p>
    <w:p w:rsidR="00A5052E" w:rsidRDefault="00A5052E" w:rsidP="00A5052E">
      <w:pPr>
        <w:pStyle w:val="ListParagraph"/>
        <w:numPr>
          <w:ilvl w:val="4"/>
          <w:numId w:val="13"/>
        </w:numPr>
        <w:shd w:val="clear" w:color="auto" w:fill="FFFFFF"/>
        <w:spacing w:before="100" w:beforeAutospacing="1" w:after="100" w:afterAutospacing="1" w:line="240" w:lineRule="auto"/>
      </w:pPr>
      <w:r>
        <w:rPr>
          <w:rFonts w:hint="cs"/>
          <w:rtl/>
        </w:rPr>
        <w:t>חסרונות: בכל שנה דיון מחודש עם אגף התקציבים ובנוסף השוק יתייחס לכך כאל קרן זניחה ולא רצינית ומכאן שיהיה קושי בגיוס פרויקטים.</w:t>
      </w:r>
      <w:r>
        <w:rPr>
          <w:rFonts w:hint="cs"/>
          <w:rtl/>
        </w:rPr>
        <w:tab/>
      </w:r>
    </w:p>
    <w:p w:rsidR="00A5052E" w:rsidRDefault="00A5052E" w:rsidP="00A5052E">
      <w:pPr>
        <w:pStyle w:val="ListParagraph"/>
        <w:numPr>
          <w:ilvl w:val="3"/>
          <w:numId w:val="13"/>
        </w:numPr>
        <w:shd w:val="clear" w:color="auto" w:fill="FFFFFF"/>
        <w:spacing w:before="100" w:beforeAutospacing="1" w:after="100" w:afterAutospacing="1" w:line="240" w:lineRule="auto"/>
        <w:rPr>
          <w:rFonts w:hint="cs"/>
        </w:rPr>
      </w:pPr>
      <w:r>
        <w:rPr>
          <w:rFonts w:hint="cs"/>
          <w:rtl/>
        </w:rPr>
        <w:t xml:space="preserve">מימון ע"י העמדת סכום קרן גדול חד פעמי (מודל אשר פעל ולפיו פועלת קרן בירד עם האמריקנים) </w:t>
      </w:r>
      <w:r>
        <w:rPr>
          <w:rtl/>
        </w:rPr>
        <w:t>–</w:t>
      </w:r>
      <w:r>
        <w:rPr>
          <w:rFonts w:hint="cs"/>
          <w:rtl/>
        </w:rPr>
        <w:t xml:space="preserve"> הקרן תישא ריבית שנתית אשר תממן את התקורה והפרויקטים.</w:t>
      </w:r>
    </w:p>
    <w:p w:rsidR="00A5052E" w:rsidRDefault="00A5052E" w:rsidP="00A5052E">
      <w:pPr>
        <w:pStyle w:val="ListParagraph"/>
        <w:numPr>
          <w:ilvl w:val="4"/>
          <w:numId w:val="13"/>
        </w:numPr>
        <w:shd w:val="clear" w:color="auto" w:fill="FFFFFF"/>
        <w:spacing w:before="100" w:beforeAutospacing="1" w:after="100" w:afterAutospacing="1" w:line="240" w:lineRule="auto"/>
      </w:pPr>
      <w:r>
        <w:rPr>
          <w:rFonts w:hint="cs"/>
          <w:rtl/>
        </w:rPr>
        <w:t>יתרונות: אין סימן שאלה שנתי מעל פעילות הקרן. אמינות מול השוק. סכום הקרן הבסיסי יוכל לחזור אל קופת המדינה בתום תקופת פעילות הקרן**</w:t>
      </w:r>
    </w:p>
    <w:p w:rsidR="00A5052E" w:rsidRDefault="00A5052E" w:rsidP="00A5052E">
      <w:pPr>
        <w:pStyle w:val="ListParagraph"/>
        <w:numPr>
          <w:ilvl w:val="4"/>
          <w:numId w:val="13"/>
        </w:numPr>
        <w:shd w:val="clear" w:color="auto" w:fill="FFFFFF"/>
        <w:spacing w:before="100" w:beforeAutospacing="1" w:after="100" w:afterAutospacing="1" w:line="240" w:lineRule="auto"/>
      </w:pPr>
      <w:r>
        <w:rPr>
          <w:rFonts w:hint="cs"/>
          <w:rtl/>
        </w:rPr>
        <w:t xml:space="preserve">חסרונות: קשה ליישום אלא אם מעבירים החלטת ממשלה מסודרת בנושא. </w:t>
      </w:r>
    </w:p>
    <w:p w:rsidR="00A5052E" w:rsidRDefault="00A5052E" w:rsidP="00A5052E">
      <w:pPr>
        <w:pStyle w:val="ListParagraph"/>
        <w:numPr>
          <w:ilvl w:val="3"/>
          <w:numId w:val="13"/>
        </w:numPr>
        <w:shd w:val="clear" w:color="auto" w:fill="FFFFFF"/>
        <w:spacing w:before="100" w:beforeAutospacing="1" w:after="100" w:afterAutospacing="1" w:line="240" w:lineRule="auto"/>
        <w:rPr>
          <w:rFonts w:hint="cs"/>
        </w:rPr>
      </w:pPr>
      <w:r>
        <w:rPr>
          <w:rFonts w:hint="cs"/>
          <w:rtl/>
        </w:rPr>
        <w:t>מימון בסכומים שנתיים אשר ייקבעו מראש לאורך חיי הקרן.</w:t>
      </w:r>
    </w:p>
    <w:p w:rsidR="00A5052E" w:rsidRDefault="00A5052E" w:rsidP="00A5052E">
      <w:pPr>
        <w:pStyle w:val="ListParagraph"/>
        <w:numPr>
          <w:ilvl w:val="4"/>
          <w:numId w:val="13"/>
        </w:numPr>
        <w:shd w:val="clear" w:color="auto" w:fill="FFFFFF"/>
        <w:spacing w:before="100" w:beforeAutospacing="1" w:after="100" w:afterAutospacing="1" w:line="240" w:lineRule="auto"/>
        <w:rPr>
          <w:rFonts w:hint="cs"/>
        </w:rPr>
      </w:pPr>
      <w:r>
        <w:rPr>
          <w:rFonts w:hint="cs"/>
          <w:rtl/>
        </w:rPr>
        <w:t>יתרונות: קל יותר לבלוע תקציבית. ניתן להצגה כקרן גדולה וישדר לשוק רצינות.</w:t>
      </w:r>
    </w:p>
    <w:p w:rsidR="00A5052E" w:rsidRDefault="00A5052E" w:rsidP="00A5052E">
      <w:pPr>
        <w:pStyle w:val="ListParagraph"/>
        <w:numPr>
          <w:ilvl w:val="4"/>
          <w:numId w:val="13"/>
        </w:numPr>
        <w:shd w:val="clear" w:color="auto" w:fill="FFFFFF"/>
        <w:spacing w:before="100" w:beforeAutospacing="1" w:after="100" w:afterAutospacing="1" w:line="240" w:lineRule="auto"/>
        <w:rPr>
          <w:rFonts w:hint="cs"/>
        </w:rPr>
      </w:pPr>
      <w:r>
        <w:rPr>
          <w:rFonts w:hint="cs"/>
          <w:rtl/>
        </w:rPr>
        <w:t>חסרונות: סכנה שנתית לביטול בדיוני התקציב.</w:t>
      </w:r>
    </w:p>
    <w:p w:rsidR="00A5052E" w:rsidRDefault="006F7D61" w:rsidP="00A5052E">
      <w:pPr>
        <w:pStyle w:val="ListParagraph"/>
        <w:numPr>
          <w:ilvl w:val="2"/>
          <w:numId w:val="13"/>
        </w:numPr>
        <w:shd w:val="clear" w:color="auto" w:fill="FFFFFF"/>
        <w:spacing w:before="100" w:beforeAutospacing="1" w:after="100" w:afterAutospacing="1" w:line="240" w:lineRule="auto"/>
      </w:pPr>
      <w:r>
        <w:rPr>
          <w:rFonts w:hint="cs"/>
          <w:rtl/>
        </w:rPr>
        <w:t>מקורות המימון יכולים להיות:</w:t>
      </w:r>
    </w:p>
    <w:p w:rsidR="006F7D61" w:rsidRDefault="006F7D61" w:rsidP="006F7D61">
      <w:pPr>
        <w:pStyle w:val="ListParagraph"/>
        <w:numPr>
          <w:ilvl w:val="3"/>
          <w:numId w:val="13"/>
        </w:numPr>
        <w:shd w:val="clear" w:color="auto" w:fill="FFFFFF"/>
        <w:spacing w:before="100" w:beforeAutospacing="1" w:after="100" w:afterAutospacing="1" w:line="240" w:lineRule="auto"/>
        <w:rPr>
          <w:rFonts w:hint="cs"/>
        </w:rPr>
      </w:pPr>
      <w:r>
        <w:rPr>
          <w:rFonts w:hint="cs"/>
          <w:rtl/>
        </w:rPr>
        <w:t>תקציב הרשות לחדשנות  - מצריך החלטת ממשלה תוך הסכמה של משרד המדע.</w:t>
      </w:r>
    </w:p>
    <w:p w:rsidR="006F7D61" w:rsidRDefault="006F7D61" w:rsidP="006F7D61">
      <w:pPr>
        <w:pStyle w:val="ListParagraph"/>
        <w:numPr>
          <w:ilvl w:val="3"/>
          <w:numId w:val="13"/>
        </w:numPr>
        <w:shd w:val="clear" w:color="auto" w:fill="FFFFFF"/>
        <w:spacing w:before="100" w:beforeAutospacing="1" w:after="100" w:afterAutospacing="1" w:line="240" w:lineRule="auto"/>
      </w:pPr>
      <w:r>
        <w:rPr>
          <w:rFonts w:hint="cs"/>
          <w:rtl/>
        </w:rPr>
        <w:t>תקציב חיצוני תוך תאום מול משרד האוצר (אג"ת)</w:t>
      </w:r>
    </w:p>
    <w:p w:rsidR="006F7D61" w:rsidRPr="006F7D61" w:rsidRDefault="006F7D61" w:rsidP="006F7D61">
      <w:pPr>
        <w:pStyle w:val="ListParagraph"/>
        <w:numPr>
          <w:ilvl w:val="2"/>
          <w:numId w:val="13"/>
        </w:numPr>
        <w:shd w:val="clear" w:color="auto" w:fill="FFFFFF"/>
        <w:spacing w:before="100" w:beforeAutospacing="1" w:after="100" w:afterAutospacing="1" w:line="240" w:lineRule="auto"/>
        <w:rPr>
          <w:u w:val="single"/>
        </w:rPr>
      </w:pPr>
      <w:r w:rsidRPr="006F7D61">
        <w:rPr>
          <w:rFonts w:hint="cs"/>
          <w:u w:val="single"/>
          <w:rtl/>
        </w:rPr>
        <w:t>הסברים לכוכביות:</w:t>
      </w:r>
    </w:p>
    <w:p w:rsidR="006F7D61" w:rsidRDefault="006F7D61" w:rsidP="006F7D61">
      <w:pPr>
        <w:pStyle w:val="ListParagraph"/>
        <w:numPr>
          <w:ilvl w:val="2"/>
          <w:numId w:val="13"/>
        </w:numPr>
        <w:shd w:val="clear" w:color="auto" w:fill="FFFFFF"/>
        <w:spacing w:before="100" w:beforeAutospacing="1" w:after="100" w:afterAutospacing="1" w:line="240" w:lineRule="auto"/>
      </w:pPr>
      <w:r>
        <w:rPr>
          <w:rFonts w:hint="cs"/>
          <w:rtl/>
        </w:rPr>
        <w:t>* תקורת הקרן תהיה לצורך מימון הנהלת הקרן ומנגנון בדיקת הבקשות אשר יכלול בודקים חיצוניים אשר יחוו דעתם על הטכנולוגיה, החדשנות שבה והסיכויים למיסחור הפרויקט.</w:t>
      </w:r>
    </w:p>
    <w:p w:rsidR="006F7D61" w:rsidRDefault="006F7D61" w:rsidP="006F7D61">
      <w:pPr>
        <w:pStyle w:val="ListParagraph"/>
        <w:numPr>
          <w:ilvl w:val="2"/>
          <w:numId w:val="13"/>
        </w:numPr>
        <w:shd w:val="clear" w:color="auto" w:fill="FFFFFF"/>
        <w:spacing w:before="100" w:beforeAutospacing="1" w:after="100" w:afterAutospacing="1" w:line="240" w:lineRule="auto"/>
      </w:pPr>
      <w:r>
        <w:rPr>
          <w:rFonts w:hint="cs"/>
          <w:rtl/>
        </w:rPr>
        <w:t xml:space="preserve">** אורך חיי הקרן צריך </w:t>
      </w:r>
      <w:r w:rsidR="003866D3">
        <w:rPr>
          <w:rFonts w:hint="cs"/>
          <w:rtl/>
        </w:rPr>
        <w:t>להיקב</w:t>
      </w:r>
      <w:r w:rsidR="003866D3">
        <w:rPr>
          <w:rFonts w:hint="eastAsia"/>
          <w:rtl/>
        </w:rPr>
        <w:t>ע</w:t>
      </w:r>
      <w:r>
        <w:rPr>
          <w:rFonts w:hint="cs"/>
          <w:rtl/>
        </w:rPr>
        <w:t xml:space="preserve"> לחמש שנים + חמש שנים נוספות </w:t>
      </w:r>
      <w:r>
        <w:rPr>
          <w:rtl/>
        </w:rPr>
        <w:t>–</w:t>
      </w:r>
      <w:r>
        <w:rPr>
          <w:rFonts w:hint="cs"/>
          <w:rtl/>
        </w:rPr>
        <w:t xml:space="preserve"> כך יהיה איתות של רצינות לשוק.</w:t>
      </w:r>
    </w:p>
    <w:p w:rsidR="006F7D61" w:rsidRDefault="006F7D61" w:rsidP="006F7D61">
      <w:pPr>
        <w:pStyle w:val="ListParagraph"/>
        <w:numPr>
          <w:ilvl w:val="1"/>
          <w:numId w:val="13"/>
        </w:numPr>
        <w:shd w:val="clear" w:color="auto" w:fill="FFFFFF"/>
        <w:spacing w:before="100" w:beforeAutospacing="1" w:after="100" w:afterAutospacing="1" w:line="240" w:lineRule="auto"/>
      </w:pPr>
      <w:r>
        <w:rPr>
          <w:rFonts w:hint="cs"/>
          <w:rtl/>
        </w:rPr>
        <w:t>הפעלת הקרן:</w:t>
      </w:r>
    </w:p>
    <w:p w:rsidR="006F7D61" w:rsidRDefault="006F7D61" w:rsidP="006F7D61">
      <w:pPr>
        <w:pStyle w:val="ListParagraph"/>
        <w:numPr>
          <w:ilvl w:val="2"/>
          <w:numId w:val="13"/>
        </w:numPr>
        <w:shd w:val="clear" w:color="auto" w:fill="FFFFFF"/>
        <w:spacing w:before="100" w:beforeAutospacing="1" w:after="100" w:afterAutospacing="1" w:line="240" w:lineRule="auto"/>
        <w:rPr>
          <w:rFonts w:hint="cs"/>
        </w:rPr>
      </w:pPr>
      <w:r>
        <w:rPr>
          <w:rFonts w:hint="cs"/>
          <w:rtl/>
        </w:rPr>
        <w:t>הפעלה עצמאית כמו כל אחת מהקרנות האחרות אשר מופעלות ע"י הרשות לחדשנות במשרד המדע.</w:t>
      </w:r>
    </w:p>
    <w:p w:rsidR="006F7D61" w:rsidRDefault="006F7D61" w:rsidP="006F7D61">
      <w:pPr>
        <w:pStyle w:val="ListParagraph"/>
        <w:numPr>
          <w:ilvl w:val="2"/>
          <w:numId w:val="13"/>
        </w:numPr>
        <w:shd w:val="clear" w:color="auto" w:fill="FFFFFF"/>
        <w:spacing w:before="100" w:beforeAutospacing="1" w:after="100" w:afterAutospacing="1" w:line="240" w:lineRule="auto"/>
        <w:rPr>
          <w:rFonts w:hint="cs"/>
        </w:rPr>
      </w:pPr>
      <w:r>
        <w:rPr>
          <w:rFonts w:hint="cs"/>
          <w:rtl/>
        </w:rPr>
        <w:t xml:space="preserve">הפעלה תחת קרן בירד </w:t>
      </w:r>
      <w:r>
        <w:rPr>
          <w:rtl/>
        </w:rPr>
        <w:t>–</w:t>
      </w:r>
      <w:r>
        <w:rPr>
          <w:rFonts w:hint="cs"/>
          <w:rtl/>
        </w:rPr>
        <w:t xml:space="preserve"> בעבר היה ניסיון להקים קרן טרילטרלית (ארה"ב, ישראל, ירדן) </w:t>
      </w:r>
      <w:r>
        <w:rPr>
          <w:rtl/>
        </w:rPr>
        <w:t>–</w:t>
      </w:r>
      <w:r>
        <w:rPr>
          <w:rFonts w:hint="cs"/>
          <w:rtl/>
        </w:rPr>
        <w:t xml:space="preserve"> הקרן הוקמה ונוהלה ע"י קרן בירד אבל כשלה.</w:t>
      </w:r>
    </w:p>
    <w:p w:rsidR="006F7D61" w:rsidRDefault="006F7D61" w:rsidP="006F7D61">
      <w:pPr>
        <w:pStyle w:val="ListParagraph"/>
        <w:numPr>
          <w:ilvl w:val="3"/>
          <w:numId w:val="13"/>
        </w:numPr>
        <w:shd w:val="clear" w:color="auto" w:fill="FFFFFF"/>
        <w:spacing w:before="100" w:beforeAutospacing="1" w:after="100" w:afterAutospacing="1" w:line="240" w:lineRule="auto"/>
        <w:rPr>
          <w:rFonts w:hint="cs"/>
        </w:rPr>
      </w:pPr>
      <w:r>
        <w:rPr>
          <w:rFonts w:hint="cs"/>
          <w:rtl/>
        </w:rPr>
        <w:t>יש לבחון אם אנחנו רוצים מעורבות אמריקנית בשלב זה.</w:t>
      </w:r>
    </w:p>
    <w:p w:rsidR="006F7D61" w:rsidRDefault="006F7D61" w:rsidP="006F7D61">
      <w:pPr>
        <w:pStyle w:val="ListParagraph"/>
        <w:numPr>
          <w:ilvl w:val="3"/>
          <w:numId w:val="13"/>
        </w:numPr>
        <w:shd w:val="clear" w:color="auto" w:fill="FFFFFF"/>
        <w:spacing w:before="100" w:beforeAutospacing="1" w:after="100" w:afterAutospacing="1" w:line="240" w:lineRule="auto"/>
        <w:rPr>
          <w:rFonts w:hint="cs"/>
        </w:rPr>
      </w:pPr>
      <w:r>
        <w:rPr>
          <w:rFonts w:hint="cs"/>
          <w:rtl/>
        </w:rPr>
        <w:t>הכישלו</w:t>
      </w:r>
      <w:r>
        <w:rPr>
          <w:rFonts w:hint="eastAsia"/>
          <w:rtl/>
        </w:rPr>
        <w:t>ן</w:t>
      </w:r>
      <w:r>
        <w:rPr>
          <w:rFonts w:hint="cs"/>
          <w:rtl/>
        </w:rPr>
        <w:t xml:space="preserve"> של הקרן עם ירדן (שנבע גם מחוסר עניין אמיתי של הצדדים) יכול להשליך על הקרן שבכוונתנו להקים...</w:t>
      </w:r>
    </w:p>
    <w:p w:rsidR="0099078D" w:rsidRDefault="0099078D" w:rsidP="006F7D61">
      <w:pPr>
        <w:shd w:val="clear" w:color="auto" w:fill="FFFFFF"/>
        <w:spacing w:before="100" w:beforeAutospacing="1" w:after="100" w:afterAutospacing="1" w:line="240" w:lineRule="auto"/>
        <w:rPr>
          <w:b/>
          <w:bCs/>
          <w:sz w:val="24"/>
          <w:szCs w:val="24"/>
          <w:u w:val="single"/>
          <w:rtl/>
        </w:rPr>
      </w:pPr>
    </w:p>
    <w:p w:rsidR="006F7D61" w:rsidRDefault="003866D3" w:rsidP="006F7D61">
      <w:pPr>
        <w:shd w:val="clear" w:color="auto" w:fill="FFFFFF"/>
        <w:spacing w:before="100" w:beforeAutospacing="1" w:after="100" w:afterAutospacing="1" w:line="240" w:lineRule="auto"/>
        <w:rPr>
          <w:b/>
          <w:bCs/>
          <w:sz w:val="24"/>
          <w:szCs w:val="24"/>
          <w:u w:val="single"/>
          <w:rtl/>
        </w:rPr>
      </w:pPr>
      <w:r>
        <w:rPr>
          <w:rFonts w:hint="cs"/>
          <w:b/>
          <w:bCs/>
          <w:sz w:val="24"/>
          <w:szCs w:val="24"/>
          <w:u w:val="single"/>
          <w:rtl/>
        </w:rPr>
        <w:lastRenderedPageBreak/>
        <w:t>לדיון ולביצוע:</w:t>
      </w:r>
    </w:p>
    <w:p w:rsidR="006F7D61" w:rsidRDefault="006F7D61" w:rsidP="006F7D61">
      <w:pPr>
        <w:pStyle w:val="ListParagraph"/>
        <w:numPr>
          <w:ilvl w:val="0"/>
          <w:numId w:val="15"/>
        </w:numPr>
        <w:shd w:val="clear" w:color="auto" w:fill="FFFFFF"/>
        <w:spacing w:before="100" w:beforeAutospacing="1" w:after="100" w:afterAutospacing="1" w:line="240" w:lineRule="auto"/>
      </w:pPr>
      <w:r>
        <w:rPr>
          <w:rFonts w:hint="cs"/>
          <w:rtl/>
        </w:rPr>
        <w:t>קבלת החלטה ואישורה על ישי הצדדים (שרי החוץ + שרת המדע + שר האוצר)</w:t>
      </w:r>
    </w:p>
    <w:p w:rsidR="006F7D61" w:rsidRDefault="006F7D61" w:rsidP="006F7D61">
      <w:pPr>
        <w:pStyle w:val="ListParagraph"/>
        <w:numPr>
          <w:ilvl w:val="0"/>
          <w:numId w:val="15"/>
        </w:numPr>
        <w:shd w:val="clear" w:color="auto" w:fill="FFFFFF"/>
        <w:spacing w:before="100" w:beforeAutospacing="1" w:after="100" w:afterAutospacing="1" w:line="240" w:lineRule="auto"/>
        <w:rPr>
          <w:rFonts w:hint="cs"/>
        </w:rPr>
      </w:pPr>
      <w:r>
        <w:rPr>
          <w:rFonts w:hint="cs"/>
          <w:rtl/>
        </w:rPr>
        <w:t>סכום מודל ההפעלה ומודל המימון.</w:t>
      </w:r>
    </w:p>
    <w:p w:rsidR="006F7D61" w:rsidRDefault="006F7D61" w:rsidP="006F7D61">
      <w:pPr>
        <w:pStyle w:val="ListParagraph"/>
        <w:numPr>
          <w:ilvl w:val="0"/>
          <w:numId w:val="15"/>
        </w:numPr>
        <w:shd w:val="clear" w:color="auto" w:fill="FFFFFF"/>
        <w:spacing w:before="100" w:beforeAutospacing="1" w:after="100" w:afterAutospacing="1" w:line="240" w:lineRule="auto"/>
        <w:rPr>
          <w:rFonts w:hint="cs"/>
        </w:rPr>
      </w:pPr>
      <w:r>
        <w:rPr>
          <w:rFonts w:hint="cs"/>
          <w:rtl/>
        </w:rPr>
        <w:t>הקמת הנהלות לקרן בשתי המדינות.</w:t>
      </w:r>
    </w:p>
    <w:p w:rsidR="006F7D61" w:rsidRDefault="006F7D61" w:rsidP="006F7D61">
      <w:pPr>
        <w:pStyle w:val="ListParagraph"/>
        <w:numPr>
          <w:ilvl w:val="0"/>
          <w:numId w:val="15"/>
        </w:numPr>
        <w:shd w:val="clear" w:color="auto" w:fill="FFFFFF"/>
        <w:spacing w:before="100" w:beforeAutospacing="1" w:after="100" w:afterAutospacing="1" w:line="240" w:lineRule="auto"/>
      </w:pPr>
      <w:r>
        <w:rPr>
          <w:rFonts w:hint="cs"/>
          <w:rtl/>
        </w:rPr>
        <w:t xml:space="preserve">סיכום </w:t>
      </w:r>
      <w:r w:rsidR="003866D3">
        <w:rPr>
          <w:rFonts w:hint="cs"/>
          <w:rtl/>
        </w:rPr>
        <w:t>אופן פעולת הקרן והאם תתמקד בנושאים מסוימים או שתיפתח לכל הסקטורים.</w:t>
      </w:r>
    </w:p>
    <w:p w:rsidR="003866D3" w:rsidRDefault="003866D3" w:rsidP="006F7D61">
      <w:pPr>
        <w:pStyle w:val="ListParagraph"/>
        <w:numPr>
          <w:ilvl w:val="0"/>
          <w:numId w:val="15"/>
        </w:numPr>
        <w:shd w:val="clear" w:color="auto" w:fill="FFFFFF"/>
        <w:spacing w:before="100" w:beforeAutospacing="1" w:after="100" w:afterAutospacing="1" w:line="240" w:lineRule="auto"/>
      </w:pPr>
      <w:r>
        <w:rPr>
          <w:rFonts w:hint="cs"/>
          <w:rtl/>
        </w:rPr>
        <w:t>קביעת לו"ז קשיח</w:t>
      </w:r>
    </w:p>
    <w:p w:rsidR="003866D3" w:rsidRDefault="003866D3" w:rsidP="006F7D61">
      <w:pPr>
        <w:pStyle w:val="ListParagraph"/>
        <w:numPr>
          <w:ilvl w:val="0"/>
          <w:numId w:val="15"/>
        </w:numPr>
        <w:shd w:val="clear" w:color="auto" w:fill="FFFFFF"/>
        <w:spacing w:before="100" w:beforeAutospacing="1" w:after="100" w:afterAutospacing="1" w:line="240" w:lineRule="auto"/>
        <w:rPr>
          <w:rFonts w:hint="cs"/>
        </w:rPr>
      </w:pPr>
      <w:r>
        <w:rPr>
          <w:rFonts w:hint="cs"/>
          <w:rtl/>
        </w:rPr>
        <w:t>כתיבת נהלים.</w:t>
      </w:r>
    </w:p>
    <w:p w:rsidR="003866D3" w:rsidRDefault="003866D3" w:rsidP="006F7D61">
      <w:pPr>
        <w:pStyle w:val="ListParagraph"/>
        <w:numPr>
          <w:ilvl w:val="0"/>
          <w:numId w:val="15"/>
        </w:numPr>
        <w:shd w:val="clear" w:color="auto" w:fill="FFFFFF"/>
        <w:spacing w:before="100" w:beforeAutospacing="1" w:after="100" w:afterAutospacing="1" w:line="240" w:lineRule="auto"/>
      </w:pPr>
      <w:r>
        <w:rPr>
          <w:rFonts w:hint="cs"/>
          <w:rtl/>
        </w:rPr>
        <w:t>הפעלה</w:t>
      </w:r>
    </w:p>
    <w:p w:rsidR="006233E0" w:rsidRDefault="006233E0" w:rsidP="006233E0">
      <w:pPr>
        <w:shd w:val="clear" w:color="auto" w:fill="FFFFFF"/>
        <w:spacing w:before="100" w:beforeAutospacing="1" w:after="100" w:afterAutospacing="1" w:line="240" w:lineRule="auto"/>
        <w:rPr>
          <w:rtl/>
        </w:rPr>
      </w:pPr>
    </w:p>
    <w:p w:rsidR="006233E0" w:rsidRPr="006233E0" w:rsidRDefault="006233E0" w:rsidP="006233E0">
      <w:pPr>
        <w:shd w:val="clear" w:color="auto" w:fill="FFFFFF"/>
        <w:spacing w:before="100" w:beforeAutospacing="1" w:after="100" w:afterAutospacing="1" w:line="240" w:lineRule="auto"/>
        <w:rPr>
          <w:b/>
          <w:bCs/>
          <w:u w:val="single"/>
          <w:rtl/>
        </w:rPr>
      </w:pPr>
      <w:r w:rsidRPr="006233E0">
        <w:rPr>
          <w:rFonts w:hint="cs"/>
          <w:b/>
          <w:bCs/>
          <w:highlight w:val="yellow"/>
          <w:u w:val="single"/>
          <w:rtl/>
        </w:rPr>
        <w:t>טוויסט בעלילה או איך עושים זאת אחרת, נכון יותר ומתאים לצרכים ולרוח התקופה:</w:t>
      </w:r>
    </w:p>
    <w:p w:rsidR="006233E0" w:rsidRDefault="006233E0" w:rsidP="006233E0">
      <w:pPr>
        <w:shd w:val="clear" w:color="auto" w:fill="FFFFFF"/>
        <w:spacing w:before="100" w:beforeAutospacing="1" w:after="100" w:afterAutospacing="1" w:line="240" w:lineRule="auto"/>
        <w:rPr>
          <w:rtl/>
        </w:rPr>
      </w:pPr>
      <w:r>
        <w:rPr>
          <w:rFonts w:hint="cs"/>
          <w:rtl/>
        </w:rPr>
        <w:t>כדי להתאים את הצעתנו לרוח התקופה ולצרכים, יש לפעול להקמת:</w:t>
      </w:r>
    </w:p>
    <w:p w:rsidR="006233E0" w:rsidRDefault="006233E0" w:rsidP="006233E0">
      <w:pPr>
        <w:shd w:val="clear" w:color="auto" w:fill="FFFFFF"/>
        <w:spacing w:before="100" w:beforeAutospacing="1" w:after="100" w:afterAutospacing="1" w:line="240" w:lineRule="auto"/>
        <w:rPr>
          <w:rFonts w:hint="cs"/>
          <w:rtl/>
        </w:rPr>
      </w:pPr>
    </w:p>
    <w:p w:rsidR="006233E0" w:rsidRPr="009625E6" w:rsidRDefault="006233E0" w:rsidP="006233E0">
      <w:pPr>
        <w:shd w:val="clear" w:color="auto" w:fill="FFFFFF"/>
        <w:spacing w:before="100" w:beforeAutospacing="1" w:after="100" w:afterAutospacing="1" w:line="240" w:lineRule="auto"/>
        <w:jc w:val="center"/>
        <w:rPr>
          <w:b/>
          <w:bCs/>
          <w:sz w:val="36"/>
          <w:szCs w:val="36"/>
          <w:u w:val="single"/>
        </w:rPr>
      </w:pPr>
      <w:r w:rsidRPr="009625E6">
        <w:rPr>
          <w:b/>
          <w:bCs/>
          <w:sz w:val="36"/>
          <w:szCs w:val="36"/>
          <w:highlight w:val="yellow"/>
          <w:u w:val="single"/>
        </w:rPr>
        <w:t>Bilateral Innovation Accelerator – UAE Israel</w:t>
      </w:r>
    </w:p>
    <w:p w:rsidR="003709DD" w:rsidRDefault="003709DD" w:rsidP="006233E0">
      <w:pPr>
        <w:shd w:val="clear" w:color="auto" w:fill="FFFFFF"/>
        <w:spacing w:before="100" w:beforeAutospacing="1" w:after="100" w:afterAutospacing="1" w:line="240" w:lineRule="auto"/>
        <w:jc w:val="both"/>
        <w:rPr>
          <w:b/>
          <w:bCs/>
          <w:u w:val="single"/>
          <w:rtl/>
        </w:rPr>
      </w:pPr>
      <w:r>
        <w:rPr>
          <w:rFonts w:hint="cs"/>
          <w:b/>
          <w:bCs/>
          <w:u w:val="single"/>
          <w:rtl/>
        </w:rPr>
        <w:t>כללי:</w:t>
      </w:r>
    </w:p>
    <w:p w:rsidR="003709DD" w:rsidRDefault="003709DD" w:rsidP="006233E0">
      <w:pPr>
        <w:shd w:val="clear" w:color="auto" w:fill="FFFFFF"/>
        <w:spacing w:before="100" w:beforeAutospacing="1" w:after="100" w:afterAutospacing="1" w:line="240" w:lineRule="auto"/>
        <w:jc w:val="both"/>
        <w:rPr>
          <w:rtl/>
        </w:rPr>
      </w:pPr>
      <w:r>
        <w:rPr>
          <w:rFonts w:hint="cs"/>
          <w:rtl/>
        </w:rPr>
        <w:t>החברות הרב לאומיות הגדולות בעולם עוברות לפעילות של שת"פ היתנסותית כדי לקדם את עסקיהן ואת הקשרים העסקיים שלהם עם חברות צעירות בעלות טכנולוגיה רלוונטית ורלוונטיות עיסקית.</w:t>
      </w:r>
    </w:p>
    <w:p w:rsidR="003709DD" w:rsidRDefault="003709DD" w:rsidP="006233E0">
      <w:pPr>
        <w:shd w:val="clear" w:color="auto" w:fill="FFFFFF"/>
        <w:spacing w:before="100" w:beforeAutospacing="1" w:after="100" w:afterAutospacing="1" w:line="240" w:lineRule="auto"/>
        <w:jc w:val="both"/>
        <w:rPr>
          <w:rFonts w:hint="cs"/>
          <w:rtl/>
        </w:rPr>
      </w:pPr>
      <w:r>
        <w:rPr>
          <w:rFonts w:hint="cs"/>
          <w:rtl/>
        </w:rPr>
        <w:t>לישראל ואיחוד האמירויות רצון לקרב בין החברות לשיתוף פעולה אשר יגדיל את סיכויי ההצלחה שלהן, יביא למצב בו ילמדו לפתח, לעבוד ולמכור ביחד ויביא למצב בו יועסקו יותר עובדים וישולמו יותר מיסים במדינות עצמן.</w:t>
      </w:r>
    </w:p>
    <w:p w:rsidR="003709DD" w:rsidRDefault="003709DD" w:rsidP="003709DD">
      <w:pPr>
        <w:shd w:val="clear" w:color="auto" w:fill="FFFFFF"/>
        <w:spacing w:before="100" w:beforeAutospacing="1" w:after="100" w:afterAutospacing="1" w:line="240" w:lineRule="auto"/>
        <w:jc w:val="both"/>
        <w:rPr>
          <w:b/>
          <w:bCs/>
          <w:u w:val="single"/>
          <w:rtl/>
        </w:rPr>
      </w:pPr>
      <w:r>
        <w:rPr>
          <w:rFonts w:hint="cs"/>
          <w:rtl/>
        </w:rPr>
        <w:t>פירות השלום צריכים להיות משורשרים גם אל חברות צעירות וקטנות להן יש פוטנציאל גדול ולכן מוצע הרעיון שבמסמך זה.</w:t>
      </w:r>
    </w:p>
    <w:p w:rsidR="006233E0" w:rsidRDefault="006233E0" w:rsidP="006233E0">
      <w:pPr>
        <w:shd w:val="clear" w:color="auto" w:fill="FFFFFF"/>
        <w:spacing w:before="100" w:beforeAutospacing="1" w:after="100" w:afterAutospacing="1" w:line="240" w:lineRule="auto"/>
        <w:jc w:val="both"/>
        <w:rPr>
          <w:b/>
          <w:bCs/>
          <w:u w:val="single"/>
          <w:rtl/>
        </w:rPr>
      </w:pPr>
      <w:r>
        <w:rPr>
          <w:rFonts w:hint="cs"/>
          <w:b/>
          <w:bCs/>
          <w:u w:val="single"/>
          <w:rtl/>
        </w:rPr>
        <w:t>הרעיון:</w:t>
      </w:r>
    </w:p>
    <w:p w:rsidR="006233E0" w:rsidRDefault="006233E0" w:rsidP="006233E0">
      <w:pPr>
        <w:shd w:val="clear" w:color="auto" w:fill="FFFFFF"/>
        <w:spacing w:before="100" w:beforeAutospacing="1" w:after="100" w:afterAutospacing="1" w:line="240" w:lineRule="auto"/>
        <w:jc w:val="both"/>
        <w:rPr>
          <w:rtl/>
        </w:rPr>
      </w:pPr>
      <w:r>
        <w:rPr>
          <w:rFonts w:hint="cs"/>
          <w:rtl/>
        </w:rPr>
        <w:t>הקמת אקסלרטור דו לאומי אשר בשלב הראשון יהיו לו שני תחומי פעילות עיקריים:</w:t>
      </w:r>
    </w:p>
    <w:p w:rsidR="003709DD" w:rsidRDefault="006233E0" w:rsidP="003709DD">
      <w:pPr>
        <w:pStyle w:val="ListParagraph"/>
        <w:numPr>
          <w:ilvl w:val="0"/>
          <w:numId w:val="16"/>
        </w:numPr>
        <w:shd w:val="clear" w:color="auto" w:fill="FFFFFF"/>
        <w:spacing w:before="100" w:beforeAutospacing="1" w:after="100" w:afterAutospacing="1" w:line="240" w:lineRule="auto"/>
        <w:jc w:val="both"/>
      </w:pPr>
      <w:r>
        <w:rPr>
          <w:rFonts w:hint="cs"/>
          <w:rtl/>
        </w:rPr>
        <w:t>תכנית מנטורים משתי המדינות אליה יוכלו לפנות חברות משתי המדינות אשר יגישו הצעה משותפת</w:t>
      </w:r>
      <w:r w:rsidR="003709DD">
        <w:rPr>
          <w:rFonts w:hint="cs"/>
          <w:rtl/>
        </w:rPr>
        <w:t>.</w:t>
      </w:r>
    </w:p>
    <w:p w:rsidR="003709DD" w:rsidRDefault="003709DD" w:rsidP="003709DD">
      <w:pPr>
        <w:pStyle w:val="ListParagraph"/>
        <w:numPr>
          <w:ilvl w:val="1"/>
          <w:numId w:val="16"/>
        </w:numPr>
        <w:shd w:val="clear" w:color="auto" w:fill="FFFFFF"/>
        <w:spacing w:before="100" w:beforeAutospacing="1" w:after="100" w:afterAutospacing="1" w:line="240" w:lineRule="auto"/>
        <w:jc w:val="both"/>
      </w:pPr>
      <w:r>
        <w:rPr>
          <w:rFonts w:hint="cs"/>
          <w:rtl/>
        </w:rPr>
        <w:t>המנטורים יפעלו בהתנדבות ויהיו בעלי מומחיות בתחומי הפרויקטים הספציפיים ובתחומי הנושאים בהם יתמקד האקסלרטור.</w:t>
      </w:r>
    </w:p>
    <w:p w:rsidR="003709DD" w:rsidRDefault="003709DD" w:rsidP="003709DD">
      <w:pPr>
        <w:pStyle w:val="ListParagraph"/>
        <w:numPr>
          <w:ilvl w:val="1"/>
          <w:numId w:val="16"/>
        </w:numPr>
        <w:shd w:val="clear" w:color="auto" w:fill="FFFFFF"/>
        <w:spacing w:before="100" w:beforeAutospacing="1" w:after="100" w:afterAutospacing="1" w:line="240" w:lineRule="auto"/>
        <w:jc w:val="both"/>
        <w:rPr>
          <w:rFonts w:hint="cs"/>
        </w:rPr>
      </w:pPr>
      <w:r>
        <w:rPr>
          <w:rFonts w:hint="cs"/>
          <w:rtl/>
        </w:rPr>
        <w:t>בתחילה יצוותו מנטורים ע"י הנהלת התכנית כאשר הכוונה להגיע בסופו של תהליך לרשימת מנטורים אשר ייבחרו על ידי החברות.</w:t>
      </w:r>
    </w:p>
    <w:p w:rsidR="003709DD" w:rsidRDefault="003709DD" w:rsidP="003709DD">
      <w:pPr>
        <w:pStyle w:val="ListParagraph"/>
        <w:numPr>
          <w:ilvl w:val="0"/>
          <w:numId w:val="16"/>
        </w:numPr>
        <w:shd w:val="clear" w:color="auto" w:fill="FFFFFF"/>
        <w:spacing w:before="100" w:beforeAutospacing="1" w:after="100" w:afterAutospacing="1" w:line="240" w:lineRule="auto"/>
        <w:jc w:val="both"/>
        <w:rPr>
          <w:rFonts w:hint="cs"/>
        </w:rPr>
      </w:pPr>
      <w:bookmarkStart w:id="0" w:name="_GoBack"/>
      <w:r>
        <w:rPr>
          <w:rFonts w:hint="cs"/>
          <w:rtl/>
        </w:rPr>
        <w:t>קרן (כמתואר למעלה) למימון המחקר, הפיתוח, הפיתוח העסקי ותהליך ה כניסה לשוק.</w:t>
      </w:r>
    </w:p>
    <w:bookmarkEnd w:id="0"/>
    <w:p w:rsidR="003709DD" w:rsidRDefault="003709DD" w:rsidP="003709DD">
      <w:pPr>
        <w:shd w:val="clear" w:color="auto" w:fill="FFFFFF"/>
        <w:spacing w:before="100" w:beforeAutospacing="1" w:after="100" w:afterAutospacing="1" w:line="240" w:lineRule="auto"/>
        <w:jc w:val="both"/>
        <w:rPr>
          <w:rtl/>
        </w:rPr>
      </w:pPr>
      <w:r>
        <w:rPr>
          <w:rFonts w:hint="cs"/>
          <w:rtl/>
        </w:rPr>
        <w:t>מפגשים:</w:t>
      </w:r>
    </w:p>
    <w:p w:rsidR="003709DD" w:rsidRPr="006233E0" w:rsidRDefault="003709DD" w:rsidP="003709DD">
      <w:pPr>
        <w:shd w:val="clear" w:color="auto" w:fill="FFFFFF"/>
        <w:spacing w:before="100" w:beforeAutospacing="1" w:after="100" w:afterAutospacing="1" w:line="240" w:lineRule="auto"/>
        <w:jc w:val="both"/>
        <w:rPr>
          <w:rFonts w:hint="cs"/>
          <w:rtl/>
        </w:rPr>
      </w:pPr>
      <w:r>
        <w:rPr>
          <w:rFonts w:hint="cs"/>
          <w:rtl/>
        </w:rPr>
        <w:t>האקסלרטור יופעל בתחילה ע"י פגישות וירטואליות ופעמיים בשנה יתכנסו החברות והמנטורים (פעם בכל מדינה), לדיונים ותמיכה בחברות.</w:t>
      </w:r>
    </w:p>
    <w:p w:rsidR="00773549" w:rsidRDefault="005E2294" w:rsidP="0099078D">
      <w:pPr>
        <w:shd w:val="clear" w:color="auto" w:fill="FFFFFF"/>
        <w:spacing w:before="100" w:beforeAutospacing="1" w:after="100" w:afterAutospacing="1" w:line="240" w:lineRule="auto"/>
      </w:pPr>
      <w:r>
        <w:rPr>
          <w:rFonts w:hint="cs"/>
          <w:rtl/>
        </w:rPr>
        <w:t>בעתיד, אפשר יהיה להקים אקסלרטור פיסי בדמות משרדים וסיוע משפטי, כלכלי, חשבונאי, פיתוח עסקי וכו'.</w:t>
      </w:r>
    </w:p>
    <w:sectPr w:rsidR="00773549" w:rsidSect="00DC295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1F" w:rsidRDefault="00D7521F" w:rsidP="003866D3">
      <w:pPr>
        <w:spacing w:after="0" w:line="240" w:lineRule="auto"/>
      </w:pPr>
      <w:r>
        <w:separator/>
      </w:r>
    </w:p>
  </w:endnote>
  <w:endnote w:type="continuationSeparator" w:id="0">
    <w:p w:rsidR="00D7521F" w:rsidRDefault="00D7521F" w:rsidP="0038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e_doo_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1F" w:rsidRDefault="00D7521F" w:rsidP="003866D3">
      <w:pPr>
        <w:spacing w:after="0" w:line="240" w:lineRule="auto"/>
      </w:pPr>
      <w:r>
        <w:separator/>
      </w:r>
    </w:p>
  </w:footnote>
  <w:footnote w:type="continuationSeparator" w:id="0">
    <w:p w:rsidR="00D7521F" w:rsidRDefault="00D7521F" w:rsidP="00386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E26"/>
    <w:multiLevelType w:val="hybridMultilevel"/>
    <w:tmpl w:val="CA442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F401A"/>
    <w:multiLevelType w:val="multilevel"/>
    <w:tmpl w:val="C12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B2314"/>
    <w:multiLevelType w:val="multilevel"/>
    <w:tmpl w:val="DB1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82436"/>
    <w:multiLevelType w:val="multilevel"/>
    <w:tmpl w:val="F9DAD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97237"/>
    <w:multiLevelType w:val="multilevel"/>
    <w:tmpl w:val="161A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83280"/>
    <w:multiLevelType w:val="multilevel"/>
    <w:tmpl w:val="24A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67AE8"/>
    <w:multiLevelType w:val="multilevel"/>
    <w:tmpl w:val="CFA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F7365"/>
    <w:multiLevelType w:val="multilevel"/>
    <w:tmpl w:val="6DC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107A5"/>
    <w:multiLevelType w:val="multilevel"/>
    <w:tmpl w:val="E00E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90415"/>
    <w:multiLevelType w:val="multilevel"/>
    <w:tmpl w:val="B09A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4695A"/>
    <w:multiLevelType w:val="multilevel"/>
    <w:tmpl w:val="DB2E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D0BF2"/>
    <w:multiLevelType w:val="hybridMultilevel"/>
    <w:tmpl w:val="188CF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40FE9"/>
    <w:multiLevelType w:val="multilevel"/>
    <w:tmpl w:val="3690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5B0518"/>
    <w:multiLevelType w:val="multilevel"/>
    <w:tmpl w:val="3EE2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116A9"/>
    <w:multiLevelType w:val="hybridMultilevel"/>
    <w:tmpl w:val="CBB474C2"/>
    <w:lvl w:ilvl="0" w:tplc="98D46C0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3584"/>
    <w:multiLevelType w:val="multilevel"/>
    <w:tmpl w:val="972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1"/>
  </w:num>
  <w:num w:numId="5">
    <w:abstractNumId w:val="4"/>
  </w:num>
  <w:num w:numId="6">
    <w:abstractNumId w:val="6"/>
  </w:num>
  <w:num w:numId="7">
    <w:abstractNumId w:val="2"/>
  </w:num>
  <w:num w:numId="8">
    <w:abstractNumId w:val="15"/>
  </w:num>
  <w:num w:numId="9">
    <w:abstractNumId w:val="10"/>
  </w:num>
  <w:num w:numId="10">
    <w:abstractNumId w:val="9"/>
  </w:num>
  <w:num w:numId="11">
    <w:abstractNumId w:val="12"/>
  </w:num>
  <w:num w:numId="12">
    <w:abstractNumId w:val="13"/>
  </w:num>
  <w:num w:numId="13">
    <w:abstractNumId w:val="3"/>
  </w:num>
  <w:num w:numId="14">
    <w:abstractNumId w:val="1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C9"/>
    <w:rsid w:val="000C0CA0"/>
    <w:rsid w:val="000C400E"/>
    <w:rsid w:val="00231508"/>
    <w:rsid w:val="003709DD"/>
    <w:rsid w:val="003866D3"/>
    <w:rsid w:val="004271C9"/>
    <w:rsid w:val="004A5B3D"/>
    <w:rsid w:val="004E1E6B"/>
    <w:rsid w:val="005E2294"/>
    <w:rsid w:val="006233E0"/>
    <w:rsid w:val="006F7D61"/>
    <w:rsid w:val="00773549"/>
    <w:rsid w:val="00793B2C"/>
    <w:rsid w:val="00870DFA"/>
    <w:rsid w:val="009625E6"/>
    <w:rsid w:val="0099078D"/>
    <w:rsid w:val="00A5052E"/>
    <w:rsid w:val="00D7521F"/>
    <w:rsid w:val="00DC2957"/>
    <w:rsid w:val="00E56E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8907F-9095-417E-A9FA-127337FA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DFA"/>
    <w:pPr>
      <w:ind w:left="720"/>
      <w:contextualSpacing/>
    </w:pPr>
  </w:style>
  <w:style w:type="paragraph" w:styleId="Header">
    <w:name w:val="header"/>
    <w:basedOn w:val="Normal"/>
    <w:link w:val="HeaderChar"/>
    <w:uiPriority w:val="99"/>
    <w:unhideWhenUsed/>
    <w:rsid w:val="003866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6D3"/>
  </w:style>
  <w:style w:type="paragraph" w:styleId="Footer">
    <w:name w:val="footer"/>
    <w:basedOn w:val="Normal"/>
    <w:link w:val="FooterChar"/>
    <w:uiPriority w:val="99"/>
    <w:unhideWhenUsed/>
    <w:rsid w:val="003866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434339">
      <w:bodyDiv w:val="1"/>
      <w:marLeft w:val="0"/>
      <w:marRight w:val="0"/>
      <w:marTop w:val="0"/>
      <w:marBottom w:val="0"/>
      <w:divBdr>
        <w:top w:val="none" w:sz="0" w:space="0" w:color="auto"/>
        <w:left w:val="none" w:sz="0" w:space="0" w:color="auto"/>
        <w:bottom w:val="none" w:sz="0" w:space="0" w:color="auto"/>
        <w:right w:val="none" w:sz="0" w:space="0" w:color="auto"/>
      </w:divBdr>
      <w:divsChild>
        <w:div w:id="683753185">
          <w:marLeft w:val="0"/>
          <w:marRight w:val="0"/>
          <w:marTop w:val="0"/>
          <w:marBottom w:val="0"/>
          <w:divBdr>
            <w:top w:val="none" w:sz="0" w:space="0" w:color="auto"/>
            <w:left w:val="none" w:sz="0" w:space="0" w:color="auto"/>
            <w:bottom w:val="none" w:sz="0" w:space="0" w:color="auto"/>
            <w:right w:val="none" w:sz="0" w:space="0" w:color="auto"/>
          </w:divBdr>
          <w:divsChild>
            <w:div w:id="247621393">
              <w:marLeft w:val="0"/>
              <w:marRight w:val="0"/>
              <w:marTop w:val="0"/>
              <w:marBottom w:val="0"/>
              <w:divBdr>
                <w:top w:val="none" w:sz="0" w:space="0" w:color="auto"/>
                <w:left w:val="none" w:sz="0" w:space="0" w:color="auto"/>
                <w:bottom w:val="none" w:sz="0" w:space="0" w:color="auto"/>
                <w:right w:val="none" w:sz="0" w:space="0" w:color="auto"/>
              </w:divBdr>
              <w:divsChild>
                <w:div w:id="1559197074">
                  <w:marLeft w:val="0"/>
                  <w:marRight w:val="0"/>
                  <w:marTop w:val="0"/>
                  <w:marBottom w:val="0"/>
                  <w:divBdr>
                    <w:top w:val="none" w:sz="0" w:space="0" w:color="auto"/>
                    <w:left w:val="none" w:sz="0" w:space="0" w:color="auto"/>
                    <w:bottom w:val="none" w:sz="0" w:space="0" w:color="auto"/>
                    <w:right w:val="none" w:sz="0" w:space="0" w:color="auto"/>
                  </w:divBdr>
                  <w:divsChild>
                    <w:div w:id="606276101">
                      <w:marLeft w:val="0"/>
                      <w:marRight w:val="0"/>
                      <w:marTop w:val="0"/>
                      <w:marBottom w:val="0"/>
                      <w:divBdr>
                        <w:top w:val="none" w:sz="0" w:space="0" w:color="auto"/>
                        <w:left w:val="none" w:sz="0" w:space="0" w:color="auto"/>
                        <w:bottom w:val="none" w:sz="0" w:space="0" w:color="auto"/>
                        <w:right w:val="none" w:sz="0" w:space="0" w:color="auto"/>
                      </w:divBdr>
                      <w:divsChild>
                        <w:div w:id="951714322">
                          <w:marLeft w:val="0"/>
                          <w:marRight w:val="0"/>
                          <w:marTop w:val="0"/>
                          <w:marBottom w:val="0"/>
                          <w:divBdr>
                            <w:top w:val="none" w:sz="0" w:space="0" w:color="auto"/>
                            <w:left w:val="none" w:sz="0" w:space="0" w:color="auto"/>
                            <w:bottom w:val="none" w:sz="0" w:space="0" w:color="auto"/>
                            <w:right w:val="none" w:sz="0" w:space="0" w:color="auto"/>
                          </w:divBdr>
                        </w:div>
                        <w:div w:id="338195965">
                          <w:marLeft w:val="0"/>
                          <w:marRight w:val="0"/>
                          <w:marTop w:val="0"/>
                          <w:marBottom w:val="0"/>
                          <w:divBdr>
                            <w:top w:val="none" w:sz="0" w:space="0" w:color="auto"/>
                            <w:left w:val="none" w:sz="0" w:space="0" w:color="auto"/>
                            <w:bottom w:val="none" w:sz="0" w:space="0" w:color="auto"/>
                            <w:right w:val="none" w:sz="0" w:space="0" w:color="auto"/>
                          </w:divBdr>
                          <w:divsChild>
                            <w:div w:id="138888681">
                              <w:marLeft w:val="0"/>
                              <w:marRight w:val="0"/>
                              <w:marTop w:val="0"/>
                              <w:marBottom w:val="0"/>
                              <w:divBdr>
                                <w:top w:val="none" w:sz="0" w:space="0" w:color="auto"/>
                                <w:left w:val="none" w:sz="0" w:space="0" w:color="auto"/>
                                <w:bottom w:val="none" w:sz="0" w:space="0" w:color="auto"/>
                                <w:right w:val="none" w:sz="0" w:space="0" w:color="auto"/>
                              </w:divBdr>
                              <w:divsChild>
                                <w:div w:id="1725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4311">
                      <w:marLeft w:val="0"/>
                      <w:marRight w:val="0"/>
                      <w:marTop w:val="0"/>
                      <w:marBottom w:val="0"/>
                      <w:divBdr>
                        <w:top w:val="none" w:sz="0" w:space="0" w:color="auto"/>
                        <w:left w:val="none" w:sz="0" w:space="0" w:color="auto"/>
                        <w:bottom w:val="none" w:sz="0" w:space="0" w:color="auto"/>
                        <w:right w:val="none" w:sz="0" w:space="0" w:color="auto"/>
                      </w:divBdr>
                      <w:divsChild>
                        <w:div w:id="1550143020">
                          <w:marLeft w:val="0"/>
                          <w:marRight w:val="0"/>
                          <w:marTop w:val="0"/>
                          <w:marBottom w:val="0"/>
                          <w:divBdr>
                            <w:top w:val="none" w:sz="0" w:space="0" w:color="auto"/>
                            <w:left w:val="none" w:sz="0" w:space="0" w:color="auto"/>
                            <w:bottom w:val="none" w:sz="0" w:space="0" w:color="auto"/>
                            <w:right w:val="none" w:sz="0" w:space="0" w:color="auto"/>
                          </w:divBdr>
                        </w:div>
                        <w:div w:id="1667392545">
                          <w:marLeft w:val="0"/>
                          <w:marRight w:val="0"/>
                          <w:marTop w:val="0"/>
                          <w:marBottom w:val="0"/>
                          <w:divBdr>
                            <w:top w:val="none" w:sz="0" w:space="0" w:color="auto"/>
                            <w:left w:val="none" w:sz="0" w:space="0" w:color="auto"/>
                            <w:bottom w:val="none" w:sz="0" w:space="0" w:color="auto"/>
                            <w:right w:val="none" w:sz="0" w:space="0" w:color="auto"/>
                          </w:divBdr>
                          <w:divsChild>
                            <w:div w:id="215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0983">
                      <w:marLeft w:val="0"/>
                      <w:marRight w:val="0"/>
                      <w:marTop w:val="0"/>
                      <w:marBottom w:val="0"/>
                      <w:divBdr>
                        <w:top w:val="none" w:sz="0" w:space="0" w:color="auto"/>
                        <w:left w:val="none" w:sz="0" w:space="0" w:color="auto"/>
                        <w:bottom w:val="none" w:sz="0" w:space="0" w:color="auto"/>
                        <w:right w:val="none" w:sz="0" w:space="0" w:color="auto"/>
                      </w:divBdr>
                      <w:divsChild>
                        <w:div w:id="964695887">
                          <w:marLeft w:val="0"/>
                          <w:marRight w:val="0"/>
                          <w:marTop w:val="0"/>
                          <w:marBottom w:val="0"/>
                          <w:divBdr>
                            <w:top w:val="none" w:sz="0" w:space="0" w:color="auto"/>
                            <w:left w:val="none" w:sz="0" w:space="0" w:color="auto"/>
                            <w:bottom w:val="none" w:sz="0" w:space="0" w:color="auto"/>
                            <w:right w:val="none" w:sz="0" w:space="0" w:color="auto"/>
                          </w:divBdr>
                        </w:div>
                        <w:div w:id="752168069">
                          <w:marLeft w:val="0"/>
                          <w:marRight w:val="0"/>
                          <w:marTop w:val="0"/>
                          <w:marBottom w:val="0"/>
                          <w:divBdr>
                            <w:top w:val="none" w:sz="0" w:space="0" w:color="auto"/>
                            <w:left w:val="none" w:sz="0" w:space="0" w:color="auto"/>
                            <w:bottom w:val="none" w:sz="0" w:space="0" w:color="auto"/>
                            <w:right w:val="none" w:sz="0" w:space="0" w:color="auto"/>
                          </w:divBdr>
                          <w:divsChild>
                            <w:div w:id="12662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3757">
                      <w:marLeft w:val="0"/>
                      <w:marRight w:val="0"/>
                      <w:marTop w:val="0"/>
                      <w:marBottom w:val="0"/>
                      <w:divBdr>
                        <w:top w:val="none" w:sz="0" w:space="0" w:color="auto"/>
                        <w:left w:val="none" w:sz="0" w:space="0" w:color="auto"/>
                        <w:bottom w:val="none" w:sz="0" w:space="0" w:color="auto"/>
                        <w:right w:val="none" w:sz="0" w:space="0" w:color="auto"/>
                      </w:divBdr>
                      <w:divsChild>
                        <w:div w:id="1996376421">
                          <w:marLeft w:val="0"/>
                          <w:marRight w:val="0"/>
                          <w:marTop w:val="0"/>
                          <w:marBottom w:val="0"/>
                          <w:divBdr>
                            <w:top w:val="none" w:sz="0" w:space="0" w:color="auto"/>
                            <w:left w:val="none" w:sz="0" w:space="0" w:color="auto"/>
                            <w:bottom w:val="none" w:sz="0" w:space="0" w:color="auto"/>
                            <w:right w:val="none" w:sz="0" w:space="0" w:color="auto"/>
                          </w:divBdr>
                        </w:div>
                        <w:div w:id="568032770">
                          <w:marLeft w:val="0"/>
                          <w:marRight w:val="0"/>
                          <w:marTop w:val="0"/>
                          <w:marBottom w:val="0"/>
                          <w:divBdr>
                            <w:top w:val="none" w:sz="0" w:space="0" w:color="auto"/>
                            <w:left w:val="none" w:sz="0" w:space="0" w:color="auto"/>
                            <w:bottom w:val="none" w:sz="0" w:space="0" w:color="auto"/>
                            <w:right w:val="none" w:sz="0" w:space="0" w:color="auto"/>
                          </w:divBdr>
                          <w:divsChild>
                            <w:div w:id="34931386">
                              <w:marLeft w:val="0"/>
                              <w:marRight w:val="0"/>
                              <w:marTop w:val="0"/>
                              <w:marBottom w:val="0"/>
                              <w:divBdr>
                                <w:top w:val="none" w:sz="0" w:space="0" w:color="auto"/>
                                <w:left w:val="none" w:sz="0" w:space="0" w:color="auto"/>
                                <w:bottom w:val="none" w:sz="0" w:space="0" w:color="auto"/>
                                <w:right w:val="none" w:sz="0" w:space="0" w:color="auto"/>
                              </w:divBdr>
                              <w:divsChild>
                                <w:div w:id="1610966218">
                                  <w:marLeft w:val="0"/>
                                  <w:marRight w:val="0"/>
                                  <w:marTop w:val="0"/>
                                  <w:marBottom w:val="0"/>
                                  <w:divBdr>
                                    <w:top w:val="none" w:sz="0" w:space="0" w:color="auto"/>
                                    <w:left w:val="none" w:sz="0" w:space="0" w:color="auto"/>
                                    <w:bottom w:val="none" w:sz="0" w:space="0" w:color="auto"/>
                                    <w:right w:val="none" w:sz="0" w:space="0" w:color="auto"/>
                                  </w:divBdr>
                                </w:div>
                                <w:div w:id="6920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9600">
                      <w:marLeft w:val="0"/>
                      <w:marRight w:val="0"/>
                      <w:marTop w:val="0"/>
                      <w:marBottom w:val="0"/>
                      <w:divBdr>
                        <w:top w:val="none" w:sz="0" w:space="0" w:color="auto"/>
                        <w:left w:val="none" w:sz="0" w:space="0" w:color="auto"/>
                        <w:bottom w:val="none" w:sz="0" w:space="0" w:color="auto"/>
                        <w:right w:val="none" w:sz="0" w:space="0" w:color="auto"/>
                      </w:divBdr>
                      <w:divsChild>
                        <w:div w:id="1306426522">
                          <w:marLeft w:val="0"/>
                          <w:marRight w:val="0"/>
                          <w:marTop w:val="0"/>
                          <w:marBottom w:val="0"/>
                          <w:divBdr>
                            <w:top w:val="none" w:sz="0" w:space="0" w:color="auto"/>
                            <w:left w:val="none" w:sz="0" w:space="0" w:color="auto"/>
                            <w:bottom w:val="none" w:sz="0" w:space="0" w:color="auto"/>
                            <w:right w:val="none" w:sz="0" w:space="0" w:color="auto"/>
                          </w:divBdr>
                        </w:div>
                        <w:div w:id="573779846">
                          <w:marLeft w:val="0"/>
                          <w:marRight w:val="0"/>
                          <w:marTop w:val="0"/>
                          <w:marBottom w:val="0"/>
                          <w:divBdr>
                            <w:top w:val="none" w:sz="0" w:space="0" w:color="auto"/>
                            <w:left w:val="none" w:sz="0" w:space="0" w:color="auto"/>
                            <w:bottom w:val="none" w:sz="0" w:space="0" w:color="auto"/>
                            <w:right w:val="none" w:sz="0" w:space="0" w:color="auto"/>
                          </w:divBdr>
                          <w:divsChild>
                            <w:div w:id="460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3813">
                      <w:marLeft w:val="0"/>
                      <w:marRight w:val="0"/>
                      <w:marTop w:val="0"/>
                      <w:marBottom w:val="0"/>
                      <w:divBdr>
                        <w:top w:val="none" w:sz="0" w:space="0" w:color="auto"/>
                        <w:left w:val="none" w:sz="0" w:space="0" w:color="auto"/>
                        <w:bottom w:val="none" w:sz="0" w:space="0" w:color="auto"/>
                        <w:right w:val="none" w:sz="0" w:space="0" w:color="auto"/>
                      </w:divBdr>
                      <w:divsChild>
                        <w:div w:id="2099210507">
                          <w:marLeft w:val="0"/>
                          <w:marRight w:val="0"/>
                          <w:marTop w:val="0"/>
                          <w:marBottom w:val="0"/>
                          <w:divBdr>
                            <w:top w:val="none" w:sz="0" w:space="0" w:color="auto"/>
                            <w:left w:val="none" w:sz="0" w:space="0" w:color="auto"/>
                            <w:bottom w:val="none" w:sz="0" w:space="0" w:color="auto"/>
                            <w:right w:val="none" w:sz="0" w:space="0" w:color="auto"/>
                          </w:divBdr>
                        </w:div>
                        <w:div w:id="932398893">
                          <w:marLeft w:val="0"/>
                          <w:marRight w:val="0"/>
                          <w:marTop w:val="0"/>
                          <w:marBottom w:val="0"/>
                          <w:divBdr>
                            <w:top w:val="none" w:sz="0" w:space="0" w:color="auto"/>
                            <w:left w:val="none" w:sz="0" w:space="0" w:color="auto"/>
                            <w:bottom w:val="none" w:sz="0" w:space="0" w:color="auto"/>
                            <w:right w:val="none" w:sz="0" w:space="0" w:color="auto"/>
                          </w:divBdr>
                          <w:divsChild>
                            <w:div w:id="3586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0587">
                      <w:marLeft w:val="0"/>
                      <w:marRight w:val="0"/>
                      <w:marTop w:val="0"/>
                      <w:marBottom w:val="0"/>
                      <w:divBdr>
                        <w:top w:val="none" w:sz="0" w:space="0" w:color="auto"/>
                        <w:left w:val="none" w:sz="0" w:space="0" w:color="auto"/>
                        <w:bottom w:val="none" w:sz="0" w:space="0" w:color="auto"/>
                        <w:right w:val="none" w:sz="0" w:space="0" w:color="auto"/>
                      </w:divBdr>
                      <w:divsChild>
                        <w:div w:id="980764858">
                          <w:marLeft w:val="0"/>
                          <w:marRight w:val="0"/>
                          <w:marTop w:val="0"/>
                          <w:marBottom w:val="0"/>
                          <w:divBdr>
                            <w:top w:val="none" w:sz="0" w:space="0" w:color="auto"/>
                            <w:left w:val="none" w:sz="0" w:space="0" w:color="auto"/>
                            <w:bottom w:val="none" w:sz="0" w:space="0" w:color="auto"/>
                            <w:right w:val="none" w:sz="0" w:space="0" w:color="auto"/>
                          </w:divBdr>
                        </w:div>
                        <w:div w:id="337390956">
                          <w:marLeft w:val="0"/>
                          <w:marRight w:val="0"/>
                          <w:marTop w:val="0"/>
                          <w:marBottom w:val="0"/>
                          <w:divBdr>
                            <w:top w:val="none" w:sz="0" w:space="0" w:color="auto"/>
                            <w:left w:val="none" w:sz="0" w:space="0" w:color="auto"/>
                            <w:bottom w:val="none" w:sz="0" w:space="0" w:color="auto"/>
                            <w:right w:val="none" w:sz="0" w:space="0" w:color="auto"/>
                          </w:divBdr>
                          <w:divsChild>
                            <w:div w:id="13052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3847">
                      <w:marLeft w:val="0"/>
                      <w:marRight w:val="0"/>
                      <w:marTop w:val="0"/>
                      <w:marBottom w:val="0"/>
                      <w:divBdr>
                        <w:top w:val="none" w:sz="0" w:space="0" w:color="auto"/>
                        <w:left w:val="none" w:sz="0" w:space="0" w:color="auto"/>
                        <w:bottom w:val="none" w:sz="0" w:space="0" w:color="auto"/>
                        <w:right w:val="none" w:sz="0" w:space="0" w:color="auto"/>
                      </w:divBdr>
                      <w:divsChild>
                        <w:div w:id="5211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israel.org.il/international/programsrnd/i4f" TargetMode="External"/><Relationship Id="rId3" Type="http://schemas.openxmlformats.org/officeDocument/2006/relationships/settings" Target="settings.xml"/><Relationship Id="rId7" Type="http://schemas.openxmlformats.org/officeDocument/2006/relationships/hyperlink" Target="http://www.bird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oril.org/en/index.php" TargetMode="External"/><Relationship Id="rId4" Type="http://schemas.openxmlformats.org/officeDocument/2006/relationships/webSettings" Target="webSettings.xml"/><Relationship Id="rId9" Type="http://schemas.openxmlformats.org/officeDocument/2006/relationships/hyperlink" Target="http://www.sii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1350</Words>
  <Characters>6753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Hayek</dc:creator>
  <cp:keywords/>
  <dc:description/>
  <cp:lastModifiedBy>Amir Hayek</cp:lastModifiedBy>
  <cp:revision>5</cp:revision>
  <dcterms:created xsi:type="dcterms:W3CDTF">2021-10-23T13:10:00Z</dcterms:created>
  <dcterms:modified xsi:type="dcterms:W3CDTF">2021-10-23T13:17:00Z</dcterms:modified>
</cp:coreProperties>
</file>