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3E490" w14:textId="0A01E5E3" w:rsidR="000515A1" w:rsidRDefault="000515A1">
      <w:proofErr w:type="spellStart"/>
      <w:r>
        <w:rPr>
          <w:color w:val="222222"/>
          <w:shd w:val="clear" w:color="auto" w:fill="FFFFFF"/>
        </w:rPr>
        <w:t>Ayumi</w:t>
      </w:r>
      <w:proofErr w:type="spellEnd"/>
      <w:r>
        <w:rPr>
          <w:color w:val="222222"/>
          <w:shd w:val="clear" w:color="auto" w:fill="FFFFFF"/>
        </w:rPr>
        <w:t xml:space="preserve"> </w:t>
      </w:r>
      <w:proofErr w:type="spellStart"/>
      <w:r>
        <w:rPr>
          <w:color w:val="222222"/>
          <w:shd w:val="clear" w:color="auto" w:fill="FFFFFF"/>
        </w:rPr>
        <w:t>Takenaka</w:t>
      </w:r>
      <w:proofErr w:type="spellEnd"/>
      <w:r>
        <w:rPr>
          <w:color w:val="222222"/>
          <w:shd w:val="clear" w:color="auto" w:fill="FFFFFF"/>
        </w:rPr>
        <w:t xml:space="preserve"> obtained her </w:t>
      </w:r>
      <w:proofErr w:type="spellStart"/>
      <w:proofErr w:type="gramStart"/>
      <w:r>
        <w:rPr>
          <w:color w:val="222222"/>
          <w:shd w:val="clear" w:color="auto" w:fill="FFFFFF"/>
        </w:rPr>
        <w:t>Ph.D</w:t>
      </w:r>
      <w:proofErr w:type="spellEnd"/>
      <w:proofErr w:type="gramEnd"/>
      <w:r>
        <w:rPr>
          <w:color w:val="222222"/>
          <w:shd w:val="clear" w:color="auto" w:fill="FFFFFF"/>
        </w:rPr>
        <w:t xml:space="preserve"> in sociology at Columbia University. After over a decade of having served on the sociology faculty at Bryn </w:t>
      </w:r>
      <w:proofErr w:type="spellStart"/>
      <w:r>
        <w:rPr>
          <w:color w:val="222222"/>
          <w:shd w:val="clear" w:color="auto" w:fill="FFFFFF"/>
        </w:rPr>
        <w:t>Mawr</w:t>
      </w:r>
      <w:proofErr w:type="spellEnd"/>
      <w:r>
        <w:rPr>
          <w:color w:val="222222"/>
          <w:shd w:val="clear" w:color="auto" w:fill="FFFFFF"/>
        </w:rPr>
        <w:t xml:space="preserve"> College (USA) and a stint as a researcher at the University of Oxford (UK), she joined the College of Global Liberal Arts of </w:t>
      </w:r>
      <w:proofErr w:type="spellStart"/>
      <w:r>
        <w:rPr>
          <w:color w:val="222222"/>
          <w:shd w:val="clear" w:color="auto" w:fill="FFFFFF"/>
        </w:rPr>
        <w:t>Ritsumeikan</w:t>
      </w:r>
      <w:proofErr w:type="spellEnd"/>
      <w:r>
        <w:rPr>
          <w:color w:val="222222"/>
          <w:shd w:val="clear" w:color="auto" w:fill="FFFFFF"/>
        </w:rPr>
        <w:t xml:space="preserve"> University (Japan) in 2019. She specializes in the fields of immigration, race and ethnicity, social inequality, and now food studies, and has conducted fieldwork in Peru, the US, Japan, the UK, and Spain. Her publications include three edited volumes -- </w:t>
      </w:r>
      <w:r>
        <w:rPr>
          <w:i/>
          <w:iCs/>
          <w:color w:val="222222"/>
          <w:shd w:val="clear" w:color="auto" w:fill="FFFFFF"/>
        </w:rPr>
        <w:t>Global Philadelphia: Immigrant Communities, Old and New</w:t>
      </w:r>
      <w:r>
        <w:rPr>
          <w:color w:val="222222"/>
          <w:shd w:val="clear" w:color="auto" w:fill="FFFFFF"/>
        </w:rPr>
        <w:t> (Temple University Press 2010), </w:t>
      </w:r>
      <w:r>
        <w:rPr>
          <w:i/>
          <w:iCs/>
          <w:color w:val="222222"/>
          <w:shd w:val="clear" w:color="auto" w:fill="FFFFFF"/>
        </w:rPr>
        <w:t>The Changing Japanese Family: A Comparative Perspective</w:t>
      </w:r>
      <w:r>
        <w:rPr>
          <w:color w:val="222222"/>
          <w:shd w:val="clear" w:color="auto" w:fill="FFFFFF"/>
        </w:rPr>
        <w:t> (Routledge 2006), and </w:t>
      </w:r>
      <w:r>
        <w:rPr>
          <w:i/>
          <w:iCs/>
          <w:color w:val="222222"/>
          <w:shd w:val="clear" w:color="auto" w:fill="FFFFFF"/>
        </w:rPr>
        <w:t>Global Japan: The Experience of Japan’s New Immigrants and Overseas Communities</w:t>
      </w:r>
      <w:r>
        <w:rPr>
          <w:color w:val="222222"/>
          <w:shd w:val="clear" w:color="auto" w:fill="FFFFFF"/>
        </w:rPr>
        <w:t> (Routledge 2003)—, a special journal issue on Global Peruvian migration (Latin American Perspectives, 2010), and numerous journal articles and chapters, such as: “The Paradox of Diaspora Engagement: A Historical Analysis of Japanese State-Diaspora Relations” (</w:t>
      </w:r>
      <w:r>
        <w:rPr>
          <w:i/>
          <w:iCs/>
          <w:color w:val="222222"/>
          <w:shd w:val="clear" w:color="auto" w:fill="FFFFFF"/>
        </w:rPr>
        <w:t>Journal of Ethnic and Migration Studies</w:t>
      </w:r>
      <w:r>
        <w:rPr>
          <w:color w:val="222222"/>
          <w:shd w:val="clear" w:color="auto" w:fill="FFFFFF"/>
        </w:rPr>
        <w:t>, 2020), “Nikkei Food” for Whom? Gastro-Politics and Culinary Representation in Peru” (</w:t>
      </w:r>
      <w:r>
        <w:rPr>
          <w:i/>
          <w:iCs/>
          <w:color w:val="222222"/>
          <w:shd w:val="clear" w:color="auto" w:fill="FFFFFF"/>
        </w:rPr>
        <w:t>Anthropology of Food</w:t>
      </w:r>
      <w:r>
        <w:rPr>
          <w:color w:val="222222"/>
          <w:shd w:val="clear" w:color="auto" w:fill="FFFFFF"/>
        </w:rPr>
        <w:t>, 2019), “Immigrant Integration through Food” (</w:t>
      </w:r>
      <w:r>
        <w:rPr>
          <w:i/>
          <w:iCs/>
          <w:color w:val="222222"/>
          <w:shd w:val="clear" w:color="auto" w:fill="FFFFFF"/>
        </w:rPr>
        <w:t>Contemporary Japan</w:t>
      </w:r>
      <w:r>
        <w:rPr>
          <w:color w:val="222222"/>
          <w:shd w:val="clear" w:color="auto" w:fill="FFFFFF"/>
        </w:rPr>
        <w:t>, 2018), and “Negative Assimilation: How Immigrants Achieve Economic Mobility in Japan” (</w:t>
      </w:r>
      <w:r>
        <w:rPr>
          <w:i/>
          <w:iCs/>
          <w:color w:val="222222"/>
          <w:shd w:val="clear" w:color="auto" w:fill="FFFFFF"/>
        </w:rPr>
        <w:t>International Migration Review</w:t>
      </w:r>
      <w:r>
        <w:rPr>
          <w:color w:val="222222"/>
          <w:shd w:val="clear" w:color="auto" w:fill="FFFFFF"/>
        </w:rPr>
        <w:t>, 2016).</w:t>
      </w:r>
    </w:p>
    <w:sectPr w:rsidR="00051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A1"/>
    <w:rsid w:val="000515A1"/>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2DB9"/>
  <w15:chartTrackingRefBased/>
  <w15:docId w15:val="{8DA654FF-510F-480F-87AC-4495BC4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2021-02-14T09:09:00Z</dcterms:created>
  <dcterms:modified xsi:type="dcterms:W3CDTF">2021-02-14T09:09:00Z</dcterms:modified>
</cp:coreProperties>
</file>