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C2" w:rsidRPr="00B35661" w:rsidRDefault="00F02EC2" w:rsidP="00B35661">
      <w:pPr>
        <w:pStyle w:val="ACSi-title"/>
        <w:rPr>
          <w:rFonts w:ascii="Tahoma" w:hAnsi="Tahoma" w:cs="Tahoma"/>
          <w:b w:val="0"/>
          <w:bCs/>
          <w:iCs/>
          <w:sz w:val="32"/>
          <w:szCs w:val="32"/>
          <w:rtl/>
        </w:rPr>
      </w:pPr>
      <w:r w:rsidRPr="00B35661">
        <w:rPr>
          <w:rFonts w:ascii="Tahoma" w:hAnsi="Tahoma" w:cs="Tahoma"/>
          <w:bCs/>
          <w:iCs/>
          <w:sz w:val="32"/>
          <w:szCs w:val="32"/>
        </w:rPr>
        <w:t xml:space="preserve">Rabbi David Cohen's Book </w:t>
      </w:r>
      <w:r w:rsidRPr="00B35661">
        <w:rPr>
          <w:rFonts w:ascii="Tahoma" w:hAnsi="Tahoma" w:cs="Tahoma"/>
          <w:bCs/>
          <w:i/>
          <w:sz w:val="32"/>
          <w:szCs w:val="32"/>
        </w:rPr>
        <w:t>Kol Ha-Nevua</w:t>
      </w:r>
      <w:r w:rsidR="00B35661" w:rsidRPr="00B35661">
        <w:rPr>
          <w:rFonts w:ascii="Tahoma" w:hAnsi="Tahoma" w:cs="Tahoma"/>
          <w:bCs/>
          <w:iCs/>
          <w:sz w:val="32"/>
          <w:szCs w:val="32"/>
        </w:rPr>
        <w:t xml:space="preserve"> and the</w:t>
      </w:r>
      <w:r w:rsidR="007765E9" w:rsidRPr="00B35661">
        <w:rPr>
          <w:rFonts w:ascii="Tahoma" w:hAnsi="Tahoma" w:cs="Tahoma"/>
          <w:bCs/>
          <w:iCs/>
          <w:sz w:val="32"/>
          <w:szCs w:val="32"/>
        </w:rPr>
        <w:t xml:space="preserve"> Ph</w:t>
      </w:r>
      <w:r w:rsidRPr="00B35661">
        <w:rPr>
          <w:rFonts w:ascii="Tahoma" w:hAnsi="Tahoma" w:cs="Tahoma"/>
          <w:bCs/>
          <w:iCs/>
          <w:sz w:val="32"/>
          <w:szCs w:val="32"/>
        </w:rPr>
        <w:t xml:space="preserve">ilosophy of Dialogue: </w:t>
      </w:r>
      <w:r w:rsidR="007765E9" w:rsidRPr="00B35661">
        <w:rPr>
          <w:rFonts w:ascii="Tahoma" w:hAnsi="Tahoma" w:cs="Tahoma"/>
          <w:bCs/>
          <w:iCs/>
          <w:sz w:val="32"/>
          <w:szCs w:val="32"/>
        </w:rPr>
        <w:t>N</w:t>
      </w:r>
      <w:r w:rsidRPr="00B35661">
        <w:rPr>
          <w:rFonts w:ascii="Tahoma" w:hAnsi="Tahoma" w:cs="Tahoma"/>
          <w:bCs/>
          <w:iCs/>
          <w:sz w:val="32"/>
          <w:szCs w:val="32"/>
        </w:rPr>
        <w:t>ew Perspectives</w:t>
      </w:r>
      <w:r w:rsidRPr="00B35661">
        <w:rPr>
          <w:rFonts w:cs="Arial"/>
          <w:i/>
          <w:iCs/>
          <w:sz w:val="32"/>
          <w:szCs w:val="32"/>
        </w:rPr>
        <w:t xml:space="preserve"> </w:t>
      </w:r>
      <w:r w:rsidRPr="00B35661">
        <w:rPr>
          <w:rFonts w:cs="Arial" w:hint="cs"/>
          <w:sz w:val="32"/>
          <w:szCs w:val="32"/>
          <w:rtl/>
        </w:rPr>
        <w:t xml:space="preserve"> </w:t>
      </w:r>
      <w:r w:rsidRPr="00B35661">
        <w:rPr>
          <w:rFonts w:cs="Arial"/>
          <w:sz w:val="32"/>
          <w:szCs w:val="32"/>
          <w:rtl/>
        </w:rPr>
        <w:t xml:space="preserve"> </w:t>
      </w:r>
    </w:p>
    <w:p w:rsidR="00EB1874" w:rsidRPr="00B35661" w:rsidRDefault="00EB1874" w:rsidP="00F02EC2">
      <w:pPr>
        <w:pStyle w:val="a6"/>
        <w:bidi w:val="0"/>
        <w:jc w:val="both"/>
        <w:rPr>
          <w:rFonts w:ascii="Tahoma" w:hAnsi="Tahoma" w:cs="Tahoma"/>
          <w:sz w:val="32"/>
          <w:szCs w:val="32"/>
        </w:rPr>
      </w:pPr>
    </w:p>
    <w:p w:rsidR="00466ED8" w:rsidRPr="00F02EC2" w:rsidRDefault="00F02EC2" w:rsidP="00F02EC2">
      <w:pPr>
        <w:pStyle w:val="a7"/>
        <w:spacing w:line="360" w:lineRule="auto"/>
        <w:rPr>
          <w:rFonts w:ascii="Tahoma" w:hAnsi="Tahoma" w:cs="Tahoma"/>
          <w:b/>
          <w:bCs/>
          <w:sz w:val="24"/>
          <w:szCs w:val="24"/>
          <w:u w:val="none"/>
          <w:rtl/>
        </w:rPr>
      </w:pPr>
      <w:r w:rsidRPr="00F02EC2">
        <w:rPr>
          <w:rFonts w:ascii="Tahoma" w:hAnsi="Tahoma" w:cs="Tahoma" w:hint="cs"/>
          <w:b/>
          <w:bCs/>
          <w:sz w:val="24"/>
          <w:szCs w:val="24"/>
          <w:u w:val="none"/>
          <w:rtl/>
        </w:rPr>
        <w:t>תקציר</w:t>
      </w:r>
    </w:p>
    <w:p w:rsidR="003B22EF" w:rsidRPr="00EB1874" w:rsidRDefault="003B22EF" w:rsidP="00B35661">
      <w:pPr>
        <w:pStyle w:val="a7"/>
        <w:spacing w:line="360" w:lineRule="auto"/>
        <w:rPr>
          <w:rFonts w:ascii="Tahoma" w:hAnsi="Tahoma" w:cs="Tahoma"/>
          <w:sz w:val="24"/>
          <w:szCs w:val="24"/>
          <w:u w:val="none"/>
          <w:rtl/>
        </w:rPr>
      </w:pPr>
      <w:r w:rsidRPr="00EB1874">
        <w:rPr>
          <w:rFonts w:ascii="Tahoma" w:hAnsi="Tahoma" w:cs="Tahoma"/>
          <w:sz w:val="24"/>
          <w:szCs w:val="24"/>
          <w:u w:val="none"/>
          <w:rtl/>
        </w:rPr>
        <w:t>דמותו והגותו של "הרב הנזיר"</w:t>
      </w:r>
      <w:r w:rsidR="00B35661">
        <w:rPr>
          <w:rFonts w:ascii="Tahoma" w:hAnsi="Tahoma" w:cs="Tahoma" w:hint="cs"/>
          <w:sz w:val="24"/>
          <w:szCs w:val="24"/>
          <w:u w:val="none"/>
          <w:rtl/>
        </w:rPr>
        <w:t xml:space="preserve"> (</w:t>
      </w:r>
      <w:r w:rsidR="00B35661">
        <w:rPr>
          <w:rFonts w:ascii="Tahoma" w:hAnsi="Tahoma" w:cs="Tahoma"/>
          <w:sz w:val="24"/>
          <w:szCs w:val="24"/>
          <w:u w:val="none"/>
        </w:rPr>
        <w:t>the "Nazirite Rabbi"</w:t>
      </w:r>
      <w:r w:rsidR="00B35661">
        <w:rPr>
          <w:rFonts w:ascii="Tahoma" w:hAnsi="Tahoma" w:cs="Tahoma" w:hint="cs"/>
          <w:sz w:val="24"/>
          <w:szCs w:val="24"/>
          <w:u w:val="none"/>
          <w:rtl/>
        </w:rPr>
        <w:t>)</w:t>
      </w:r>
      <w:r w:rsidRPr="00EB1874">
        <w:rPr>
          <w:rFonts w:ascii="Tahoma" w:hAnsi="Tahoma" w:cs="Tahoma"/>
          <w:sz w:val="24"/>
          <w:szCs w:val="24"/>
          <w:u w:val="none"/>
          <w:rtl/>
        </w:rPr>
        <w:t xml:space="preserve">, הרב דוד הכהן (1887-1972), הינן יוצאות </w:t>
      </w:r>
      <w:r w:rsidRPr="00EB1874">
        <w:rPr>
          <w:rFonts w:ascii="Tahoma" w:hAnsi="Tahoma" w:cs="Tahoma"/>
          <w:sz w:val="24"/>
          <w:szCs w:val="24"/>
          <w:u w:val="none"/>
        </w:rPr>
        <w:t>–</w:t>
      </w:r>
      <w:r w:rsidRPr="00EB1874">
        <w:rPr>
          <w:rFonts w:ascii="Tahoma" w:hAnsi="Tahoma" w:cs="Tahoma"/>
          <w:sz w:val="24"/>
          <w:szCs w:val="24"/>
          <w:u w:val="none"/>
          <w:rtl/>
        </w:rPr>
        <w:t>דופן בנוף האינטלקטואלי של ההגות היהודית המודרנית.</w:t>
      </w:r>
    </w:p>
    <w:p w:rsidR="003B22EF" w:rsidRPr="00EB1874" w:rsidRDefault="003B22EF" w:rsidP="00803AA3">
      <w:pPr>
        <w:pStyle w:val="a7"/>
        <w:spacing w:line="360" w:lineRule="auto"/>
        <w:rPr>
          <w:rFonts w:ascii="Tahoma" w:hAnsi="Tahoma" w:cs="Tahoma"/>
          <w:sz w:val="24"/>
          <w:szCs w:val="24"/>
          <w:u w:val="none"/>
          <w:rtl/>
        </w:rPr>
      </w:pPr>
      <w:r w:rsidRPr="00EB1874">
        <w:rPr>
          <w:rFonts w:ascii="Tahoma" w:hAnsi="Tahoma" w:cs="Tahoma"/>
          <w:sz w:val="24"/>
          <w:szCs w:val="24"/>
          <w:u w:val="none"/>
          <w:rtl/>
        </w:rPr>
        <w:t>אם במאה ה-19 רבים הם ה"מעברים" מבית המדרש המסורתי לתרבות הפילוסופית האירופית, כדוגמת שלמה מיימון או ר' נחמן קרוכמל, הרי שבתחילת המאה ה-20, המעבר הינו בכיוון השני: הרמן כהן ופרנץ רוזנצוויג פועלים מתוך תודעה של "שבים" בבואם ליצור הגות יהודית חדשה אשר תשתיתה היא המסורת הפילוסופית המער</w:t>
      </w:r>
      <w:bookmarkStart w:id="0" w:name="_GoBack"/>
      <w:bookmarkEnd w:id="0"/>
      <w:r w:rsidRPr="00EB1874">
        <w:rPr>
          <w:rFonts w:ascii="Tahoma" w:hAnsi="Tahoma" w:cs="Tahoma"/>
          <w:sz w:val="24"/>
          <w:szCs w:val="24"/>
          <w:u w:val="none"/>
          <w:rtl/>
        </w:rPr>
        <w:t>בית.</w:t>
      </w:r>
    </w:p>
    <w:p w:rsidR="00B35661" w:rsidRDefault="003B22EF" w:rsidP="00B9051C">
      <w:pPr>
        <w:pStyle w:val="a6"/>
        <w:jc w:val="both"/>
        <w:rPr>
          <w:rFonts w:ascii="Tahoma" w:hAnsi="Tahoma" w:cs="Tahoma"/>
          <w:sz w:val="24"/>
          <w:szCs w:val="24"/>
          <w:rtl/>
        </w:rPr>
      </w:pPr>
      <w:r w:rsidRPr="00EB1874">
        <w:rPr>
          <w:rFonts w:ascii="Tahoma" w:hAnsi="Tahoma" w:cs="Tahoma"/>
          <w:sz w:val="24"/>
          <w:szCs w:val="24"/>
          <w:rtl/>
        </w:rPr>
        <w:t>דרכו של הרב הנזיר שונה: היא מתאפיינת בנדודים אידיאיים וגאוגרפיים חסרי מנוח כאשר הוא נע בין שני עולמות: העולם המסורתי לערכיו</w:t>
      </w:r>
      <w:r w:rsidR="00342A01" w:rsidRPr="00EB1874">
        <w:rPr>
          <w:rFonts w:ascii="Tahoma" w:hAnsi="Tahoma" w:cs="Tahoma"/>
          <w:sz w:val="24"/>
          <w:szCs w:val="24"/>
          <w:rtl/>
        </w:rPr>
        <w:t xml:space="preserve"> מחד גיסא</w:t>
      </w:r>
      <w:r w:rsidRPr="00EB1874">
        <w:rPr>
          <w:rFonts w:ascii="Tahoma" w:hAnsi="Tahoma" w:cs="Tahoma"/>
          <w:sz w:val="24"/>
          <w:szCs w:val="24"/>
          <w:rtl/>
        </w:rPr>
        <w:t xml:space="preserve"> והתרבות הפילוסופית האירופית</w:t>
      </w:r>
      <w:r w:rsidR="00342A01" w:rsidRPr="00EB1874">
        <w:rPr>
          <w:rFonts w:ascii="Tahoma" w:hAnsi="Tahoma" w:cs="Tahoma"/>
          <w:sz w:val="24"/>
          <w:szCs w:val="24"/>
          <w:rtl/>
        </w:rPr>
        <w:t xml:space="preserve"> מאידך גיסא</w:t>
      </w:r>
      <w:r w:rsidRPr="00EB1874">
        <w:rPr>
          <w:rFonts w:ascii="Tahoma" w:hAnsi="Tahoma" w:cs="Tahoma"/>
          <w:sz w:val="24"/>
          <w:szCs w:val="24"/>
          <w:rtl/>
        </w:rPr>
        <w:t xml:space="preserve">. </w:t>
      </w:r>
    </w:p>
    <w:p w:rsidR="003A274C" w:rsidRPr="00EB1874" w:rsidRDefault="00466ED8" w:rsidP="00B35661">
      <w:pPr>
        <w:pStyle w:val="a6"/>
        <w:jc w:val="both"/>
        <w:rPr>
          <w:rFonts w:ascii="Tahoma" w:hAnsi="Tahoma" w:cs="Tahoma"/>
          <w:sz w:val="24"/>
          <w:szCs w:val="24"/>
          <w:rtl/>
        </w:rPr>
      </w:pPr>
      <w:r w:rsidRPr="00EB1874">
        <w:rPr>
          <w:rFonts w:ascii="Tahoma" w:hAnsi="Tahoma" w:cs="Tahoma"/>
          <w:sz w:val="24"/>
          <w:szCs w:val="24"/>
          <w:rtl/>
        </w:rPr>
        <w:t>ספרו הגדול של הרב הנזיר</w:t>
      </w:r>
      <w:r w:rsidR="003B22EF" w:rsidRPr="00EB1874">
        <w:rPr>
          <w:rFonts w:ascii="Tahoma" w:hAnsi="Tahoma" w:cs="Tahoma"/>
          <w:sz w:val="24"/>
          <w:szCs w:val="24"/>
          <w:rtl/>
        </w:rPr>
        <w:t xml:space="preserve"> – עליו שקש למעלה מחמישים שנה - </w:t>
      </w:r>
      <w:r w:rsidRPr="00EB1874">
        <w:rPr>
          <w:rFonts w:ascii="Tahoma" w:hAnsi="Tahoma" w:cs="Tahoma"/>
          <w:sz w:val="24"/>
          <w:szCs w:val="24"/>
          <w:rtl/>
        </w:rPr>
        <w:t xml:space="preserve"> </w:t>
      </w:r>
      <w:r w:rsidR="003B22EF" w:rsidRPr="00EB1874">
        <w:rPr>
          <w:rFonts w:ascii="Tahoma" w:hAnsi="Tahoma" w:cs="Tahoma"/>
          <w:sz w:val="24"/>
          <w:szCs w:val="24"/>
          <w:rtl/>
        </w:rPr>
        <w:t>נקרא "קול הנבואה"</w:t>
      </w:r>
      <w:r w:rsidR="00B35661">
        <w:rPr>
          <w:rFonts w:ascii="Tahoma" w:hAnsi="Tahoma" w:cs="Tahoma" w:hint="cs"/>
          <w:sz w:val="24"/>
          <w:szCs w:val="24"/>
          <w:rtl/>
        </w:rPr>
        <w:t xml:space="preserve"> (</w:t>
      </w:r>
      <w:r w:rsidR="00B35661" w:rsidRPr="00B35661">
        <w:rPr>
          <w:rFonts w:ascii="Tahoma" w:hAnsi="Tahoma" w:cs="Tahoma"/>
          <w:i/>
          <w:iCs/>
          <w:sz w:val="24"/>
          <w:szCs w:val="24"/>
        </w:rPr>
        <w:t>Kol Ha-Nevua – the Voice of the Prophecy</w:t>
      </w:r>
      <w:r w:rsidR="00B35661">
        <w:rPr>
          <w:rFonts w:ascii="Tahoma" w:hAnsi="Tahoma" w:cs="Tahoma" w:hint="cs"/>
          <w:sz w:val="24"/>
          <w:szCs w:val="24"/>
          <w:rtl/>
        </w:rPr>
        <w:t>)</w:t>
      </w:r>
      <w:r w:rsidR="003B22EF" w:rsidRPr="00EB1874">
        <w:rPr>
          <w:rFonts w:ascii="Tahoma" w:hAnsi="Tahoma" w:cs="Tahoma"/>
          <w:sz w:val="24"/>
          <w:szCs w:val="24"/>
          <w:rtl/>
        </w:rPr>
        <w:t xml:space="preserve"> בספר זה, </w:t>
      </w:r>
      <w:r w:rsidRPr="00EB1874">
        <w:rPr>
          <w:rFonts w:ascii="Tahoma" w:hAnsi="Tahoma" w:cs="Tahoma"/>
          <w:sz w:val="24"/>
          <w:szCs w:val="24"/>
          <w:rtl/>
        </w:rPr>
        <w:t xml:space="preserve">חותר </w:t>
      </w:r>
      <w:r w:rsidR="003B22EF" w:rsidRPr="00EB1874">
        <w:rPr>
          <w:rFonts w:ascii="Tahoma" w:hAnsi="Tahoma" w:cs="Tahoma"/>
          <w:sz w:val="24"/>
          <w:szCs w:val="24"/>
          <w:rtl/>
        </w:rPr>
        <w:t xml:space="preserve">המחבר </w:t>
      </w:r>
      <w:r w:rsidRPr="00EB1874">
        <w:rPr>
          <w:rFonts w:ascii="Tahoma" w:hAnsi="Tahoma" w:cs="Tahoma"/>
          <w:sz w:val="24"/>
          <w:szCs w:val="24"/>
          <w:rtl/>
        </w:rPr>
        <w:t>אחרי קיומו של "הגיון עברי שמעי"</w:t>
      </w:r>
      <w:r w:rsidR="00B35661">
        <w:rPr>
          <w:rFonts w:ascii="Tahoma" w:hAnsi="Tahoma" w:cs="Tahoma" w:hint="cs"/>
          <w:sz w:val="24"/>
          <w:szCs w:val="24"/>
          <w:rtl/>
        </w:rPr>
        <w:t xml:space="preserve"> (</w:t>
      </w:r>
      <w:r w:rsidR="00B35661" w:rsidRPr="00327CC3">
        <w:rPr>
          <w:rFonts w:ascii="Tahoma" w:hAnsi="Tahoma" w:cs="Tahoma"/>
          <w:i/>
          <w:iCs/>
          <w:sz w:val="24"/>
          <w:szCs w:val="24"/>
        </w:rPr>
        <w:t>the Hebrew Auditory Logic</w:t>
      </w:r>
      <w:r w:rsidR="00B35661">
        <w:rPr>
          <w:rFonts w:ascii="Tahoma" w:hAnsi="Tahoma" w:cs="Tahoma" w:hint="cs"/>
          <w:sz w:val="24"/>
          <w:szCs w:val="24"/>
          <w:rtl/>
        </w:rPr>
        <w:t>)</w:t>
      </w:r>
      <w:r w:rsidRPr="00EB1874">
        <w:rPr>
          <w:rFonts w:ascii="Tahoma" w:hAnsi="Tahoma" w:cs="Tahoma"/>
          <w:sz w:val="24"/>
          <w:szCs w:val="24"/>
          <w:rtl/>
        </w:rPr>
        <w:t xml:space="preserve"> ייחודי לישראל, ושאיפתו של המחבר היא לחשוף את עקבותיו של היגיון זה בפילוסופיה היהודית ובספרות הקבלה. </w:t>
      </w:r>
    </w:p>
    <w:p w:rsidR="00466ED8" w:rsidRPr="00EB1874" w:rsidRDefault="00342A01" w:rsidP="00803AA3">
      <w:pPr>
        <w:pStyle w:val="a6"/>
        <w:jc w:val="both"/>
        <w:rPr>
          <w:rFonts w:ascii="Tahoma" w:hAnsi="Tahoma" w:cs="Tahoma"/>
          <w:sz w:val="24"/>
          <w:szCs w:val="24"/>
          <w:rtl/>
        </w:rPr>
      </w:pPr>
      <w:r w:rsidRPr="00EB1874">
        <w:rPr>
          <w:rFonts w:ascii="Tahoma" w:hAnsi="Tahoma" w:cs="Tahoma"/>
          <w:sz w:val="24"/>
          <w:szCs w:val="24"/>
          <w:rtl/>
        </w:rPr>
        <w:t xml:space="preserve">מעטים הם המחקרים העוסקים בהגותו של הרב הנזיר בכלל ובספר קול הנבואה בפרט. </w:t>
      </w:r>
    </w:p>
    <w:p w:rsidR="00342A01" w:rsidRPr="00EB1874" w:rsidRDefault="00342A01" w:rsidP="00327CC3">
      <w:pPr>
        <w:pStyle w:val="a6"/>
        <w:jc w:val="both"/>
        <w:rPr>
          <w:rFonts w:ascii="Tahoma" w:hAnsi="Tahoma" w:cs="Tahoma"/>
          <w:sz w:val="24"/>
          <w:szCs w:val="24"/>
          <w:rtl/>
        </w:rPr>
      </w:pPr>
      <w:r w:rsidRPr="00EB1874">
        <w:rPr>
          <w:rFonts w:ascii="Tahoma" w:hAnsi="Tahoma" w:cs="Tahoma"/>
          <w:sz w:val="24"/>
          <w:szCs w:val="24"/>
          <w:rtl/>
        </w:rPr>
        <w:t xml:space="preserve">דב שוורץ התמקד בעיקר </w:t>
      </w:r>
      <w:r w:rsidR="00327CC3">
        <w:rPr>
          <w:rFonts w:ascii="Tahoma" w:hAnsi="Tahoma" w:cs="Tahoma" w:hint="cs"/>
          <w:sz w:val="24"/>
          <w:szCs w:val="24"/>
          <w:rtl/>
        </w:rPr>
        <w:t>בי</w:t>
      </w:r>
      <w:r w:rsidRPr="00EB1874">
        <w:rPr>
          <w:rFonts w:ascii="Tahoma" w:hAnsi="Tahoma" w:cs="Tahoma"/>
          <w:sz w:val="24"/>
          <w:szCs w:val="24"/>
          <w:rtl/>
        </w:rPr>
        <w:t xml:space="preserve">יחסו של הנזיר לרבו, הראי"ה קוק, </w:t>
      </w:r>
      <w:r w:rsidR="00327CC3">
        <w:rPr>
          <w:rFonts w:ascii="Tahoma" w:hAnsi="Tahoma" w:cs="Tahoma" w:hint="cs"/>
          <w:sz w:val="24"/>
          <w:szCs w:val="24"/>
          <w:rtl/>
        </w:rPr>
        <w:t>וב</w:t>
      </w:r>
      <w:r w:rsidRPr="00EB1874">
        <w:rPr>
          <w:rFonts w:ascii="Tahoma" w:hAnsi="Tahoma" w:cs="Tahoma"/>
          <w:sz w:val="24"/>
          <w:szCs w:val="24"/>
          <w:rtl/>
        </w:rPr>
        <w:t>היבטים הלוגיים והמשפטיים של הגותו של הרד"ך, כחלק מדיון רחב יותר העוסק בציונות הדתית בכלל ובתפיסה המשיחית שבה בפרט.</w:t>
      </w:r>
    </w:p>
    <w:p w:rsidR="00195BB1" w:rsidRPr="00EB1874" w:rsidRDefault="00195BB1" w:rsidP="00327CC3">
      <w:pPr>
        <w:pStyle w:val="a6"/>
        <w:jc w:val="both"/>
        <w:rPr>
          <w:rFonts w:ascii="Tahoma" w:hAnsi="Tahoma" w:cs="Tahoma"/>
          <w:sz w:val="24"/>
          <w:szCs w:val="24"/>
          <w:rtl/>
        </w:rPr>
      </w:pPr>
      <w:r w:rsidRPr="00EB1874">
        <w:rPr>
          <w:rFonts w:ascii="Tahoma" w:hAnsi="Tahoma" w:cs="Tahoma"/>
          <w:sz w:val="24"/>
          <w:szCs w:val="24"/>
          <w:rtl/>
        </w:rPr>
        <w:t>בספרי "הפילוסוף המקובל"</w:t>
      </w:r>
      <w:r w:rsidR="00327CC3">
        <w:rPr>
          <w:rFonts w:ascii="Tahoma" w:hAnsi="Tahoma" w:cs="Tahoma" w:hint="cs"/>
          <w:sz w:val="24"/>
          <w:szCs w:val="24"/>
          <w:rtl/>
        </w:rPr>
        <w:t xml:space="preserve"> (</w:t>
      </w:r>
      <w:r w:rsidR="00327CC3">
        <w:rPr>
          <w:rFonts w:ascii="Tahoma" w:hAnsi="Tahoma" w:cs="Tahoma" w:hint="cs"/>
          <w:sz w:val="24"/>
          <w:szCs w:val="24"/>
        </w:rPr>
        <w:t>T</w:t>
      </w:r>
      <w:r w:rsidR="00327CC3">
        <w:rPr>
          <w:rFonts w:ascii="Tahoma" w:hAnsi="Tahoma" w:cs="Tahoma"/>
          <w:sz w:val="24"/>
          <w:szCs w:val="24"/>
        </w:rPr>
        <w:t>he Mystical Philosopher</w:t>
      </w:r>
      <w:r w:rsidR="00327CC3">
        <w:rPr>
          <w:rFonts w:ascii="Tahoma" w:hAnsi="Tahoma" w:cs="Tahoma" w:hint="cs"/>
          <w:sz w:val="24"/>
          <w:szCs w:val="24"/>
          <w:rtl/>
        </w:rPr>
        <w:t>)</w:t>
      </w:r>
      <w:r w:rsidRPr="00EB1874">
        <w:rPr>
          <w:rFonts w:ascii="Tahoma" w:hAnsi="Tahoma" w:cs="Tahoma"/>
          <w:sz w:val="24"/>
          <w:szCs w:val="24"/>
          <w:rtl/>
        </w:rPr>
        <w:t xml:space="preserve"> ניסיתי להרחיב את היריעה ולהציג את הגותו של הרב הנזיר בזיקה ל</w:t>
      </w:r>
      <w:r w:rsidR="00AB5537" w:rsidRPr="00EB1874">
        <w:rPr>
          <w:rFonts w:ascii="Tahoma" w:hAnsi="Tahoma" w:cs="Tahoma"/>
          <w:sz w:val="24"/>
          <w:szCs w:val="24"/>
          <w:rtl/>
        </w:rPr>
        <w:t>חוויותיו המיסטיות מצד אחד ומצד שני, בזיקה לעמדות שונות בפילוסופיה המערבית המודרנית.</w:t>
      </w:r>
    </w:p>
    <w:p w:rsidR="00342A01" w:rsidRPr="00327CC3" w:rsidRDefault="00B9051C" w:rsidP="00327CC3">
      <w:pPr>
        <w:pStyle w:val="a6"/>
        <w:jc w:val="both"/>
        <w:rPr>
          <w:rFonts w:ascii="Tahoma" w:hAnsi="Tahoma" w:cs="Tahoma"/>
          <w:sz w:val="24"/>
          <w:szCs w:val="24"/>
          <w:rtl/>
        </w:rPr>
      </w:pPr>
      <w:r w:rsidRPr="00EB1874">
        <w:rPr>
          <w:rFonts w:ascii="Tahoma" w:hAnsi="Tahoma" w:cs="Tahoma"/>
          <w:sz w:val="24"/>
          <w:szCs w:val="24"/>
          <w:rtl/>
        </w:rPr>
        <w:t xml:space="preserve">הרצאה זו מבקשת </w:t>
      </w:r>
      <w:r w:rsidR="00327CC3">
        <w:rPr>
          <w:rFonts w:ascii="Tahoma" w:hAnsi="Tahoma" w:cs="Tahoma" w:hint="cs"/>
          <w:sz w:val="24"/>
          <w:szCs w:val="24"/>
          <w:rtl/>
        </w:rPr>
        <w:t>לבחון את</w:t>
      </w:r>
      <w:r w:rsidRPr="00EB1874">
        <w:rPr>
          <w:rFonts w:ascii="Tahoma" w:hAnsi="Tahoma" w:cs="Tahoma"/>
          <w:sz w:val="24"/>
          <w:szCs w:val="24"/>
          <w:rtl/>
        </w:rPr>
        <w:t xml:space="preserve"> </w:t>
      </w:r>
      <w:r w:rsidR="00195BB1" w:rsidRPr="00EB1874">
        <w:rPr>
          <w:rFonts w:ascii="Tahoma" w:hAnsi="Tahoma" w:cs="Tahoma"/>
          <w:sz w:val="24"/>
          <w:szCs w:val="24"/>
          <w:rtl/>
        </w:rPr>
        <w:t xml:space="preserve">תפיסת </w:t>
      </w:r>
      <w:r w:rsidR="00AB5537" w:rsidRPr="00EB1874">
        <w:rPr>
          <w:rFonts w:ascii="Tahoma" w:hAnsi="Tahoma" w:cs="Tahoma"/>
          <w:sz w:val="24"/>
          <w:szCs w:val="24"/>
          <w:rtl/>
        </w:rPr>
        <w:t>ההיגיון</w:t>
      </w:r>
      <w:r w:rsidR="00327CC3">
        <w:rPr>
          <w:rFonts w:ascii="Tahoma" w:hAnsi="Tahoma" w:cs="Tahoma"/>
          <w:sz w:val="24"/>
          <w:szCs w:val="24"/>
          <w:rtl/>
        </w:rPr>
        <w:t xml:space="preserve"> העברי השמעי</w:t>
      </w:r>
      <w:r w:rsidR="00327CC3">
        <w:rPr>
          <w:rFonts w:ascii="Tahoma" w:hAnsi="Tahoma" w:cs="Tahoma" w:hint="cs"/>
          <w:sz w:val="24"/>
          <w:szCs w:val="24"/>
          <w:rtl/>
        </w:rPr>
        <w:t>, דרך הפריזמה של הפ</w:t>
      </w:r>
      <w:r w:rsidR="00195BB1" w:rsidRPr="00EB1874">
        <w:rPr>
          <w:rFonts w:ascii="Tahoma" w:hAnsi="Tahoma" w:cs="Tahoma"/>
          <w:sz w:val="24"/>
          <w:szCs w:val="24"/>
          <w:rtl/>
        </w:rPr>
        <w:t xml:space="preserve">ילוסופיה של הדיאלוג, </w:t>
      </w:r>
      <w:r w:rsidR="00327CC3">
        <w:rPr>
          <w:rFonts w:ascii="Tahoma" w:hAnsi="Tahoma" w:cs="Tahoma" w:hint="cs"/>
          <w:sz w:val="24"/>
          <w:szCs w:val="24"/>
          <w:rtl/>
        </w:rPr>
        <w:t xml:space="preserve">ולהציע </w:t>
      </w:r>
      <w:r w:rsidR="00195BB1" w:rsidRPr="00EB1874">
        <w:rPr>
          <w:rFonts w:ascii="Tahoma" w:hAnsi="Tahoma" w:cs="Tahoma"/>
          <w:sz w:val="24"/>
          <w:szCs w:val="24"/>
          <w:rtl/>
        </w:rPr>
        <w:t>הקשרים אפיסטמולוגיים, אתיים ואף פדגוגיים.</w:t>
      </w:r>
      <w:r w:rsidR="00195BB1" w:rsidRPr="00327CC3">
        <w:rPr>
          <w:rFonts w:ascii="Tahoma" w:hAnsi="Tahoma" w:cs="Tahoma" w:hint="cs"/>
          <w:sz w:val="24"/>
          <w:szCs w:val="24"/>
          <w:rtl/>
        </w:rPr>
        <w:t xml:space="preserve"> גישה זו </w:t>
      </w:r>
      <w:r w:rsidR="00327CC3">
        <w:rPr>
          <w:rFonts w:ascii="Tahoma" w:hAnsi="Tahoma" w:cs="Tahoma" w:hint="cs"/>
          <w:sz w:val="24"/>
          <w:szCs w:val="24"/>
          <w:rtl/>
        </w:rPr>
        <w:t>תחשוף</w:t>
      </w:r>
      <w:r w:rsidR="00195BB1" w:rsidRPr="00327CC3">
        <w:rPr>
          <w:rFonts w:ascii="Tahoma" w:hAnsi="Tahoma" w:cs="Tahoma" w:hint="cs"/>
          <w:sz w:val="24"/>
          <w:szCs w:val="24"/>
          <w:rtl/>
        </w:rPr>
        <w:t xml:space="preserve"> חיבורים מפתיעים ומקוריים בין הגותו של הנזיר לבין הפילוסופיה המערבית בת-זמנו.</w:t>
      </w:r>
    </w:p>
    <w:p w:rsidR="00342A01" w:rsidRPr="00327CC3" w:rsidRDefault="00342A01" w:rsidP="00803AA3">
      <w:pPr>
        <w:pStyle w:val="a6"/>
        <w:jc w:val="both"/>
        <w:rPr>
          <w:rFonts w:ascii="Tahoma" w:hAnsi="Tahoma" w:cs="Tahoma"/>
          <w:sz w:val="24"/>
          <w:szCs w:val="24"/>
          <w:rtl/>
        </w:rPr>
      </w:pPr>
    </w:p>
    <w:sectPr w:rsidR="00342A01" w:rsidRPr="00327CC3" w:rsidSect="00856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6CD" w:rsidRDefault="00A316CD" w:rsidP="00320A32">
      <w:pPr>
        <w:spacing w:line="240" w:lineRule="auto"/>
      </w:pPr>
      <w:r>
        <w:separator/>
      </w:r>
    </w:p>
  </w:endnote>
  <w:endnote w:type="continuationSeparator" w:id="0">
    <w:p w:rsidR="00A316CD" w:rsidRDefault="00A316CD" w:rsidP="00320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6CD" w:rsidRDefault="00A316CD" w:rsidP="00320A32">
      <w:pPr>
        <w:spacing w:line="240" w:lineRule="auto"/>
      </w:pPr>
      <w:r>
        <w:separator/>
      </w:r>
    </w:p>
  </w:footnote>
  <w:footnote w:type="continuationSeparator" w:id="0">
    <w:p w:rsidR="00A316CD" w:rsidRDefault="00A316CD" w:rsidP="00320A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D8"/>
    <w:rsid w:val="00082C64"/>
    <w:rsid w:val="00195BB1"/>
    <w:rsid w:val="00320A32"/>
    <w:rsid w:val="00327CC3"/>
    <w:rsid w:val="003330A0"/>
    <w:rsid w:val="00342A01"/>
    <w:rsid w:val="003A274C"/>
    <w:rsid w:val="003B22EF"/>
    <w:rsid w:val="00466ED8"/>
    <w:rsid w:val="0066504A"/>
    <w:rsid w:val="00753B5E"/>
    <w:rsid w:val="007765E9"/>
    <w:rsid w:val="00803AA3"/>
    <w:rsid w:val="00806ED8"/>
    <w:rsid w:val="0082745F"/>
    <w:rsid w:val="00856402"/>
    <w:rsid w:val="00A04EB0"/>
    <w:rsid w:val="00A316CD"/>
    <w:rsid w:val="00AB5537"/>
    <w:rsid w:val="00B35661"/>
    <w:rsid w:val="00B7263C"/>
    <w:rsid w:val="00B9051C"/>
    <w:rsid w:val="00C73146"/>
    <w:rsid w:val="00E2169A"/>
    <w:rsid w:val="00EB1874"/>
    <w:rsid w:val="00F02EC2"/>
    <w:rsid w:val="00F4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CCA13"/>
  <w15:chartTrackingRefBased/>
  <w15:docId w15:val="{D5606641-4A81-40D3-BDD2-457B10A3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D8"/>
    <w:pPr>
      <w:autoSpaceDE w:val="0"/>
      <w:autoSpaceDN w:val="0"/>
      <w:bidi/>
      <w:spacing w:after="0" w:line="360" w:lineRule="exact"/>
      <w:jc w:val="both"/>
    </w:pPr>
    <w:rPr>
      <w:rFonts w:ascii="Times New Roman" w:eastAsia="Times New Roman" w:hAnsi="Times New Roman" w:cs="Times New Roman"/>
      <w:sz w:val="20"/>
      <w:szCs w:val="26"/>
    </w:rPr>
  </w:style>
  <w:style w:type="paragraph" w:styleId="1">
    <w:name w:val="heading 1"/>
    <w:basedOn w:val="a"/>
    <w:link w:val="10"/>
    <w:uiPriority w:val="9"/>
    <w:qFormat/>
    <w:rsid w:val="0066504A"/>
    <w:pPr>
      <w:autoSpaceDE/>
      <w:autoSpaceDN/>
      <w:bidi w:val="0"/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0A32"/>
    <w:pPr>
      <w:spacing w:line="240" w:lineRule="auto"/>
      <w:jc w:val="right"/>
    </w:pPr>
    <w:rPr>
      <w:szCs w:val="20"/>
    </w:rPr>
  </w:style>
  <w:style w:type="character" w:customStyle="1" w:styleId="a4">
    <w:name w:val="טקסט הערת שוליים תו"/>
    <w:basedOn w:val="a0"/>
    <w:link w:val="a3"/>
    <w:semiHidden/>
    <w:rsid w:val="00320A3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320A32"/>
    <w:rPr>
      <w:rFonts w:ascii="Times New Roman" w:hAnsi="Times New Roman" w:cs="Times New Roman"/>
      <w:vertAlign w:val="superscript"/>
    </w:rPr>
  </w:style>
  <w:style w:type="paragraph" w:customStyle="1" w:styleId="a6">
    <w:name w:val="כותרת לחלק"/>
    <w:basedOn w:val="a"/>
    <w:rsid w:val="0066504A"/>
    <w:pPr>
      <w:spacing w:line="360" w:lineRule="auto"/>
      <w:jc w:val="center"/>
    </w:pPr>
    <w:rPr>
      <w:rFonts w:ascii="Arial" w:hAnsi="Arial"/>
      <w:sz w:val="26"/>
      <w:szCs w:val="36"/>
    </w:rPr>
  </w:style>
  <w:style w:type="paragraph" w:customStyle="1" w:styleId="a7">
    <w:name w:val="כותרת לפרק"/>
    <w:basedOn w:val="a"/>
    <w:rsid w:val="0066504A"/>
    <w:pPr>
      <w:keepNext/>
      <w:autoSpaceDE/>
      <w:autoSpaceDN/>
      <w:outlineLvl w:val="7"/>
    </w:pPr>
    <w:rPr>
      <w:sz w:val="26"/>
      <w:szCs w:val="32"/>
      <w:u w:val="single"/>
      <w:lang w:eastAsia="he-IL"/>
    </w:rPr>
  </w:style>
  <w:style w:type="character" w:customStyle="1" w:styleId="10">
    <w:name w:val="כותרת 1 תו"/>
    <w:basedOn w:val="a0"/>
    <w:link w:val="1"/>
    <w:uiPriority w:val="9"/>
    <w:rsid w:val="006650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semiHidden/>
    <w:rsid w:val="00342A01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semiHidden/>
    <w:rsid w:val="00342A01"/>
    <w:rPr>
      <w:rFonts w:ascii="Tahoma" w:eastAsia="Times New Roman" w:hAnsi="Tahoma" w:cs="Tahoma"/>
      <w:sz w:val="16"/>
      <w:szCs w:val="16"/>
    </w:rPr>
  </w:style>
  <w:style w:type="paragraph" w:customStyle="1" w:styleId="ACSi-affiliation">
    <w:name w:val="ACSi-affiliation"/>
    <w:basedOn w:val="a"/>
    <w:rsid w:val="00F4457B"/>
    <w:pPr>
      <w:autoSpaceDE/>
      <w:autoSpaceDN/>
      <w:bidi w:val="0"/>
      <w:spacing w:line="240" w:lineRule="auto"/>
      <w:jc w:val="center"/>
    </w:pPr>
    <w:rPr>
      <w:i/>
      <w:szCs w:val="20"/>
      <w:lang w:bidi="ar-SA"/>
    </w:rPr>
  </w:style>
  <w:style w:type="paragraph" w:customStyle="1" w:styleId="ACSi-title">
    <w:name w:val="ACSi-title"/>
    <w:basedOn w:val="2"/>
    <w:rsid w:val="00F4457B"/>
    <w:pPr>
      <w:keepLines w:val="0"/>
      <w:autoSpaceDE/>
      <w:autoSpaceDN/>
      <w:bidi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bidi="ar-SA"/>
    </w:rPr>
  </w:style>
  <w:style w:type="character" w:customStyle="1" w:styleId="20">
    <w:name w:val="כותרת 2 תו"/>
    <w:basedOn w:val="a0"/>
    <w:link w:val="2"/>
    <w:uiPriority w:val="9"/>
    <w:semiHidden/>
    <w:rsid w:val="00F44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a0"/>
    <w:uiPriority w:val="99"/>
    <w:unhideWhenUsed/>
    <w:rsid w:val="00EB18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BF495-66DA-4938-B90F-9CCBC07A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יהודה ביטי</dc:creator>
  <cp:keywords/>
  <dc:description/>
  <cp:lastModifiedBy>יהודה ביטי</cp:lastModifiedBy>
  <cp:revision>4</cp:revision>
  <dcterms:created xsi:type="dcterms:W3CDTF">2020-01-16T12:59:00Z</dcterms:created>
  <dcterms:modified xsi:type="dcterms:W3CDTF">2020-01-16T13:16:00Z</dcterms:modified>
</cp:coreProperties>
</file>