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41E98" w14:textId="77777777" w:rsidR="001C24B2" w:rsidRPr="00CD5A1A" w:rsidRDefault="00CD5A1A">
      <w:pPr>
        <w:rPr>
          <w:b/>
          <w:bCs/>
        </w:rPr>
      </w:pPr>
      <w:r w:rsidRPr="00CD5A1A">
        <w:rPr>
          <w:b/>
          <w:bCs/>
        </w:rPr>
        <w:t>Modern Approaches to Order and Juxtaposition</w:t>
      </w:r>
    </w:p>
    <w:p w14:paraId="7B067B4A" w14:textId="77777777" w:rsidR="00CD5A1A" w:rsidRPr="000715DB" w:rsidRDefault="00CD5A1A">
      <w:pPr>
        <w:rPr>
          <w:b/>
          <w:bCs/>
        </w:rPr>
      </w:pPr>
      <w:r w:rsidRPr="000715DB">
        <w:rPr>
          <w:b/>
          <w:bCs/>
        </w:rPr>
        <w:t xml:space="preserve">S.D. </w:t>
      </w:r>
      <w:proofErr w:type="spellStart"/>
      <w:r w:rsidRPr="000715DB">
        <w:rPr>
          <w:b/>
          <w:bCs/>
        </w:rPr>
        <w:t>Luzzatto</w:t>
      </w:r>
      <w:proofErr w:type="spellEnd"/>
      <w:r w:rsidRPr="000715DB">
        <w:rPr>
          <w:b/>
          <w:bCs/>
        </w:rPr>
        <w:t xml:space="preserve"> (</w:t>
      </w:r>
      <w:proofErr w:type="spellStart"/>
      <w:r w:rsidRPr="000715DB">
        <w:rPr>
          <w:b/>
          <w:bCs/>
        </w:rPr>
        <w:t>Shadal</w:t>
      </w:r>
      <w:proofErr w:type="spellEnd"/>
      <w:r w:rsidRPr="000715DB">
        <w:rPr>
          <w:b/>
          <w:bCs/>
        </w:rPr>
        <w:t>)</w:t>
      </w:r>
      <w:r w:rsidR="006720C2">
        <w:rPr>
          <w:b/>
          <w:bCs/>
        </w:rPr>
        <w:t xml:space="preserve"> 1800-1865</w:t>
      </w:r>
    </w:p>
    <w:p w14:paraId="42B4D06D" w14:textId="77777777" w:rsidR="00CD5A1A" w:rsidRDefault="00CD5A1A" w:rsidP="00F96BFF">
      <w:r>
        <w:t xml:space="preserve">In the introduction to his commentary on the Torah, </w:t>
      </w:r>
      <w:proofErr w:type="spellStart"/>
      <w:r>
        <w:t>Shadal</w:t>
      </w:r>
      <w:proofErr w:type="spellEnd"/>
      <w:r>
        <w:t xml:space="preserve"> wrote:</w:t>
      </w:r>
      <w:r w:rsidR="00150949">
        <w:rPr>
          <w:rStyle w:val="FootnoteReference"/>
        </w:rPr>
        <w:footnoteReference w:id="1"/>
      </w:r>
    </w:p>
    <w:p w14:paraId="566446EE" w14:textId="6ED4BFD8" w:rsidR="00CD5A1A" w:rsidRDefault="00FC7BB6" w:rsidP="00190264">
      <w:pPr>
        <w:ind w:left="720"/>
      </w:pPr>
      <w:r>
        <w:t xml:space="preserve">For </w:t>
      </w:r>
      <w:r w:rsidR="00D14C85">
        <w:t>creation</w:t>
      </w:r>
      <w:r>
        <w:t xml:space="preserve"> is something not </w:t>
      </w:r>
      <w:r w:rsidR="00D14C85">
        <w:t>intelligible</w:t>
      </w:r>
      <w:r>
        <w:t xml:space="preserve"> to the human mind and so will always be</w:t>
      </w:r>
      <w:proofErr w:type="gramStart"/>
      <w:r>
        <w:t xml:space="preserve">. </w:t>
      </w:r>
      <w:r w:rsidR="001D4786">
        <w:t>. . .</w:t>
      </w:r>
      <w:proofErr w:type="gramEnd"/>
      <w:r w:rsidR="00190264">
        <w:t xml:space="preserve"> </w:t>
      </w:r>
      <w:r w:rsidR="00A063D8">
        <w:t xml:space="preserve">Likewise concerning </w:t>
      </w:r>
      <w:r w:rsidR="00CD5A1A">
        <w:t xml:space="preserve">the order in which He who gave the </w:t>
      </w:r>
      <w:r w:rsidR="00A063D8">
        <w:t>T</w:t>
      </w:r>
      <w:r w:rsidR="00CD5A1A">
        <w:t xml:space="preserve">orah </w:t>
      </w:r>
      <w:r w:rsidR="00A063D8">
        <w:t>arranged</w:t>
      </w:r>
      <w:r w:rsidR="00CD5A1A">
        <w:t xml:space="preserve"> His stories, and likewise </w:t>
      </w:r>
      <w:r w:rsidR="00E5114F">
        <w:t>the reason for</w:t>
      </w:r>
      <w:r w:rsidR="00CD5A1A">
        <w:t xml:space="preserve"> His many repetitions. It</w:t>
      </w:r>
      <w:r w:rsidR="00A063D8">
        <w:t xml:space="preserve"> </w:t>
      </w:r>
      <w:r w:rsidR="00CD5A1A">
        <w:t>woul</w:t>
      </w:r>
      <w:r w:rsidR="00A063D8">
        <w:t>d be wonderful if we could find an explanation for these matters, if that could be done without damaging the true meaning of the verses. However, such explanation is not essential nor is it always within the possibilit</w:t>
      </w:r>
      <w:r w:rsidR="001A4E9F">
        <w:t>y o</w:t>
      </w:r>
      <w:r w:rsidR="00A063D8">
        <w:t xml:space="preserve">f human reason. It is best to leave these phenomena as they are, rather than </w:t>
      </w:r>
      <w:r w:rsidR="00B37275">
        <w:t>offering e</w:t>
      </w:r>
      <w:r w:rsidR="00A063D8">
        <w:t xml:space="preserve">xplanations that are neither </w:t>
      </w:r>
      <w:r w:rsidR="001A4E9F">
        <w:t xml:space="preserve">satisfying nor </w:t>
      </w:r>
      <w:r w:rsidR="00E5114F">
        <w:t>certain</w:t>
      </w:r>
      <w:r w:rsidR="00CE5472">
        <w:t xml:space="preserve"> </w:t>
      </w:r>
      <w:proofErr w:type="gramStart"/>
      <w:r w:rsidR="00A063D8">
        <w:t>.</w:t>
      </w:r>
      <w:r w:rsidR="00CD5A1A">
        <w:t xml:space="preserve"> </w:t>
      </w:r>
      <w:r w:rsidR="009C38C4">
        <w:t>. . .</w:t>
      </w:r>
      <w:proofErr w:type="gramEnd"/>
    </w:p>
    <w:p w14:paraId="6001EFE7" w14:textId="595F8E67" w:rsidR="001B39EC" w:rsidRDefault="00DD570C" w:rsidP="00323A22">
      <w:pPr>
        <w:ind w:left="720"/>
      </w:pPr>
      <w:r>
        <w:t>J</w:t>
      </w:r>
      <w:r w:rsidR="00E5114F">
        <w:t>ust as it is wrong to explain each clause or phrase in a verse independently</w:t>
      </w:r>
      <w:r w:rsidR="001A4E9F">
        <w:t>, or</w:t>
      </w:r>
      <w:r w:rsidR="00E5114F">
        <w:t xml:space="preserve"> to treat </w:t>
      </w:r>
      <w:r w:rsidR="007077CF">
        <w:t>subordinate</w:t>
      </w:r>
      <w:r w:rsidR="00E5114F">
        <w:t xml:space="preserve"> </w:t>
      </w:r>
      <w:r w:rsidR="00323A22">
        <w:t>and</w:t>
      </w:r>
      <w:r w:rsidR="00E5114F">
        <w:t xml:space="preserve"> coordinate sentence</w:t>
      </w:r>
      <w:r w:rsidR="00676B04">
        <w:t>s</w:t>
      </w:r>
      <w:r w:rsidR="0063648F" w:rsidRPr="0063648F">
        <w:t xml:space="preserve"> </w:t>
      </w:r>
      <w:r w:rsidR="0063648F">
        <w:t>separately</w:t>
      </w:r>
      <w:r w:rsidR="001B39EC">
        <w:t xml:space="preserve"> </w:t>
      </w:r>
      <w:r w:rsidR="001D4786">
        <w:t>without regard for</w:t>
      </w:r>
      <w:r w:rsidR="001B39EC">
        <w:t xml:space="preserve"> the whole</w:t>
      </w:r>
      <w:r w:rsidR="002F6837">
        <w:t xml:space="preserve"> pericope</w:t>
      </w:r>
      <w:r w:rsidR="00E5114F">
        <w:t xml:space="preserve">, so is it </w:t>
      </w:r>
      <w:r w:rsidR="00843C04">
        <w:t xml:space="preserve">equally </w:t>
      </w:r>
      <w:r w:rsidR="007077CF">
        <w:t>wrong</w:t>
      </w:r>
      <w:r w:rsidR="00E5114F">
        <w:t xml:space="preserve"> to </w:t>
      </w:r>
      <w:r w:rsidR="007077CF">
        <w:t xml:space="preserve">tie together two adjacent verses that are </w:t>
      </w:r>
      <w:r w:rsidR="0063648F">
        <w:t xml:space="preserve">clearly not </w:t>
      </w:r>
      <w:r w:rsidR="007077CF">
        <w:t>connected</w:t>
      </w:r>
      <w:r w:rsidR="00843C04">
        <w:t xml:space="preserve"> in </w:t>
      </w:r>
      <w:r w:rsidR="002F6837">
        <w:t>meaning</w:t>
      </w:r>
      <w:r w:rsidR="00843C04">
        <w:t xml:space="preserve"> or nature</w:t>
      </w:r>
      <w:r w:rsidR="002F6837">
        <w:t xml:space="preserve">, </w:t>
      </w:r>
      <w:proofErr w:type="gramStart"/>
      <w:r w:rsidR="002F6837">
        <w:t>despite the fact that</w:t>
      </w:r>
      <w:proofErr w:type="gramEnd"/>
      <w:r w:rsidR="002F6837">
        <w:t xml:space="preserve"> they stand near each other</w:t>
      </w:r>
      <w:r w:rsidR="007077CF">
        <w:t xml:space="preserve">. </w:t>
      </w:r>
      <w:r w:rsidR="00B37275">
        <w:t xml:space="preserve">Indeed, </w:t>
      </w:r>
      <w:r w:rsidR="005E0017">
        <w:t xml:space="preserve">in the legal parts of the Torah, many laws come one after another, </w:t>
      </w:r>
      <w:r w:rsidR="00B37275">
        <w:t xml:space="preserve">with </w:t>
      </w:r>
      <w:r w:rsidR="005E0017">
        <w:t>no connection whatsoever</w:t>
      </w:r>
      <w:proofErr w:type="gramStart"/>
      <w:r w:rsidR="005E0017">
        <w:t xml:space="preserve">. </w:t>
      </w:r>
      <w:r w:rsidR="00B623A4">
        <w:t>. . .</w:t>
      </w:r>
      <w:proofErr w:type="gramEnd"/>
      <w:r w:rsidR="00B623A4">
        <w:t xml:space="preserve"> </w:t>
      </w:r>
      <w:r w:rsidR="005E0017">
        <w:t xml:space="preserve">Nor could it be otherwise in a book which includes laws of every sort. </w:t>
      </w:r>
      <w:r w:rsidR="0063648F">
        <w:t>T</w:t>
      </w:r>
      <w:r w:rsidR="005E0017">
        <w:t xml:space="preserve">wo laws </w:t>
      </w:r>
      <w:r w:rsidR="0063648F">
        <w:t xml:space="preserve">of disparate character </w:t>
      </w:r>
      <w:r w:rsidR="005E0017">
        <w:t xml:space="preserve">that deal with different subjects should not </w:t>
      </w:r>
      <w:proofErr w:type="gramStart"/>
      <w:r w:rsidR="005E0017">
        <w:t>be seen as</w:t>
      </w:r>
      <w:proofErr w:type="gramEnd"/>
      <w:r w:rsidR="005E0017">
        <w:t xml:space="preserve"> tied to each other, even if they are juxtaposed. They should rather be seen as completely distinct and </w:t>
      </w:r>
      <w:proofErr w:type="gramStart"/>
      <w:r w:rsidR="005E0017">
        <w:t>independent</w:t>
      </w:r>
      <w:r w:rsidR="0003735B">
        <w:t xml:space="preserve"> </w:t>
      </w:r>
      <w:r w:rsidR="005E0017">
        <w:t>.</w:t>
      </w:r>
      <w:proofErr w:type="gramEnd"/>
      <w:r w:rsidR="005E0017">
        <w:t xml:space="preserve">  </w:t>
      </w:r>
      <w:r w:rsidR="00B2232A">
        <w:t>. . .</w:t>
      </w:r>
    </w:p>
    <w:p w14:paraId="455D49C8" w14:textId="13AA1DCE" w:rsidR="00A063D8" w:rsidRDefault="00721E82" w:rsidP="007C0E42">
      <w:pPr>
        <w:ind w:left="720"/>
      </w:pPr>
      <w:r>
        <w:t xml:space="preserve">To </w:t>
      </w:r>
      <w:r w:rsidR="005E4A3D">
        <w:t>find</w:t>
      </w:r>
      <w:r>
        <w:t xml:space="preserve"> an explanation for juxtaposition (</w:t>
      </w:r>
      <w:r w:rsidRPr="005E4A3D">
        <w:rPr>
          <w:i/>
          <w:iCs/>
        </w:rPr>
        <w:t>semikhut</w:t>
      </w:r>
      <w:r>
        <w:t>) . . . is not a requirement</w:t>
      </w:r>
      <w:r w:rsidR="0003735B">
        <w:t>,</w:t>
      </w:r>
      <w:r>
        <w:t xml:space="preserve"> and sometimes it is beyond our capabilities. </w:t>
      </w:r>
      <w:r w:rsidR="005E4A3D">
        <w:t>Therefore,</w:t>
      </w:r>
      <w:r>
        <w:t xml:space="preserve"> </w:t>
      </w:r>
      <w:r w:rsidR="00A94B1B">
        <w:t xml:space="preserve">in most cases it is </w:t>
      </w:r>
      <w:r w:rsidR="005E4A3D">
        <w:t>pointless</w:t>
      </w:r>
      <w:r w:rsidR="00A94B1B">
        <w:t xml:space="preserve"> to spend time </w:t>
      </w:r>
      <w:r w:rsidR="00DA0F28">
        <w:t>on this</w:t>
      </w:r>
      <w:r w:rsidR="00A94B1B">
        <w:t xml:space="preserve"> . . . </w:t>
      </w:r>
      <w:r w:rsidR="0003735B">
        <w:t xml:space="preserve">it can </w:t>
      </w:r>
      <w:proofErr w:type="gramStart"/>
      <w:r w:rsidR="0003735B">
        <w:t>actually do</w:t>
      </w:r>
      <w:proofErr w:type="gramEnd"/>
      <w:r w:rsidR="0003735B">
        <w:t xml:space="preserve"> damage</w:t>
      </w:r>
      <w:r w:rsidR="000551FD">
        <w:t xml:space="preserve">, for learning from </w:t>
      </w:r>
      <w:r w:rsidR="001C52C2">
        <w:t xml:space="preserve">the </w:t>
      </w:r>
      <w:r w:rsidR="000551FD">
        <w:t xml:space="preserve">juxtaposition </w:t>
      </w:r>
      <w:r w:rsidR="001C52C2">
        <w:t xml:space="preserve">of two commandments </w:t>
      </w:r>
      <w:r w:rsidR="000551FD">
        <w:t xml:space="preserve">may </w:t>
      </w:r>
      <w:r w:rsidR="00E41DCB">
        <w:t xml:space="preserve">result in </w:t>
      </w:r>
      <w:r w:rsidR="00DA0F28">
        <w:t>faulty</w:t>
      </w:r>
      <w:r w:rsidR="000551FD">
        <w:t xml:space="preserve"> explanations </w:t>
      </w:r>
      <w:r w:rsidR="001C52C2">
        <w:t>for</w:t>
      </w:r>
      <w:r w:rsidR="000551FD">
        <w:t xml:space="preserve"> </w:t>
      </w:r>
      <w:r w:rsidR="00263B88">
        <w:t xml:space="preserve">either </w:t>
      </w:r>
      <w:r w:rsidR="001C52C2">
        <w:t>one of them</w:t>
      </w:r>
      <w:r w:rsidR="00054C0A">
        <w:t>.</w:t>
      </w:r>
      <w:r w:rsidR="000551FD">
        <w:t xml:space="preserve"> </w:t>
      </w:r>
      <w:r w:rsidR="001B39EC">
        <w:t xml:space="preserve">Hence, whenever we see the Talmudic rabbis </w:t>
      </w:r>
      <w:r w:rsidR="006807B7">
        <w:t>establish</w:t>
      </w:r>
      <w:r w:rsidR="00054C0A">
        <w:t>ing</w:t>
      </w:r>
      <w:r w:rsidR="006807B7">
        <w:t xml:space="preserve"> a</w:t>
      </w:r>
      <w:r w:rsidR="001B39EC">
        <w:t xml:space="preserve"> </w:t>
      </w:r>
      <w:r w:rsidR="001B39EC" w:rsidRPr="001B39EC">
        <w:rPr>
          <w:i/>
          <w:iCs/>
        </w:rPr>
        <w:t>halakha</w:t>
      </w:r>
      <w:r w:rsidR="006807B7">
        <w:rPr>
          <w:i/>
          <w:iCs/>
        </w:rPr>
        <w:t xml:space="preserve"> </w:t>
      </w:r>
      <w:r w:rsidR="00323A22">
        <w:t xml:space="preserve">(ruling) </w:t>
      </w:r>
      <w:r w:rsidR="006807B7">
        <w:t>which</w:t>
      </w:r>
      <w:r w:rsidR="001B39EC">
        <w:t xml:space="preserve"> they derive</w:t>
      </w:r>
      <w:r w:rsidR="00DE7990">
        <w:t>d</w:t>
      </w:r>
      <w:r w:rsidR="001B39EC">
        <w:t xml:space="preserve"> </w:t>
      </w:r>
      <w:r w:rsidR="001B39EC" w:rsidRPr="001B39EC">
        <w:rPr>
          <w:i/>
          <w:iCs/>
        </w:rPr>
        <w:t>prima faci</w:t>
      </w:r>
      <w:r w:rsidR="00323A22">
        <w:rPr>
          <w:i/>
          <w:iCs/>
        </w:rPr>
        <w:t>e</w:t>
      </w:r>
      <w:r w:rsidR="001B39EC">
        <w:t xml:space="preserve"> from the juxtaposition of </w:t>
      </w:r>
      <w:proofErr w:type="gramStart"/>
      <w:r w:rsidR="001B39EC">
        <w:t>verses</w:t>
      </w:r>
      <w:r w:rsidR="00323A22">
        <w:t xml:space="preserve"> .</w:t>
      </w:r>
      <w:proofErr w:type="gramEnd"/>
      <w:r w:rsidR="00323A22">
        <w:t xml:space="preserve"> . </w:t>
      </w:r>
      <w:r w:rsidR="001B39EC">
        <w:t xml:space="preserve"> we must view this </w:t>
      </w:r>
      <w:r w:rsidR="001B39EC" w:rsidRPr="007329D8">
        <w:rPr>
          <w:i/>
          <w:iCs/>
        </w:rPr>
        <w:t>halakha</w:t>
      </w:r>
      <w:r w:rsidR="001B39EC">
        <w:t xml:space="preserve"> as an ancient tradition</w:t>
      </w:r>
      <w:r w:rsidR="006807B7">
        <w:t xml:space="preserve"> that was </w:t>
      </w:r>
      <w:r w:rsidR="001B39EC">
        <w:t xml:space="preserve">passed down orally. The proof from juxtaposition </w:t>
      </w:r>
      <w:r w:rsidR="007C0E42">
        <w:t>should</w:t>
      </w:r>
      <w:r w:rsidR="001B39EC">
        <w:t xml:space="preserve"> be considered as no more than </w:t>
      </w:r>
      <w:proofErr w:type="spellStart"/>
      <w:r w:rsidR="001B39EC" w:rsidRPr="001B39EC">
        <w:rPr>
          <w:i/>
          <w:iCs/>
        </w:rPr>
        <w:t>asmakhta</w:t>
      </w:r>
      <w:proofErr w:type="spellEnd"/>
      <w:r w:rsidR="006807B7">
        <w:t xml:space="preserve"> (supporting evidence</w:t>
      </w:r>
      <w:r w:rsidR="00323A22">
        <w:t xml:space="preserve">; a </w:t>
      </w:r>
      <w:proofErr w:type="gramStart"/>
      <w:r w:rsidR="00C47170">
        <w:t xml:space="preserve">scriptural </w:t>
      </w:r>
      <w:r w:rsidR="00014E3D">
        <w:t xml:space="preserve"> </w:t>
      </w:r>
      <w:r w:rsidR="00323A22">
        <w:t>hint</w:t>
      </w:r>
      <w:proofErr w:type="gramEnd"/>
      <w:r w:rsidR="00323A22">
        <w:t xml:space="preserve"> to the ruling</w:t>
      </w:r>
      <w:r w:rsidR="006807B7">
        <w:t>).</w:t>
      </w:r>
    </w:p>
    <w:p w14:paraId="26E467D5" w14:textId="3DA01849" w:rsidR="006807B7" w:rsidRDefault="00323A22" w:rsidP="000946A2">
      <w:r>
        <w:t xml:space="preserve">In support of his view, </w:t>
      </w:r>
      <w:proofErr w:type="spellStart"/>
      <w:r>
        <w:t>Luzzatto</w:t>
      </w:r>
      <w:proofErr w:type="spellEnd"/>
      <w:r w:rsidR="00405960">
        <w:t xml:space="preserve"> </w:t>
      </w:r>
      <w:r w:rsidR="00190264">
        <w:t>goes</w:t>
      </w:r>
      <w:r w:rsidR="006807B7">
        <w:t xml:space="preserve"> on to say that not all the </w:t>
      </w:r>
      <w:r w:rsidR="00FB7FFA">
        <w:t xml:space="preserve">Talmudic </w:t>
      </w:r>
      <w:r w:rsidR="006807B7">
        <w:t xml:space="preserve">rabbis </w:t>
      </w:r>
      <w:r w:rsidR="00B25944">
        <w:t xml:space="preserve">agree to </w:t>
      </w:r>
      <w:r w:rsidR="006807B7">
        <w:t>deriv</w:t>
      </w:r>
      <w:r w:rsidR="00F334D7">
        <w:t xml:space="preserve">e </w:t>
      </w:r>
      <w:r w:rsidR="006807B7">
        <w:t>laws</w:t>
      </w:r>
      <w:r w:rsidR="00F334D7">
        <w:t xml:space="preserve"> from juxtaposition</w:t>
      </w:r>
      <w:r w:rsidR="007C0E42">
        <w:t xml:space="preserve">. </w:t>
      </w:r>
      <w:r w:rsidR="002309AF">
        <w:t xml:space="preserve">He cited </w:t>
      </w:r>
      <w:r w:rsidR="007C0E42">
        <w:t>the following</w:t>
      </w:r>
      <w:r w:rsidR="006807B7">
        <w:t xml:space="preserve">: </w:t>
      </w:r>
      <w:r w:rsidR="007329D8">
        <w:t>“R</w:t>
      </w:r>
      <w:r w:rsidR="006807B7">
        <w:t xml:space="preserve">. Judah did not expound </w:t>
      </w:r>
      <w:r w:rsidR="007329D8">
        <w:t xml:space="preserve">from juxtaposition save for Deuteronomy” </w:t>
      </w:r>
      <w:r>
        <w:t xml:space="preserve">(BT </w:t>
      </w:r>
      <w:proofErr w:type="spellStart"/>
      <w:r w:rsidRPr="00642487">
        <w:rPr>
          <w:i/>
          <w:iCs/>
        </w:rPr>
        <w:t>Yevamot</w:t>
      </w:r>
      <w:proofErr w:type="spellEnd"/>
      <w:r>
        <w:t xml:space="preserve"> 4a).</w:t>
      </w:r>
      <w:r w:rsidR="000946A2">
        <w:t xml:space="preserve"> </w:t>
      </w:r>
      <w:r w:rsidR="002309AF">
        <w:t xml:space="preserve">It is important to note that in </w:t>
      </w:r>
      <w:r w:rsidR="00FB7FFA">
        <w:t xml:space="preserve">most </w:t>
      </w:r>
      <w:r w:rsidR="002309AF">
        <w:t>of the above quotations</w:t>
      </w:r>
      <w:r w:rsidR="00E14C57">
        <w:t>,</w:t>
      </w:r>
      <w:r w:rsidR="00682D14">
        <w:t xml:space="preserve"> </w:t>
      </w:r>
      <w:proofErr w:type="spellStart"/>
      <w:r w:rsidR="007329D8">
        <w:t>Shadal</w:t>
      </w:r>
      <w:proofErr w:type="spellEnd"/>
      <w:r w:rsidR="00D0533B">
        <w:t xml:space="preserve"> was </w:t>
      </w:r>
      <w:r w:rsidR="009035FD">
        <w:t>critic</w:t>
      </w:r>
      <w:r w:rsidR="00F76A72">
        <w:t xml:space="preserve">izing explanations </w:t>
      </w:r>
      <w:r w:rsidR="009035FD">
        <w:t xml:space="preserve">of juxtaposition </w:t>
      </w:r>
      <w:r w:rsidR="00423F03">
        <w:t>for</w:t>
      </w:r>
      <w:r w:rsidR="009035FD">
        <w:t xml:space="preserve"> </w:t>
      </w:r>
      <w:r w:rsidR="00D0533B">
        <w:t xml:space="preserve">the </w:t>
      </w:r>
      <w:r w:rsidR="007329D8">
        <w:t xml:space="preserve">legal portions of the </w:t>
      </w:r>
      <w:r w:rsidR="00F334D7">
        <w:t>Pentateuch</w:t>
      </w:r>
      <w:r w:rsidR="009035FD">
        <w:t>.</w:t>
      </w:r>
      <w:r w:rsidR="00F334D7">
        <w:t xml:space="preserve"> </w:t>
      </w:r>
      <w:r w:rsidR="00C0332B">
        <w:t>However,</w:t>
      </w:r>
      <w:r w:rsidR="00E14C57">
        <w:t xml:space="preserve"> w</w:t>
      </w:r>
      <w:r w:rsidR="002309AF">
        <w:t xml:space="preserve">hen it came to narrative, </w:t>
      </w:r>
      <w:r w:rsidR="00405960">
        <w:t xml:space="preserve">he </w:t>
      </w:r>
      <w:r w:rsidR="002309AF">
        <w:t>maintained</w:t>
      </w:r>
      <w:r w:rsidR="00405960">
        <w:t xml:space="preserve"> that </w:t>
      </w:r>
      <w:r w:rsidR="007329D8">
        <w:t xml:space="preserve">all parts of a story </w:t>
      </w:r>
      <w:r w:rsidR="00973887">
        <w:t xml:space="preserve">were related and </w:t>
      </w:r>
      <w:r w:rsidR="007329D8">
        <w:t xml:space="preserve">had to </w:t>
      </w:r>
      <w:r w:rsidR="00363D31">
        <w:t>explain one another</w:t>
      </w:r>
      <w:r w:rsidR="007329D8">
        <w:t>.</w:t>
      </w:r>
      <w:r w:rsidR="000B7C0C">
        <w:rPr>
          <w:rStyle w:val="FootnoteReference"/>
        </w:rPr>
        <w:footnoteReference w:id="2"/>
      </w:r>
      <w:r w:rsidR="00F01E69">
        <w:t xml:space="preserve"> </w:t>
      </w:r>
      <w:r w:rsidR="00973887">
        <w:t xml:space="preserve">Hence there was room </w:t>
      </w:r>
      <w:r w:rsidR="00F0596B">
        <w:t>for literary interpretation</w:t>
      </w:r>
      <w:r w:rsidR="00C40A36">
        <w:t xml:space="preserve"> of biblical stories,</w:t>
      </w:r>
      <w:r w:rsidR="00F0596B">
        <w:t xml:space="preserve"> including </w:t>
      </w:r>
      <w:r w:rsidR="00D47508">
        <w:t xml:space="preserve">meanings derived from </w:t>
      </w:r>
      <w:r w:rsidR="00F0596B">
        <w:t xml:space="preserve">juxtaposition. </w:t>
      </w:r>
    </w:p>
    <w:p w14:paraId="2370189E" w14:textId="77777777" w:rsidR="005E0017" w:rsidRDefault="005E0017" w:rsidP="005E0017">
      <w:pPr>
        <w:rPr>
          <w:b/>
          <w:bCs/>
        </w:rPr>
      </w:pPr>
      <w:r w:rsidRPr="005E0017">
        <w:rPr>
          <w:b/>
          <w:bCs/>
        </w:rPr>
        <w:lastRenderedPageBreak/>
        <w:t xml:space="preserve">Moshe David </w:t>
      </w:r>
      <w:r w:rsidR="0089702E">
        <w:rPr>
          <w:b/>
          <w:bCs/>
        </w:rPr>
        <w:t xml:space="preserve">(Umberto) </w:t>
      </w:r>
      <w:r w:rsidRPr="005E0017">
        <w:rPr>
          <w:b/>
          <w:bCs/>
        </w:rPr>
        <w:t>Cassuto</w:t>
      </w:r>
      <w:r w:rsidR="006720C2">
        <w:rPr>
          <w:b/>
          <w:bCs/>
        </w:rPr>
        <w:t xml:space="preserve"> (1883-1951)</w:t>
      </w:r>
    </w:p>
    <w:p w14:paraId="1E6D2EC1" w14:textId="16AB8637" w:rsidR="005E0017" w:rsidRDefault="005E0017" w:rsidP="00B67703">
      <w:r>
        <w:t xml:space="preserve">Unlike </w:t>
      </w:r>
      <w:proofErr w:type="spellStart"/>
      <w:r>
        <w:t>Luzzatto</w:t>
      </w:r>
      <w:proofErr w:type="spellEnd"/>
      <w:r>
        <w:t xml:space="preserve">, Cassuto </w:t>
      </w:r>
      <w:r w:rsidR="00BC328F">
        <w:t>had high regard for the question of biblical order</w:t>
      </w:r>
      <w:r w:rsidR="00F334D7">
        <w:t>; he</w:t>
      </w:r>
      <w:r w:rsidR="00BC328F">
        <w:t xml:space="preserve"> saw in it a key to understand</w:t>
      </w:r>
      <w:r w:rsidR="00363D31">
        <w:t>ing</w:t>
      </w:r>
      <w:r w:rsidR="00BC328F">
        <w:t xml:space="preserve"> the Bible </w:t>
      </w:r>
      <w:r w:rsidR="00372C6D">
        <w:t xml:space="preserve">and its formation </w:t>
      </w:r>
      <w:r w:rsidR="003517BB">
        <w:t>in</w:t>
      </w:r>
      <w:r w:rsidR="00BC328F">
        <w:t xml:space="preserve"> its </w:t>
      </w:r>
      <w:r w:rsidR="00B37275">
        <w:t>an</w:t>
      </w:r>
      <w:r w:rsidR="00BC328F">
        <w:t>cient Near Eastern background.</w:t>
      </w:r>
      <w:r w:rsidR="009620E1">
        <w:t xml:space="preserve"> </w:t>
      </w:r>
      <w:r w:rsidR="00B67703">
        <w:t xml:space="preserve">Further, he did not limit the discussion to </w:t>
      </w:r>
      <w:r w:rsidR="00E74019">
        <w:t xml:space="preserve">one type of literature alone. </w:t>
      </w:r>
      <w:r w:rsidR="00916B72">
        <w:t xml:space="preserve">The English </w:t>
      </w:r>
      <w:r w:rsidR="0089702E">
        <w:t xml:space="preserve">volume </w:t>
      </w:r>
      <w:r w:rsidR="00916B72">
        <w:t>of his papers</w:t>
      </w:r>
      <w:r w:rsidR="00160701">
        <w:t>,</w:t>
      </w:r>
      <w:r w:rsidR="00916B72">
        <w:t xml:space="preserve"> </w:t>
      </w:r>
      <w:r w:rsidR="0089702E">
        <w:t>translated from</w:t>
      </w:r>
      <w:r w:rsidR="000D48F7">
        <w:t xml:space="preserve"> articles in</w:t>
      </w:r>
      <w:r w:rsidR="0089702E">
        <w:t xml:space="preserve"> Hebrew, Italian, German and French</w:t>
      </w:r>
      <w:r w:rsidR="00AB3AE3">
        <w:t>,</w:t>
      </w:r>
      <w:r w:rsidR="0089702E">
        <w:t xml:space="preserve"> </w:t>
      </w:r>
      <w:r w:rsidR="00916B72">
        <w:t>opens with “The Sequence and Arrangement of the Biblical Sections</w:t>
      </w:r>
      <w:r w:rsidR="00C8234A">
        <w:t>,</w:t>
      </w:r>
      <w:r w:rsidR="00916B72">
        <w:t xml:space="preserve">” </w:t>
      </w:r>
      <w:r w:rsidR="000C72DD">
        <w:t xml:space="preserve">a paper delivered in 1947, </w:t>
      </w:r>
      <w:r w:rsidR="00916B72">
        <w:t xml:space="preserve">followed by essays on the juxtaposition of chapter 38 in Genesis, the </w:t>
      </w:r>
      <w:r w:rsidR="0053232F">
        <w:t xml:space="preserve">order of </w:t>
      </w:r>
      <w:r w:rsidR="00916B72">
        <w:t xml:space="preserve">prophecies </w:t>
      </w:r>
      <w:r w:rsidR="0053232F">
        <w:t>in</w:t>
      </w:r>
      <w:r w:rsidR="00916B72">
        <w:t xml:space="preserve"> Hosea, and the arrangement of</w:t>
      </w:r>
      <w:r w:rsidR="00462BF4">
        <w:t xml:space="preserve"> chapters in</w:t>
      </w:r>
      <w:r w:rsidR="00916B72">
        <w:t xml:space="preserve"> Ezekiel.</w:t>
      </w:r>
      <w:r w:rsidR="000D2542">
        <w:rPr>
          <w:rStyle w:val="FootnoteReference"/>
        </w:rPr>
        <w:footnoteReference w:id="3"/>
      </w:r>
      <w:r w:rsidR="009620E1">
        <w:t xml:space="preserve">  </w:t>
      </w:r>
      <w:r w:rsidR="00B67703">
        <w:t xml:space="preserve">In his opening remarks, </w:t>
      </w:r>
      <w:r w:rsidR="00916B72">
        <w:t xml:space="preserve">he noted that </w:t>
      </w:r>
      <w:r w:rsidR="00F02A4B">
        <w:t>many biblical texts</w:t>
      </w:r>
      <w:r w:rsidR="0089702E">
        <w:t xml:space="preserve"> such as Latter Prophets, Psalms</w:t>
      </w:r>
      <w:r w:rsidR="0053232F">
        <w:t>,</w:t>
      </w:r>
      <w:r w:rsidR="0089702E">
        <w:t xml:space="preserve"> and Canticles,</w:t>
      </w:r>
      <w:r w:rsidR="00572246">
        <w:t xml:space="preserve"> which were originally in the nature of anthologies,</w:t>
      </w:r>
      <w:r w:rsidR="00F02A4B">
        <w:t xml:space="preserve"> seem</w:t>
      </w:r>
      <w:r w:rsidR="0053232F">
        <w:t xml:space="preserve"> to have</w:t>
      </w:r>
      <w:r w:rsidR="00F02A4B">
        <w:t xml:space="preserve"> no order at all</w:t>
      </w:r>
      <w:r w:rsidR="001060DE">
        <w:t>:</w:t>
      </w:r>
    </w:p>
    <w:p w14:paraId="5DA77548" w14:textId="77777777" w:rsidR="00BC328F" w:rsidRDefault="007609B2" w:rsidP="0089702E">
      <w:pPr>
        <w:ind w:left="720"/>
      </w:pPr>
      <w:r>
        <w:t xml:space="preserve">Now the reader studying </w:t>
      </w:r>
      <w:r w:rsidR="00BC328F">
        <w:t>these books</w:t>
      </w:r>
      <w:r w:rsidR="009620E1">
        <w:t xml:space="preserve"> </w:t>
      </w:r>
      <w:r w:rsidR="00BC328F">
        <w:t>finds</w:t>
      </w:r>
      <w:r>
        <w:t xml:space="preserve"> in </w:t>
      </w:r>
      <w:r w:rsidR="00BC328F">
        <w:t xml:space="preserve">them, </w:t>
      </w:r>
      <w:r>
        <w:t xml:space="preserve">particularly </w:t>
      </w:r>
      <w:r w:rsidR="00BC328F">
        <w:t xml:space="preserve">if he is </w:t>
      </w:r>
      <w:r>
        <w:t>accustomed</w:t>
      </w:r>
      <w:r w:rsidR="00BC328F">
        <w:t xml:space="preserve"> to </w:t>
      </w:r>
      <w:r>
        <w:t xml:space="preserve">the methods of </w:t>
      </w:r>
      <w:r w:rsidR="00BC328F">
        <w:t>Euro</w:t>
      </w:r>
      <w:r w:rsidR="000625AC">
        <w:t>p</w:t>
      </w:r>
      <w:r w:rsidR="00BC328F">
        <w:t>ean literature</w:t>
      </w:r>
      <w:r>
        <w:t>s</w:t>
      </w:r>
      <w:r w:rsidR="00BC328F">
        <w:t xml:space="preserve">, </w:t>
      </w:r>
      <w:r>
        <w:t>features that appear to him</w:t>
      </w:r>
      <w:r w:rsidR="00BC328F">
        <w:t xml:space="preserve"> </w:t>
      </w:r>
      <w:r>
        <w:t xml:space="preserve">surprising </w:t>
      </w:r>
      <w:r w:rsidR="00BC328F">
        <w:t xml:space="preserve">and strange </w:t>
      </w:r>
      <w:r>
        <w:t>in respect</w:t>
      </w:r>
      <w:r w:rsidR="00BC328F">
        <w:t xml:space="preserve"> </w:t>
      </w:r>
      <w:r>
        <w:t>of</w:t>
      </w:r>
      <w:r w:rsidR="00BC328F">
        <w:t xml:space="preserve"> the order of </w:t>
      </w:r>
      <w:r>
        <w:t>the subject-matter and the sequence of the sections</w:t>
      </w:r>
      <w:r w:rsidR="000625AC">
        <w:t xml:space="preserve">. It </w:t>
      </w:r>
      <w:r>
        <w:t xml:space="preserve">seems to him </w:t>
      </w:r>
      <w:r w:rsidR="000625AC">
        <w:t xml:space="preserve">that the arrangement of the </w:t>
      </w:r>
      <w:r>
        <w:t xml:space="preserve">original </w:t>
      </w:r>
      <w:r w:rsidR="000625AC">
        <w:t xml:space="preserve">units </w:t>
      </w:r>
      <w:r>
        <w:t>with</w:t>
      </w:r>
      <w:r w:rsidR="000625AC">
        <w:t>in the book is incorrect</w:t>
      </w:r>
      <w:r>
        <w:t>,</w:t>
      </w:r>
      <w:r w:rsidR="000625AC">
        <w:t xml:space="preserve"> or that the book is </w:t>
      </w:r>
      <w:r>
        <w:t>without any or</w:t>
      </w:r>
      <w:r w:rsidR="000625AC">
        <w:t xml:space="preserve">der </w:t>
      </w:r>
      <w:r>
        <w:t>whatsoever</w:t>
      </w:r>
      <w:r w:rsidR="000625AC">
        <w:t>.</w:t>
      </w:r>
      <w:r w:rsidR="001E41EC">
        <w:rPr>
          <w:rStyle w:val="FootnoteReference"/>
        </w:rPr>
        <w:footnoteReference w:id="4"/>
      </w:r>
    </w:p>
    <w:p w14:paraId="08D88752" w14:textId="0A6AFCE9" w:rsidR="00462BF4" w:rsidRDefault="003B2A5E" w:rsidP="00D0533B">
      <w:pPr>
        <w:tabs>
          <w:tab w:val="left" w:pos="6363"/>
        </w:tabs>
      </w:pPr>
      <w:r>
        <w:t>S</w:t>
      </w:r>
      <w:r w:rsidR="005B450B">
        <w:t>uch</w:t>
      </w:r>
      <w:r w:rsidR="00E77F08">
        <w:t xml:space="preserve"> conclusion</w:t>
      </w:r>
      <w:r w:rsidR="004E1D4C">
        <w:t>s</w:t>
      </w:r>
      <w:r>
        <w:t>, however,</w:t>
      </w:r>
      <w:r w:rsidR="00E77F08">
        <w:t xml:space="preserve"> </w:t>
      </w:r>
      <w:r w:rsidR="005B450B">
        <w:t xml:space="preserve">were invalid </w:t>
      </w:r>
      <w:r w:rsidR="00E77F08">
        <w:t>because</w:t>
      </w:r>
      <w:r>
        <w:t xml:space="preserve"> the</w:t>
      </w:r>
      <w:r w:rsidR="00E77F08">
        <w:t xml:space="preserve"> </w:t>
      </w:r>
      <w:r w:rsidR="00D0533B">
        <w:t xml:space="preserve">forms </w:t>
      </w:r>
      <w:r w:rsidR="00E77F08">
        <w:t xml:space="preserve">of arrangement in the </w:t>
      </w:r>
      <w:r w:rsidR="006A7583">
        <w:t>Bible and in ancient Near Eas</w:t>
      </w:r>
      <w:r w:rsidR="00E77F08">
        <w:t xml:space="preserve">tern </w:t>
      </w:r>
      <w:r w:rsidR="006A7583">
        <w:t xml:space="preserve">literature </w:t>
      </w:r>
      <w:r w:rsidR="00875AC9">
        <w:t xml:space="preserve">might appear </w:t>
      </w:r>
      <w:r w:rsidR="001729E8">
        <w:t>“</w:t>
      </w:r>
      <w:r w:rsidR="00875AC9">
        <w:t xml:space="preserve">natural and correct to </w:t>
      </w:r>
      <w:r w:rsidR="001729E8">
        <w:t xml:space="preserve">the </w:t>
      </w:r>
      <w:r w:rsidR="00875AC9">
        <w:t>people</w:t>
      </w:r>
      <w:r w:rsidR="001729E8">
        <w:t>s</w:t>
      </w:r>
      <w:r w:rsidR="00875AC9">
        <w:t xml:space="preserve"> of the ancient </w:t>
      </w:r>
      <w:proofErr w:type="gramStart"/>
      <w:r w:rsidR="00875AC9">
        <w:t>East, yet</w:t>
      </w:r>
      <w:proofErr w:type="gramEnd"/>
      <w:r w:rsidR="00875AC9">
        <w:t xml:space="preserve"> </w:t>
      </w:r>
      <w:r w:rsidR="006A7583">
        <w:t>would n</w:t>
      </w:r>
      <w:r w:rsidR="007609B2">
        <w:t>ever</w:t>
      </w:r>
      <w:r w:rsidR="006A7583">
        <w:t xml:space="preserve"> occur to a person </w:t>
      </w:r>
      <w:r w:rsidR="007609B2">
        <w:t xml:space="preserve">accustomed to ways of </w:t>
      </w:r>
      <w:r w:rsidR="006A7583">
        <w:t>Western th</w:t>
      </w:r>
      <w:r w:rsidR="007609B2">
        <w:t>inking</w:t>
      </w:r>
      <w:r w:rsidR="006A7583">
        <w:t>.”</w:t>
      </w:r>
      <w:r w:rsidR="007609B2">
        <w:rPr>
          <w:rStyle w:val="FootnoteReference"/>
        </w:rPr>
        <w:footnoteReference w:id="5"/>
      </w:r>
      <w:r w:rsidR="006A7583">
        <w:t xml:space="preserve"> Apparently Cassuto agreed with Abravanel </w:t>
      </w:r>
      <w:r w:rsidR="00F02A4B">
        <w:t>(1437-1508)</w:t>
      </w:r>
      <w:r w:rsidR="000D2542">
        <w:t xml:space="preserve"> </w:t>
      </w:r>
      <w:r w:rsidR="006A7583">
        <w:t xml:space="preserve">that </w:t>
      </w:r>
      <w:r w:rsidR="001729E8">
        <w:t>regarding the Bible,</w:t>
      </w:r>
      <w:r w:rsidR="00994FED">
        <w:t xml:space="preserve"> </w:t>
      </w:r>
      <w:r w:rsidR="006A7583">
        <w:t xml:space="preserve">“one cannot </w:t>
      </w:r>
      <w:r w:rsidR="00E34606">
        <w:t>impute</w:t>
      </w:r>
      <w:r w:rsidR="006A7583">
        <w:t xml:space="preserve"> to the Almighty … </w:t>
      </w:r>
      <w:r w:rsidR="00E34606">
        <w:t>the flaw</w:t>
      </w:r>
      <w:r w:rsidR="005771D3">
        <w:t>s</w:t>
      </w:r>
      <w:r w:rsidR="00E34606">
        <w:t xml:space="preserve"> and failing</w:t>
      </w:r>
      <w:r w:rsidR="005771D3">
        <w:t>s</w:t>
      </w:r>
      <w:r w:rsidR="00E34606">
        <w:t xml:space="preserve"> of a disordered book.”</w:t>
      </w:r>
      <w:r w:rsidR="001060DE">
        <w:rPr>
          <w:rStyle w:val="FootnoteReference"/>
        </w:rPr>
        <w:footnoteReference w:id="6"/>
      </w:r>
      <w:r w:rsidR="00E34606">
        <w:t xml:space="preserve"> </w:t>
      </w:r>
    </w:p>
    <w:p w14:paraId="6D69332E" w14:textId="13527297" w:rsidR="00D4024D" w:rsidRDefault="00E34606" w:rsidP="00462BF4">
      <w:pPr>
        <w:tabs>
          <w:tab w:val="left" w:pos="6363"/>
        </w:tabs>
      </w:pPr>
      <w:r>
        <w:t xml:space="preserve">The order that Cassuto discovered was </w:t>
      </w:r>
      <w:r w:rsidR="009C06A8">
        <w:t>“</w:t>
      </w:r>
      <w:r>
        <w:t>that of associati</w:t>
      </w:r>
      <w:r w:rsidR="00C741F8">
        <w:t xml:space="preserve">on-- </w:t>
      </w:r>
      <w:r>
        <w:t xml:space="preserve">not </w:t>
      </w:r>
      <w:r w:rsidR="00C741F8">
        <w:t>just association</w:t>
      </w:r>
      <w:r>
        <w:t xml:space="preserve"> of </w:t>
      </w:r>
      <w:r w:rsidR="00C741F8">
        <w:t xml:space="preserve">ideas </w:t>
      </w:r>
      <w:r>
        <w:t xml:space="preserve">but also, and </w:t>
      </w:r>
      <w:r w:rsidR="00C741F8">
        <w:t xml:space="preserve">primarily, association of </w:t>
      </w:r>
      <w:r>
        <w:t xml:space="preserve">words and </w:t>
      </w:r>
      <w:r w:rsidR="00C741F8">
        <w:t>expressions</w:t>
      </w:r>
      <w:r>
        <w:t>.</w:t>
      </w:r>
      <w:r w:rsidR="00863947">
        <w:t>”</w:t>
      </w:r>
      <w:r w:rsidR="00C741F8">
        <w:rPr>
          <w:rStyle w:val="FootnoteReference"/>
        </w:rPr>
        <w:footnoteReference w:id="7"/>
      </w:r>
      <w:r w:rsidR="00863947">
        <w:t xml:space="preserve"> </w:t>
      </w:r>
      <w:r w:rsidR="007B433D">
        <w:t xml:space="preserve">Cassuto </w:t>
      </w:r>
      <w:r w:rsidR="000A5785">
        <w:t>demonstrated</w:t>
      </w:r>
      <w:r w:rsidR="007B433D">
        <w:t xml:space="preserve"> </w:t>
      </w:r>
      <w:r w:rsidR="00DD570C">
        <w:t>t</w:t>
      </w:r>
      <w:r w:rsidR="007B433D">
        <w:t xml:space="preserve">his </w:t>
      </w:r>
      <w:r w:rsidR="00DD570C">
        <w:t>understanding</w:t>
      </w:r>
      <w:r w:rsidR="007B433D">
        <w:t xml:space="preserve"> </w:t>
      </w:r>
      <w:r w:rsidR="002D3346">
        <w:t xml:space="preserve">of </w:t>
      </w:r>
      <w:r w:rsidR="00556F73">
        <w:t>juxtaposition in</w:t>
      </w:r>
      <w:r w:rsidR="002D3346">
        <w:t xml:space="preserve"> various lectures that he gave on sequence in </w:t>
      </w:r>
      <w:r w:rsidR="00556F73">
        <w:t xml:space="preserve">Leviticus and Numbers </w:t>
      </w:r>
      <w:r w:rsidR="00F02A4B">
        <w:t xml:space="preserve">before students </w:t>
      </w:r>
      <w:r w:rsidR="00C741F8">
        <w:t xml:space="preserve">at the Hebrew University </w:t>
      </w:r>
      <w:r w:rsidR="00556F73">
        <w:t>in 1951</w:t>
      </w:r>
      <w:r w:rsidR="007B433D">
        <w:t xml:space="preserve"> </w:t>
      </w:r>
      <w:r w:rsidR="0089702E">
        <w:t xml:space="preserve">and </w:t>
      </w:r>
      <w:r w:rsidR="00556F73">
        <w:t xml:space="preserve">in </w:t>
      </w:r>
      <w:r w:rsidR="0089702E">
        <w:t>s</w:t>
      </w:r>
      <w:r w:rsidR="00556F73">
        <w:t xml:space="preserve">everal entries </w:t>
      </w:r>
      <w:r w:rsidR="002D3346">
        <w:t>that he wrote for</w:t>
      </w:r>
      <w:r w:rsidR="00556F73">
        <w:t xml:space="preserve"> </w:t>
      </w:r>
      <w:proofErr w:type="spellStart"/>
      <w:r w:rsidR="00556F73" w:rsidRPr="00556F73">
        <w:rPr>
          <w:i/>
          <w:iCs/>
        </w:rPr>
        <w:t>Encyclopaedia</w:t>
      </w:r>
      <w:proofErr w:type="spellEnd"/>
      <w:r w:rsidR="00556F73" w:rsidRPr="00556F73">
        <w:rPr>
          <w:i/>
          <w:iCs/>
        </w:rPr>
        <w:t xml:space="preserve"> </w:t>
      </w:r>
      <w:proofErr w:type="spellStart"/>
      <w:r w:rsidR="00556F73" w:rsidRPr="00556F73">
        <w:rPr>
          <w:i/>
          <w:iCs/>
        </w:rPr>
        <w:t>Biblica</w:t>
      </w:r>
      <w:proofErr w:type="spellEnd"/>
      <w:r w:rsidR="00556F73">
        <w:rPr>
          <w:i/>
          <w:iCs/>
        </w:rPr>
        <w:t xml:space="preserve"> </w:t>
      </w:r>
      <w:r w:rsidR="00212A29">
        <w:t>(Hebrew)</w:t>
      </w:r>
      <w:r w:rsidR="0089702E">
        <w:t xml:space="preserve">. </w:t>
      </w:r>
      <w:r w:rsidR="00565B8D">
        <w:t>He</w:t>
      </w:r>
      <w:r w:rsidR="00392949">
        <w:t xml:space="preserve"> compared </w:t>
      </w:r>
      <w:r w:rsidR="00565B8D">
        <w:t xml:space="preserve">the </w:t>
      </w:r>
      <w:r w:rsidR="00392949">
        <w:t>arrang</w:t>
      </w:r>
      <w:r w:rsidR="00565B8D">
        <w:t>ement of</w:t>
      </w:r>
      <w:r w:rsidR="00392949">
        <w:t xml:space="preserve"> the biblical text </w:t>
      </w:r>
      <w:r w:rsidR="007B433D">
        <w:t xml:space="preserve">to the ordering of Mishnaic </w:t>
      </w:r>
      <w:r w:rsidR="00392949">
        <w:t>literature</w:t>
      </w:r>
      <w:r w:rsidR="007B433D">
        <w:t xml:space="preserve">. The </w:t>
      </w:r>
      <w:r w:rsidR="000A5785">
        <w:t>Mishna</w:t>
      </w:r>
      <w:r w:rsidR="00347EE2">
        <w:t>h</w:t>
      </w:r>
      <w:r w:rsidR="007B433D">
        <w:t xml:space="preserve"> </w:t>
      </w:r>
      <w:r w:rsidR="00A05C68">
        <w:t xml:space="preserve">has six units </w:t>
      </w:r>
      <w:r w:rsidR="00BA785D">
        <w:t>(</w:t>
      </w:r>
      <w:proofErr w:type="spellStart"/>
      <w:r w:rsidR="00A05C68" w:rsidRPr="00A05C68">
        <w:rPr>
          <w:i/>
          <w:iCs/>
        </w:rPr>
        <w:t>sedarim</w:t>
      </w:r>
      <w:proofErr w:type="spellEnd"/>
      <w:r w:rsidR="00BA785D">
        <w:t>)</w:t>
      </w:r>
      <w:r w:rsidR="00A05C68">
        <w:t xml:space="preserve"> containing </w:t>
      </w:r>
      <w:r w:rsidR="009F315A">
        <w:t xml:space="preserve">a total of </w:t>
      </w:r>
      <w:r w:rsidR="00A05C68">
        <w:t>63 tractate</w:t>
      </w:r>
      <w:r w:rsidR="007B433D">
        <w:t xml:space="preserve">s </w:t>
      </w:r>
      <w:r w:rsidR="00A05C68">
        <w:t xml:space="preserve">that are topically </w:t>
      </w:r>
      <w:r w:rsidR="007B433D">
        <w:t>arranged</w:t>
      </w:r>
      <w:r w:rsidR="00A05C68">
        <w:t>.</w:t>
      </w:r>
      <w:r w:rsidR="007B433D">
        <w:t xml:space="preserve"> </w:t>
      </w:r>
      <w:r w:rsidR="00A05C68">
        <w:t>W</w:t>
      </w:r>
      <w:r w:rsidR="007B433D">
        <w:t>ithin each tractate</w:t>
      </w:r>
      <w:r w:rsidR="00A05C68">
        <w:t>, however,</w:t>
      </w:r>
      <w:r w:rsidR="007B433D">
        <w:t xml:space="preserve"> many individual </w:t>
      </w:r>
      <w:proofErr w:type="spellStart"/>
      <w:r w:rsidR="007B433D">
        <w:t>mishna</w:t>
      </w:r>
      <w:r w:rsidR="00BA785D">
        <w:t>h</w:t>
      </w:r>
      <w:r w:rsidR="007B433D">
        <w:t>s</w:t>
      </w:r>
      <w:proofErr w:type="spellEnd"/>
      <w:r w:rsidR="007B433D">
        <w:t xml:space="preserve"> are </w:t>
      </w:r>
      <w:r w:rsidR="00DD570C">
        <w:t xml:space="preserve">sequenced </w:t>
      </w:r>
      <w:r w:rsidR="00565B8D">
        <w:t xml:space="preserve">in accord with </w:t>
      </w:r>
      <w:r w:rsidR="00025C4A">
        <w:t>similar</w:t>
      </w:r>
      <w:r w:rsidR="007B433D">
        <w:t xml:space="preserve"> words and </w:t>
      </w:r>
      <w:r w:rsidR="000A5785">
        <w:t>formulae</w:t>
      </w:r>
      <w:r w:rsidR="0089702E">
        <w:t xml:space="preserve">, sometimes resulting in </w:t>
      </w:r>
      <w:r w:rsidR="00212A29">
        <w:t xml:space="preserve">the inclusion of </w:t>
      </w:r>
      <w:r w:rsidR="0089702E">
        <w:t>subject matter</w:t>
      </w:r>
      <w:r w:rsidR="00D0533B">
        <w:t xml:space="preserve"> unrelated to the tractate</w:t>
      </w:r>
      <w:r w:rsidR="007B433D">
        <w:t xml:space="preserve">. </w:t>
      </w:r>
      <w:r w:rsidR="002D3346">
        <w:t xml:space="preserve">Take for example </w:t>
      </w:r>
      <w:r w:rsidR="007B433D">
        <w:t xml:space="preserve">Tractate Megillah </w:t>
      </w:r>
      <w:r w:rsidR="004E1D4C">
        <w:t xml:space="preserve">chapter </w:t>
      </w:r>
      <w:r w:rsidR="007B433D">
        <w:t xml:space="preserve">1, </w:t>
      </w:r>
      <w:r w:rsidR="00D000E6">
        <w:t xml:space="preserve">in which </w:t>
      </w:r>
      <w:r w:rsidR="007B433D">
        <w:t xml:space="preserve">seven </w:t>
      </w:r>
      <w:proofErr w:type="spellStart"/>
      <w:r w:rsidR="007B433D">
        <w:t>mishna</w:t>
      </w:r>
      <w:r w:rsidR="00347EE2">
        <w:t>h</w:t>
      </w:r>
      <w:r w:rsidR="007B433D">
        <w:t>s</w:t>
      </w:r>
      <w:proofErr w:type="spellEnd"/>
      <w:r w:rsidR="00D000E6">
        <w:t>,</w:t>
      </w:r>
      <w:r w:rsidR="007B433D">
        <w:t xml:space="preserve"> </w:t>
      </w:r>
      <w:r w:rsidR="00565B8D">
        <w:t xml:space="preserve">totally unconnected in their subject matter, </w:t>
      </w:r>
      <w:r w:rsidR="00E13DA1">
        <w:t>follow one another</w:t>
      </w:r>
      <w:r w:rsidR="00D000E6">
        <w:t xml:space="preserve">, </w:t>
      </w:r>
      <w:r w:rsidR="00565B8D">
        <w:t xml:space="preserve">because they </w:t>
      </w:r>
      <w:r w:rsidR="00374FD3">
        <w:t xml:space="preserve">all </w:t>
      </w:r>
      <w:r w:rsidR="00565B8D">
        <w:t>share the</w:t>
      </w:r>
      <w:r w:rsidR="007B433D">
        <w:t xml:space="preserve"> </w:t>
      </w:r>
      <w:r w:rsidR="000A5785">
        <w:t xml:space="preserve">identical </w:t>
      </w:r>
      <w:r w:rsidR="007B433D">
        <w:t xml:space="preserve">opening </w:t>
      </w:r>
      <w:r w:rsidR="000A5785">
        <w:t>phrase,</w:t>
      </w:r>
      <w:r w:rsidR="007B433D">
        <w:t xml:space="preserve"> </w:t>
      </w:r>
      <w:r w:rsidR="000A5785">
        <w:t>‘</w:t>
      </w:r>
      <w:proofErr w:type="spellStart"/>
      <w:r w:rsidR="007B433D" w:rsidRPr="000A5785">
        <w:rPr>
          <w:i/>
          <w:iCs/>
        </w:rPr>
        <w:t>ein</w:t>
      </w:r>
      <w:proofErr w:type="spellEnd"/>
      <w:r w:rsidR="007B433D" w:rsidRPr="000A5785">
        <w:rPr>
          <w:i/>
          <w:iCs/>
        </w:rPr>
        <w:t xml:space="preserve"> </w:t>
      </w:r>
      <w:proofErr w:type="spellStart"/>
      <w:r w:rsidR="007B433D" w:rsidRPr="000A5785">
        <w:rPr>
          <w:i/>
          <w:iCs/>
        </w:rPr>
        <w:t>bein</w:t>
      </w:r>
      <w:proofErr w:type="spellEnd"/>
      <w:r w:rsidR="007B433D">
        <w:t>,</w:t>
      </w:r>
      <w:r w:rsidR="000A5785">
        <w:t>’ “</w:t>
      </w:r>
      <w:r w:rsidR="00025C4A">
        <w:t>T</w:t>
      </w:r>
      <w:r w:rsidR="000A5785">
        <w:t>here is no difference between</w:t>
      </w:r>
      <w:r w:rsidR="00CD53B2">
        <w:t xml:space="preserve"> [the following two items].</w:t>
      </w:r>
      <w:r w:rsidR="000A5785">
        <w:t>”</w:t>
      </w:r>
      <w:r w:rsidR="00D4024D">
        <w:t xml:space="preserve"> This mnemotechnic </w:t>
      </w:r>
      <w:r w:rsidR="00806443">
        <w:t>device</w:t>
      </w:r>
      <w:r w:rsidR="00D4024D">
        <w:t xml:space="preserve"> </w:t>
      </w:r>
      <w:r w:rsidR="00565B8D">
        <w:t>serve</w:t>
      </w:r>
      <w:r w:rsidR="00DD570C">
        <w:t>d</w:t>
      </w:r>
      <w:r w:rsidR="00D4024D">
        <w:t xml:space="preserve"> the </w:t>
      </w:r>
      <w:r w:rsidR="00565B8D">
        <w:t xml:space="preserve">original </w:t>
      </w:r>
      <w:r w:rsidR="00D4024D">
        <w:t xml:space="preserve">requirement to </w:t>
      </w:r>
      <w:r w:rsidR="00E81C40">
        <w:t xml:space="preserve">study </w:t>
      </w:r>
      <w:r w:rsidR="00D4024D">
        <w:t>the Mishna</w:t>
      </w:r>
      <w:r w:rsidR="00347EE2">
        <w:t>h</w:t>
      </w:r>
      <w:r w:rsidR="00D4024D">
        <w:t xml:space="preserve"> by heart, rather than in written form. That is why rabbinic literature </w:t>
      </w:r>
      <w:r w:rsidR="00D4024D">
        <w:lastRenderedPageBreak/>
        <w:t xml:space="preserve">is called </w:t>
      </w:r>
      <w:r w:rsidR="00D4024D" w:rsidRPr="00D4024D">
        <w:rPr>
          <w:i/>
          <w:iCs/>
        </w:rPr>
        <w:t>Torah she-</w:t>
      </w:r>
      <w:proofErr w:type="spellStart"/>
      <w:r w:rsidR="00D4024D" w:rsidRPr="00D4024D">
        <w:rPr>
          <w:i/>
          <w:iCs/>
        </w:rPr>
        <w:t>be’al</w:t>
      </w:r>
      <w:proofErr w:type="spellEnd"/>
      <w:r w:rsidR="00D4024D" w:rsidRPr="00D4024D">
        <w:rPr>
          <w:i/>
          <w:iCs/>
        </w:rPr>
        <w:t xml:space="preserve"> </w:t>
      </w:r>
      <w:proofErr w:type="spellStart"/>
      <w:r w:rsidR="00D4024D" w:rsidRPr="00D4024D">
        <w:rPr>
          <w:i/>
          <w:iCs/>
        </w:rPr>
        <w:t>peh</w:t>
      </w:r>
      <w:proofErr w:type="spellEnd"/>
      <w:r w:rsidR="00565B8D">
        <w:t xml:space="preserve">, </w:t>
      </w:r>
      <w:r w:rsidR="00D4024D">
        <w:t xml:space="preserve">“Oral Torah.” </w:t>
      </w:r>
      <w:r w:rsidR="00D4653E">
        <w:t xml:space="preserve">Cassuto </w:t>
      </w:r>
      <w:r w:rsidR="00F67E1C">
        <w:t>maintained</w:t>
      </w:r>
      <w:r w:rsidR="00D4653E">
        <w:t xml:space="preserve"> that </w:t>
      </w:r>
      <w:r w:rsidR="00F67E1C">
        <w:t xml:space="preserve">a similar </w:t>
      </w:r>
      <w:r w:rsidR="00D4653E">
        <w:t xml:space="preserve">route was followed </w:t>
      </w:r>
      <w:r w:rsidR="006B26D8">
        <w:t>when</w:t>
      </w:r>
      <w:r w:rsidR="00D4653E">
        <w:t xml:space="preserve"> writing down the </w:t>
      </w:r>
      <w:r w:rsidR="00DD570C">
        <w:t>Pentateuch</w:t>
      </w:r>
      <w:r w:rsidR="00D4653E">
        <w:t xml:space="preserve">, which </w:t>
      </w:r>
      <w:r w:rsidR="00D000E6">
        <w:t xml:space="preserve">“was also initially </w:t>
      </w:r>
      <w:r w:rsidR="00D4653E">
        <w:t>an oral</w:t>
      </w:r>
      <w:r w:rsidR="00D000E6">
        <w:t xml:space="preserve"> tradition.”</w:t>
      </w:r>
      <w:r w:rsidR="00D000E6">
        <w:rPr>
          <w:rStyle w:val="FootnoteReference"/>
        </w:rPr>
        <w:footnoteReference w:id="8"/>
      </w:r>
      <w:r w:rsidR="00D4653E">
        <w:t xml:space="preserve"> </w:t>
      </w:r>
    </w:p>
    <w:p w14:paraId="2548F460" w14:textId="08F69AED" w:rsidR="00017B27" w:rsidRDefault="00757B26" w:rsidP="003C7941">
      <w:pPr>
        <w:tabs>
          <w:tab w:val="left" w:pos="6363"/>
        </w:tabs>
      </w:pPr>
      <w:r>
        <w:t xml:space="preserve">Associative juxtaposition also </w:t>
      </w:r>
      <w:r w:rsidR="00D4653E">
        <w:t>explain</w:t>
      </w:r>
      <w:r w:rsidR="005A4764">
        <w:t>s</w:t>
      </w:r>
      <w:r w:rsidR="00D4653E">
        <w:t xml:space="preserve"> the insertion of the story of Judah and Tamar </w:t>
      </w:r>
      <w:r w:rsidR="00A204EF">
        <w:t xml:space="preserve">in Genesis 38 </w:t>
      </w:r>
      <w:r w:rsidR="00D4653E">
        <w:t>between two parts of the Joseph story</w:t>
      </w:r>
      <w:r w:rsidR="004B4847">
        <w:t xml:space="preserve">, </w:t>
      </w:r>
      <w:r w:rsidR="00D4653E">
        <w:t>chapters 37 and 39</w:t>
      </w:r>
      <w:r w:rsidR="00DF0A03">
        <w:t>.</w:t>
      </w:r>
      <w:r w:rsidR="0011099B">
        <w:t xml:space="preserve"> </w:t>
      </w:r>
      <w:r w:rsidR="00DF0A03">
        <w:t>All three chapters</w:t>
      </w:r>
      <w:r w:rsidR="00DF0A03" w:rsidRPr="00DF0A03">
        <w:t xml:space="preserve"> </w:t>
      </w:r>
      <w:r w:rsidR="00DF0A03">
        <w:t>share a common verbal root</w:t>
      </w:r>
      <w:r w:rsidR="000D72F5">
        <w:t xml:space="preserve">, </w:t>
      </w:r>
      <w:r w:rsidR="000D72F5" w:rsidRPr="000D72F5">
        <w:rPr>
          <w:i/>
          <w:iCs/>
        </w:rPr>
        <w:t>YRD</w:t>
      </w:r>
      <w:r w:rsidR="00DF0A03">
        <w:t>. Gen</w:t>
      </w:r>
      <w:r w:rsidR="0011099B">
        <w:t xml:space="preserve"> </w:t>
      </w:r>
      <w:r w:rsidR="00A204EF">
        <w:t xml:space="preserve">37:35 reads, </w:t>
      </w:r>
      <w:r w:rsidR="00823179">
        <w:t xml:space="preserve">in closing, </w:t>
      </w:r>
      <w:r w:rsidR="00A204EF">
        <w:t xml:space="preserve">“for I </w:t>
      </w:r>
      <w:r w:rsidR="00DF0A03">
        <w:t xml:space="preserve">[Jacob] </w:t>
      </w:r>
      <w:r w:rsidR="00A204EF">
        <w:t>will go down</w:t>
      </w:r>
      <w:r w:rsidR="00D000E6">
        <w:t xml:space="preserve"> </w:t>
      </w:r>
      <w:r w:rsidR="00A204EF">
        <w:t>(</w:t>
      </w:r>
      <w:proofErr w:type="spellStart"/>
      <w:proofErr w:type="gramStart"/>
      <w:r w:rsidR="00A770BD" w:rsidRPr="00A770BD">
        <w:rPr>
          <w:i/>
          <w:iCs/>
          <w:lang w:bidi="he-IL"/>
        </w:rPr>
        <w:t>ered</w:t>
      </w:r>
      <w:proofErr w:type="spellEnd"/>
      <w:r w:rsidR="00A204EF">
        <w:rPr>
          <w:lang w:bidi="he-IL"/>
        </w:rPr>
        <w:t xml:space="preserve"> )</w:t>
      </w:r>
      <w:proofErr w:type="gramEnd"/>
      <w:r w:rsidR="00A204EF">
        <w:t xml:space="preserve"> to </w:t>
      </w:r>
      <w:proofErr w:type="spellStart"/>
      <w:r w:rsidR="00A204EF">
        <w:t>Sheol</w:t>
      </w:r>
      <w:proofErr w:type="spellEnd"/>
      <w:r w:rsidR="00902BA4">
        <w:t>;</w:t>
      </w:r>
      <w:r w:rsidR="00A204EF">
        <w:t>”</w:t>
      </w:r>
      <w:r w:rsidR="00823179">
        <w:t xml:space="preserve">, </w:t>
      </w:r>
      <w:r w:rsidR="006203EC">
        <w:t>J</w:t>
      </w:r>
      <w:r w:rsidR="00823179">
        <w:t>ust two verses later,</w:t>
      </w:r>
      <w:r w:rsidR="00A204EF">
        <w:t xml:space="preserve"> </w:t>
      </w:r>
      <w:r w:rsidR="006203EC">
        <w:t xml:space="preserve">38:1 begins </w:t>
      </w:r>
      <w:r w:rsidR="00A204EF">
        <w:t>with “Judah went down</w:t>
      </w:r>
      <w:r w:rsidR="00A770BD">
        <w:t xml:space="preserve"> (</w:t>
      </w:r>
      <w:proofErr w:type="spellStart"/>
      <w:r w:rsidR="00A770BD" w:rsidRPr="00A770BD">
        <w:rPr>
          <w:i/>
          <w:iCs/>
          <w:lang w:bidi="he-IL"/>
        </w:rPr>
        <w:t>vayered</w:t>
      </w:r>
      <w:proofErr w:type="spellEnd"/>
      <w:r w:rsidR="00A770BD">
        <w:rPr>
          <w:lang w:bidi="he-IL"/>
        </w:rPr>
        <w:t>)</w:t>
      </w:r>
      <w:r w:rsidR="002B31F5">
        <w:rPr>
          <w:lang w:bidi="he-IL"/>
        </w:rPr>
        <w:t xml:space="preserve"> </w:t>
      </w:r>
      <w:r w:rsidR="00A204EF">
        <w:t>from amongst his brothers</w:t>
      </w:r>
      <w:r w:rsidR="00823179">
        <w:t>;"</w:t>
      </w:r>
      <w:r w:rsidR="00A204EF">
        <w:t xml:space="preserve"> </w:t>
      </w:r>
      <w:r w:rsidR="00823179">
        <w:t xml:space="preserve">finally, </w:t>
      </w:r>
      <w:r w:rsidR="00A204EF">
        <w:t xml:space="preserve">39:1 </w:t>
      </w:r>
      <w:r w:rsidR="00823179">
        <w:t>opens</w:t>
      </w:r>
      <w:r w:rsidR="00A204EF">
        <w:t xml:space="preserve"> with “And Joseph was taken down</w:t>
      </w:r>
      <w:r w:rsidR="00706C59">
        <w:t xml:space="preserve"> (</w:t>
      </w:r>
      <w:proofErr w:type="spellStart"/>
      <w:r w:rsidR="00A770BD" w:rsidRPr="00932023">
        <w:rPr>
          <w:i/>
          <w:iCs/>
          <w:lang w:bidi="he-IL"/>
        </w:rPr>
        <w:t>hurad</w:t>
      </w:r>
      <w:proofErr w:type="spellEnd"/>
      <w:r w:rsidR="00706C59">
        <w:rPr>
          <w:lang w:bidi="he-IL"/>
        </w:rPr>
        <w:t>)</w:t>
      </w:r>
      <w:r w:rsidR="00A204EF">
        <w:t xml:space="preserve"> to Egypt.”</w:t>
      </w:r>
      <w:r w:rsidR="00424A7E">
        <w:t xml:space="preserve"> </w:t>
      </w:r>
      <w:r w:rsidR="005771D3">
        <w:t xml:space="preserve"> </w:t>
      </w:r>
      <w:r w:rsidR="00996982">
        <w:t xml:space="preserve">“Going down” turns into a motif which </w:t>
      </w:r>
      <w:r w:rsidR="00D80533">
        <w:t xml:space="preserve">not only </w:t>
      </w:r>
      <w:r w:rsidR="00E344D5">
        <w:t>determines the placement of the stories, bu</w:t>
      </w:r>
      <w:r w:rsidR="00A979EE">
        <w:t>t</w:t>
      </w:r>
      <w:r w:rsidR="00E344D5">
        <w:t xml:space="preserve"> also </w:t>
      </w:r>
      <w:r w:rsidR="00A921D1">
        <w:t>influences</w:t>
      </w:r>
      <w:r w:rsidR="00996982">
        <w:t xml:space="preserve"> the</w:t>
      </w:r>
      <w:r w:rsidR="00E344D5">
        <w:t>ir</w:t>
      </w:r>
      <w:r w:rsidR="00996982">
        <w:t xml:space="preserve"> meaning</w:t>
      </w:r>
      <w:r w:rsidR="00D80533">
        <w:t>.</w:t>
      </w:r>
    </w:p>
    <w:p w14:paraId="77DD6551" w14:textId="3FC8CB5D" w:rsidR="002B31F5" w:rsidRDefault="00D80533" w:rsidP="003C7941">
      <w:pPr>
        <w:tabs>
          <w:tab w:val="left" w:pos="6363"/>
        </w:tabs>
      </w:pPr>
      <w:r>
        <w:t xml:space="preserve"> </w:t>
      </w:r>
      <w:r w:rsidR="00A204EF">
        <w:t xml:space="preserve">Likewise, </w:t>
      </w:r>
      <w:r w:rsidR="00D4653E">
        <w:t>several stories in Exodus 1</w:t>
      </w:r>
      <w:r w:rsidR="00212A29">
        <w:t>6</w:t>
      </w:r>
      <w:r w:rsidR="00D4653E">
        <w:t xml:space="preserve"> – 17 </w:t>
      </w:r>
      <w:r w:rsidR="00A204EF">
        <w:t xml:space="preserve">were </w:t>
      </w:r>
      <w:r w:rsidR="002B31F5">
        <w:t xml:space="preserve">placed </w:t>
      </w:r>
      <w:r w:rsidR="00A204EF">
        <w:t xml:space="preserve">together because </w:t>
      </w:r>
      <w:r w:rsidR="00FB7FFA">
        <w:t xml:space="preserve">each one </w:t>
      </w:r>
      <w:r w:rsidR="001E41EC">
        <w:t>contain</w:t>
      </w:r>
      <w:r w:rsidR="00FB7FFA">
        <w:t>ed</w:t>
      </w:r>
      <w:r w:rsidR="001E41EC">
        <w:t xml:space="preserve"> </w:t>
      </w:r>
      <w:r w:rsidR="00D4653E">
        <w:t xml:space="preserve">the root </w:t>
      </w:r>
      <w:r w:rsidR="007402B8">
        <w:rPr>
          <w:i/>
          <w:iCs/>
        </w:rPr>
        <w:t>NSH</w:t>
      </w:r>
      <w:r w:rsidR="00D4653E">
        <w:t xml:space="preserve"> (</w:t>
      </w:r>
      <w:r w:rsidR="00D4653E">
        <w:rPr>
          <w:rFonts w:hint="cs"/>
          <w:rtl/>
          <w:lang w:bidi="he-IL"/>
        </w:rPr>
        <w:t>נסה</w:t>
      </w:r>
      <w:r w:rsidR="00D4653E">
        <w:rPr>
          <w:lang w:bidi="he-IL"/>
        </w:rPr>
        <w:t>)</w:t>
      </w:r>
      <w:r w:rsidR="00212A29">
        <w:rPr>
          <w:lang w:bidi="he-IL"/>
        </w:rPr>
        <w:t xml:space="preserve"> meaning ‘to</w:t>
      </w:r>
      <w:r w:rsidR="00097D82">
        <w:rPr>
          <w:lang w:bidi="he-IL"/>
        </w:rPr>
        <w:t xml:space="preserve"> test, to</w:t>
      </w:r>
      <w:r w:rsidR="00212A29">
        <w:rPr>
          <w:lang w:bidi="he-IL"/>
        </w:rPr>
        <w:t xml:space="preserve"> try’</w:t>
      </w:r>
      <w:r w:rsidR="00D4653E">
        <w:t>.</w:t>
      </w:r>
      <w:r w:rsidR="008B3B20">
        <w:t xml:space="preserve"> </w:t>
      </w:r>
      <w:r w:rsidR="00823179">
        <w:t>In both cases, the word that heralds</w:t>
      </w:r>
      <w:r w:rsidR="001B6056">
        <w:t xml:space="preserve"> the</w:t>
      </w:r>
      <w:r w:rsidR="00823179">
        <w:t xml:space="preserve"> juxtaposition </w:t>
      </w:r>
      <w:r w:rsidR="002D3346">
        <w:t xml:space="preserve">becomes a </w:t>
      </w:r>
      <w:r w:rsidR="002D3346" w:rsidRPr="00721384">
        <w:rPr>
          <w:i/>
          <w:iCs/>
        </w:rPr>
        <w:t>leitwort</w:t>
      </w:r>
      <w:r w:rsidR="002D3346">
        <w:t xml:space="preserve"> </w:t>
      </w:r>
      <w:r w:rsidR="001B6056">
        <w:t xml:space="preserve">or motif </w:t>
      </w:r>
      <w:proofErr w:type="gramStart"/>
      <w:r w:rsidR="00220170">
        <w:t>whose</w:t>
      </w:r>
      <w:proofErr w:type="gramEnd"/>
      <w:r w:rsidR="00A8608F">
        <w:t xml:space="preserve"> meaning </w:t>
      </w:r>
      <w:r w:rsidR="00823179">
        <w:t xml:space="preserve">greatly enhances our understanding of these </w:t>
      </w:r>
      <w:r w:rsidR="00721384">
        <w:t>stories</w:t>
      </w:r>
      <w:r w:rsidR="00823179">
        <w:t>.</w:t>
      </w:r>
      <w:r w:rsidR="001F2A43">
        <w:rPr>
          <w:rStyle w:val="FootnoteReference"/>
        </w:rPr>
        <w:footnoteReference w:id="9"/>
      </w:r>
      <w:r w:rsidR="00823179">
        <w:t xml:space="preserve"> </w:t>
      </w:r>
      <w:r w:rsidR="002D3346">
        <w:t xml:space="preserve"> </w:t>
      </w:r>
      <w:r w:rsidR="003C7941">
        <w:t>Some of these word associations were already noted by Midrash, Rashi, and Ibn Ezra, but Cassuto turned the phenomenon into an exegetical tool.</w:t>
      </w:r>
      <w:r w:rsidR="003C7941">
        <w:rPr>
          <w:rStyle w:val="FootnoteReference"/>
        </w:rPr>
        <w:footnoteReference w:id="10"/>
      </w:r>
    </w:p>
    <w:p w14:paraId="0384CD24" w14:textId="77EB48D0" w:rsidR="003F15CB" w:rsidRDefault="008B3B20" w:rsidP="00050CCE">
      <w:pPr>
        <w:rPr>
          <w:rFonts w:cs="David"/>
          <w:color w:val="000000"/>
        </w:rPr>
      </w:pPr>
      <w:r>
        <w:t>Cassuto</w:t>
      </w:r>
      <w:r w:rsidR="00757B26">
        <w:t>’s insight enabled him</w:t>
      </w:r>
      <w:r>
        <w:t xml:space="preserve"> </w:t>
      </w:r>
      <w:r w:rsidR="0082508A">
        <w:t xml:space="preserve">to </w:t>
      </w:r>
      <w:r w:rsidR="00A204EF">
        <w:t>propose</w:t>
      </w:r>
      <w:r>
        <w:t xml:space="preserve"> a novel answer to the </w:t>
      </w:r>
      <w:r w:rsidR="00867C95">
        <w:t xml:space="preserve">classic </w:t>
      </w:r>
      <w:r>
        <w:t xml:space="preserve">rabbinic question, “Why was the law of the Nazirite </w:t>
      </w:r>
      <w:r w:rsidR="003F15CB">
        <w:t>(Num6</w:t>
      </w:r>
      <w:r w:rsidR="00FD1F44">
        <w:t>:1-21</w:t>
      </w:r>
      <w:r w:rsidR="003F15CB">
        <w:t xml:space="preserve">) </w:t>
      </w:r>
      <w:r>
        <w:t xml:space="preserve">placed </w:t>
      </w:r>
      <w:r w:rsidR="00A979EE">
        <w:t>(</w:t>
      </w:r>
      <w:proofErr w:type="spellStart"/>
      <w:r w:rsidR="00A979EE" w:rsidRPr="003039B8">
        <w:rPr>
          <w:i/>
          <w:iCs/>
        </w:rPr>
        <w:t>nismekha</w:t>
      </w:r>
      <w:proofErr w:type="spellEnd"/>
      <w:r w:rsidR="00A979EE">
        <w:t xml:space="preserve">) </w:t>
      </w:r>
      <w:r>
        <w:t xml:space="preserve">right after the law of the </w:t>
      </w:r>
      <w:proofErr w:type="spellStart"/>
      <w:r>
        <w:t>Sotah</w:t>
      </w:r>
      <w:proofErr w:type="spellEnd"/>
      <w:r w:rsidR="003F15CB">
        <w:t xml:space="preserve"> (Num5</w:t>
      </w:r>
      <w:r w:rsidR="00FD1F44">
        <w:t>:11-31</w:t>
      </w:r>
      <w:r w:rsidR="003F15CB">
        <w:t>)</w:t>
      </w:r>
      <w:r>
        <w:t>?”</w:t>
      </w:r>
      <w:r w:rsidR="00FD1F44">
        <w:t xml:space="preserve"> </w:t>
      </w:r>
      <w:r w:rsidR="003F15CB" w:rsidRPr="000B7040">
        <w:rPr>
          <w:iCs/>
          <w:lang w:bidi="he-IL"/>
        </w:rPr>
        <w:t>In Western way</w:t>
      </w:r>
      <w:r w:rsidR="00757B26">
        <w:rPr>
          <w:iCs/>
          <w:lang w:bidi="he-IL"/>
        </w:rPr>
        <w:t>s</w:t>
      </w:r>
      <w:r w:rsidR="003F15CB" w:rsidRPr="000B7040">
        <w:rPr>
          <w:iCs/>
          <w:lang w:bidi="he-IL"/>
        </w:rPr>
        <w:t xml:space="preserve"> of thinking, in order to explain th</w:t>
      </w:r>
      <w:r w:rsidR="00757B26">
        <w:rPr>
          <w:iCs/>
          <w:lang w:bidi="he-IL"/>
        </w:rPr>
        <w:t>is</w:t>
      </w:r>
      <w:r w:rsidR="003F15CB" w:rsidRPr="000B7040">
        <w:rPr>
          <w:iCs/>
          <w:lang w:bidi="he-IL"/>
        </w:rPr>
        <w:t xml:space="preserve"> </w:t>
      </w:r>
      <w:r w:rsidR="003039B8" w:rsidRPr="000B7040">
        <w:rPr>
          <w:iCs/>
          <w:lang w:bidi="he-IL"/>
        </w:rPr>
        <w:t>adjacency,</w:t>
      </w:r>
      <w:r w:rsidR="003F15CB" w:rsidRPr="000B7040">
        <w:rPr>
          <w:iCs/>
          <w:lang w:bidi="he-IL"/>
        </w:rPr>
        <w:t xml:space="preserve"> we </w:t>
      </w:r>
      <w:r w:rsidR="00757B26">
        <w:rPr>
          <w:iCs/>
          <w:lang w:bidi="he-IL"/>
        </w:rPr>
        <w:t>might</w:t>
      </w:r>
      <w:r w:rsidR="003F15CB" w:rsidRPr="000B7040">
        <w:rPr>
          <w:iCs/>
          <w:lang w:bidi="he-IL"/>
        </w:rPr>
        <w:t xml:space="preserve"> seek out similarities between </w:t>
      </w:r>
      <w:r w:rsidR="003F15CB">
        <w:rPr>
          <w:iCs/>
          <w:lang w:bidi="he-IL"/>
        </w:rPr>
        <w:t>a female</w:t>
      </w:r>
      <w:r w:rsidR="003F15CB" w:rsidRPr="000B7040">
        <w:rPr>
          <w:iCs/>
          <w:lang w:bidi="he-IL"/>
        </w:rPr>
        <w:t xml:space="preserve"> Nazirite and </w:t>
      </w:r>
      <w:r w:rsidR="003F15CB">
        <w:rPr>
          <w:iCs/>
          <w:lang w:bidi="he-IL"/>
        </w:rPr>
        <w:t>a</w:t>
      </w:r>
      <w:r w:rsidR="003F15CB" w:rsidRPr="000B7040">
        <w:rPr>
          <w:iCs/>
          <w:lang w:bidi="he-IL"/>
        </w:rPr>
        <w:t xml:space="preserve"> wayward wife, or </w:t>
      </w:r>
      <w:r w:rsidR="003F15CB">
        <w:rPr>
          <w:iCs/>
          <w:lang w:bidi="he-IL"/>
        </w:rPr>
        <w:t>p</w:t>
      </w:r>
      <w:r w:rsidR="003F15CB" w:rsidRPr="000B7040">
        <w:rPr>
          <w:iCs/>
          <w:lang w:bidi="he-IL"/>
        </w:rPr>
        <w:t xml:space="preserve">erhaps </w:t>
      </w:r>
      <w:r w:rsidR="00757B26">
        <w:rPr>
          <w:iCs/>
          <w:lang w:bidi="he-IL"/>
        </w:rPr>
        <w:t xml:space="preserve">parallels </w:t>
      </w:r>
      <w:r w:rsidR="003F15CB" w:rsidRPr="000B7040">
        <w:rPr>
          <w:iCs/>
          <w:lang w:bidi="he-IL"/>
        </w:rPr>
        <w:t xml:space="preserve">in the prescribed ritual for both (thematic association). </w:t>
      </w:r>
      <w:r w:rsidR="004D24AF">
        <w:rPr>
          <w:iCs/>
          <w:lang w:bidi="he-IL"/>
        </w:rPr>
        <w:t xml:space="preserve">Taking another approach, </w:t>
      </w:r>
      <w:r w:rsidR="003F15CB">
        <w:rPr>
          <w:iCs/>
          <w:lang w:bidi="he-IL"/>
        </w:rPr>
        <w:t>Ibn Ezra saw both women as contrasting figures.</w:t>
      </w:r>
      <w:r w:rsidR="003F15CB">
        <w:rPr>
          <w:rStyle w:val="FootnoteReference"/>
          <w:iCs/>
          <w:lang w:bidi="he-IL"/>
        </w:rPr>
        <w:footnoteReference w:id="11"/>
      </w:r>
      <w:r w:rsidR="003F15CB">
        <w:rPr>
          <w:iCs/>
          <w:lang w:bidi="he-IL"/>
        </w:rPr>
        <w:t xml:space="preserve"> </w:t>
      </w:r>
      <w:r w:rsidR="003F15CB" w:rsidRPr="000B7040">
        <w:rPr>
          <w:iCs/>
          <w:lang w:bidi="he-IL"/>
        </w:rPr>
        <w:t xml:space="preserve">Cassuto saw the </w:t>
      </w:r>
      <w:r w:rsidR="003F15CB">
        <w:rPr>
          <w:iCs/>
          <w:lang w:bidi="he-IL"/>
        </w:rPr>
        <w:t>connection</w:t>
      </w:r>
      <w:r w:rsidR="003F15CB" w:rsidRPr="000B7040">
        <w:rPr>
          <w:iCs/>
          <w:lang w:bidi="he-IL"/>
        </w:rPr>
        <w:t xml:space="preserve"> in the root</w:t>
      </w:r>
      <w:r w:rsidR="00A751C0">
        <w:rPr>
          <w:iCs/>
          <w:lang w:bidi="he-IL"/>
        </w:rPr>
        <w:t xml:space="preserve"> </w:t>
      </w:r>
      <w:r w:rsidR="00A751C0" w:rsidRPr="00A751C0">
        <w:rPr>
          <w:i/>
          <w:lang w:bidi="he-IL"/>
        </w:rPr>
        <w:t>PR</w:t>
      </w:r>
      <w:r w:rsidR="00A751C0" w:rsidRPr="002034F2">
        <w:rPr>
          <w:i/>
          <w:sz w:val="16"/>
          <w:szCs w:val="16"/>
          <w:lang w:bidi="he-IL"/>
        </w:rPr>
        <w:t>C</w:t>
      </w:r>
      <w:r w:rsidR="003F15CB" w:rsidRPr="00A751C0">
        <w:rPr>
          <w:iCs/>
          <w:lang w:bidi="he-IL"/>
        </w:rPr>
        <w:t xml:space="preserve"> </w:t>
      </w:r>
      <w:r w:rsidR="003F15CB" w:rsidRPr="000B7040">
        <w:rPr>
          <w:iCs/>
          <w:lang w:bidi="he-IL"/>
        </w:rPr>
        <w:t>(</w:t>
      </w:r>
      <w:r w:rsidR="003F15CB" w:rsidRPr="000B7040">
        <w:rPr>
          <w:rFonts w:cs="David"/>
          <w:i/>
          <w:rtl/>
          <w:lang w:bidi="he-IL"/>
        </w:rPr>
        <w:t>פרע</w:t>
      </w:r>
      <w:r w:rsidR="003F15CB" w:rsidRPr="000B7040">
        <w:rPr>
          <w:iCs/>
          <w:lang w:bidi="he-IL"/>
        </w:rPr>
        <w:t>)</w:t>
      </w:r>
      <w:r w:rsidR="003F15CB" w:rsidRPr="000B7040">
        <w:rPr>
          <w:i/>
          <w:lang w:bidi="he-IL"/>
        </w:rPr>
        <w:t xml:space="preserve">. </w:t>
      </w:r>
      <w:r w:rsidR="003F15CB" w:rsidRPr="000B7040">
        <w:rPr>
          <w:iCs/>
          <w:lang w:bidi="he-IL"/>
        </w:rPr>
        <w:t>In the</w:t>
      </w:r>
      <w:r w:rsidR="00E12930">
        <w:rPr>
          <w:iCs/>
          <w:lang w:bidi="he-IL"/>
        </w:rPr>
        <w:t xml:space="preserve"> section on the </w:t>
      </w:r>
      <w:proofErr w:type="spellStart"/>
      <w:r w:rsidR="00E12930">
        <w:rPr>
          <w:iCs/>
          <w:lang w:bidi="he-IL"/>
        </w:rPr>
        <w:t>Sotah</w:t>
      </w:r>
      <w:proofErr w:type="spellEnd"/>
      <w:r w:rsidR="003F15CB" w:rsidRPr="000B7040">
        <w:rPr>
          <w:iCs/>
          <w:lang w:bidi="he-IL"/>
        </w:rPr>
        <w:t xml:space="preserve"> we read: </w:t>
      </w:r>
      <w:r w:rsidR="003F15CB" w:rsidRPr="000B7040">
        <w:rPr>
          <w:i/>
          <w:rtl/>
          <w:lang w:bidi="he-IL"/>
        </w:rPr>
        <w:t>(</w:t>
      </w:r>
      <w:r w:rsidR="003F15CB" w:rsidRPr="000B7040">
        <w:rPr>
          <w:rFonts w:cs="David"/>
          <w:rtl/>
          <w:lang w:bidi="he-IL"/>
        </w:rPr>
        <w:t>וּפָרַע אֶת-רֹאשׁ הָאִשָּׁה)</w:t>
      </w:r>
      <w:r w:rsidR="003F15CB" w:rsidRPr="000B7040">
        <w:t xml:space="preserve"> </w:t>
      </w:r>
      <w:r w:rsidR="003F15CB" w:rsidRPr="000B7040">
        <w:rPr>
          <w:iCs/>
          <w:lang w:bidi="he-IL"/>
        </w:rPr>
        <w:t xml:space="preserve">“the priest shall dishevel the woman’s hair” or </w:t>
      </w:r>
      <w:r w:rsidR="003F15CB" w:rsidRPr="000B7040">
        <w:t>“</w:t>
      </w:r>
      <w:r w:rsidR="003F15CB" w:rsidRPr="000B7040">
        <w:rPr>
          <w:color w:val="000000"/>
        </w:rPr>
        <w:t>let the hair of the woman's head go loose</w:t>
      </w:r>
      <w:r w:rsidR="00212A29">
        <w:rPr>
          <w:color w:val="000000"/>
        </w:rPr>
        <w:t>.</w:t>
      </w:r>
      <w:r w:rsidR="003F15CB" w:rsidRPr="000B7040">
        <w:rPr>
          <w:rFonts w:cs="David"/>
          <w:color w:val="000000"/>
        </w:rPr>
        <w:t xml:space="preserve">” In </w:t>
      </w:r>
      <w:r w:rsidR="003F15CB" w:rsidRPr="000B7040">
        <w:rPr>
          <w:iCs/>
          <w:lang w:bidi="he-IL"/>
        </w:rPr>
        <w:t xml:space="preserve">the law of the </w:t>
      </w:r>
      <w:proofErr w:type="gramStart"/>
      <w:r w:rsidR="003F15CB" w:rsidRPr="000B7040">
        <w:rPr>
          <w:iCs/>
          <w:lang w:bidi="he-IL"/>
        </w:rPr>
        <w:t>Nazirite</w:t>
      </w:r>
      <w:proofErr w:type="gramEnd"/>
      <w:r w:rsidR="003F15CB" w:rsidRPr="000B7040">
        <w:rPr>
          <w:iCs/>
          <w:lang w:bidi="he-IL"/>
        </w:rPr>
        <w:t xml:space="preserve"> we read (</w:t>
      </w:r>
      <w:r w:rsidR="003F15CB" w:rsidRPr="000B7040">
        <w:rPr>
          <w:i/>
          <w:rtl/>
          <w:lang w:bidi="he-IL"/>
        </w:rPr>
        <w:t>(</w:t>
      </w:r>
      <w:r w:rsidR="003F15CB" w:rsidRPr="000B7040">
        <w:rPr>
          <w:rFonts w:cs="David"/>
          <w:rtl/>
          <w:lang w:bidi="he-IL"/>
        </w:rPr>
        <w:t>גַּדֵּל פֶּרַע שְׂעַר רֹאשׁוֹ</w:t>
      </w:r>
      <w:r w:rsidR="003F15CB" w:rsidRPr="000B7040">
        <w:rPr>
          <w:rFonts w:cs="David"/>
          <w:lang w:bidi="he-IL"/>
        </w:rPr>
        <w:t xml:space="preserve">, </w:t>
      </w:r>
      <w:r w:rsidR="003F15CB" w:rsidRPr="000B7040">
        <w:rPr>
          <w:lang w:bidi="he-IL"/>
        </w:rPr>
        <w:t>“</w:t>
      </w:r>
      <w:r w:rsidR="003F15CB" w:rsidRPr="000B7040">
        <w:rPr>
          <w:rFonts w:cs="David"/>
          <w:color w:val="000000"/>
        </w:rPr>
        <w:t xml:space="preserve">he shall let the locks of the hair of his head grow long.” Both </w:t>
      </w:r>
      <w:r w:rsidR="00757B26" w:rsidRPr="000B7040">
        <w:rPr>
          <w:rFonts w:cs="David"/>
          <w:color w:val="000000"/>
        </w:rPr>
        <w:t xml:space="preserve">unrelated </w:t>
      </w:r>
      <w:r w:rsidR="003F15CB" w:rsidRPr="000B7040">
        <w:rPr>
          <w:rFonts w:cs="David"/>
          <w:color w:val="000000"/>
        </w:rPr>
        <w:t xml:space="preserve">passages speak of growing the hair or letting it out and both use the same </w:t>
      </w:r>
      <w:r w:rsidR="00757B26">
        <w:rPr>
          <w:rFonts w:cs="David"/>
          <w:color w:val="000000"/>
        </w:rPr>
        <w:t>root</w:t>
      </w:r>
      <w:r w:rsidR="003F15CB" w:rsidRPr="000B7040">
        <w:rPr>
          <w:rFonts w:cs="David"/>
          <w:color w:val="000000"/>
        </w:rPr>
        <w:t>,</w:t>
      </w:r>
      <w:r w:rsidR="00534A43" w:rsidRPr="00534A43">
        <w:rPr>
          <w:i/>
          <w:lang w:bidi="he-IL"/>
        </w:rPr>
        <w:t xml:space="preserve"> </w:t>
      </w:r>
      <w:r w:rsidR="00534A43" w:rsidRPr="00A751C0">
        <w:rPr>
          <w:i/>
          <w:lang w:bidi="he-IL"/>
        </w:rPr>
        <w:t>PR</w:t>
      </w:r>
      <w:r w:rsidR="00534A43" w:rsidRPr="00A751C0">
        <w:rPr>
          <w:i/>
          <w:sz w:val="18"/>
          <w:szCs w:val="18"/>
          <w:lang w:bidi="he-IL"/>
        </w:rPr>
        <w:t>C</w:t>
      </w:r>
      <w:r w:rsidR="003F15CB">
        <w:rPr>
          <w:rFonts w:cs="David"/>
          <w:color w:val="000000"/>
        </w:rPr>
        <w:t>.</w:t>
      </w:r>
      <w:r w:rsidR="004D24AF">
        <w:rPr>
          <w:rFonts w:cs="David"/>
          <w:color w:val="000000"/>
        </w:rPr>
        <w:t xml:space="preserve"> This is </w:t>
      </w:r>
      <w:r w:rsidR="009F2AD1">
        <w:rPr>
          <w:rFonts w:cs="David"/>
          <w:color w:val="000000"/>
        </w:rPr>
        <w:t>associative</w:t>
      </w:r>
      <w:r w:rsidR="004D24AF">
        <w:rPr>
          <w:rFonts w:cs="David"/>
          <w:color w:val="000000"/>
        </w:rPr>
        <w:t xml:space="preserve"> juxtaposition</w:t>
      </w:r>
      <w:r w:rsidR="002034F2">
        <w:rPr>
          <w:rFonts w:cs="David"/>
          <w:color w:val="000000"/>
        </w:rPr>
        <w:t>: the two sections follow one another because of the linguistic similarity.</w:t>
      </w:r>
      <w:r w:rsidR="004D24AF">
        <w:rPr>
          <w:rFonts w:cs="David"/>
          <w:color w:val="000000"/>
        </w:rPr>
        <w:t xml:space="preserve"> </w:t>
      </w:r>
    </w:p>
    <w:p w14:paraId="18BE832C" w14:textId="5520CBBC" w:rsidR="00867C95" w:rsidRDefault="00535691" w:rsidP="00405DEC">
      <w:pPr>
        <w:tabs>
          <w:tab w:val="left" w:pos="6363"/>
        </w:tabs>
      </w:pPr>
      <w:r>
        <w:t xml:space="preserve">In addition, </w:t>
      </w:r>
      <w:r w:rsidR="00405DEC">
        <w:t>Cassuto</w:t>
      </w:r>
      <w:r>
        <w:t xml:space="preserve"> also explained </w:t>
      </w:r>
      <w:r w:rsidR="00FD1F44">
        <w:t>a second</w:t>
      </w:r>
      <w:r w:rsidR="006F257B">
        <w:t xml:space="preserve"> </w:t>
      </w:r>
      <w:r>
        <w:t xml:space="preserve">link between the guilt </w:t>
      </w:r>
      <w:r w:rsidR="00FE6A56">
        <w:t>offering</w:t>
      </w:r>
      <w:r w:rsidR="00FD1F44">
        <w:t xml:space="preserve"> (</w:t>
      </w:r>
      <w:proofErr w:type="spellStart"/>
      <w:r w:rsidR="00FD1F44" w:rsidRPr="00FD1F44">
        <w:rPr>
          <w:i/>
          <w:iCs/>
        </w:rPr>
        <w:t>asham</w:t>
      </w:r>
      <w:proofErr w:type="spellEnd"/>
      <w:r w:rsidR="00FD1F44">
        <w:t>)</w:t>
      </w:r>
      <w:r>
        <w:t xml:space="preserve"> </w:t>
      </w:r>
      <w:r w:rsidR="00FD1F44">
        <w:t xml:space="preserve">in Num.5:8-9 </w:t>
      </w:r>
      <w:r>
        <w:t xml:space="preserve">and the </w:t>
      </w:r>
      <w:r w:rsidR="00FC6AFD">
        <w:t>meal offering</w:t>
      </w:r>
      <w:r w:rsidR="002B31F5">
        <w:t xml:space="preserve"> </w:t>
      </w:r>
      <w:r w:rsidR="006B26D8">
        <w:t xml:space="preserve">brought by </w:t>
      </w:r>
      <w:r>
        <w:t xml:space="preserve">the </w:t>
      </w:r>
      <w:proofErr w:type="spellStart"/>
      <w:r>
        <w:t>Sotah</w:t>
      </w:r>
      <w:proofErr w:type="spellEnd"/>
      <w:r>
        <w:t xml:space="preserve"> or wayward woman in </w:t>
      </w:r>
      <w:r w:rsidR="00534A43">
        <w:t>Num</w:t>
      </w:r>
      <w:r>
        <w:t>5:12</w:t>
      </w:r>
      <w:r w:rsidR="00FE6A56">
        <w:t xml:space="preserve">. </w:t>
      </w:r>
      <w:r w:rsidR="00867C95">
        <w:t>Since th</w:t>
      </w:r>
      <w:r w:rsidR="002B31F5">
        <w:t>e</w:t>
      </w:r>
      <w:r w:rsidR="00867C95" w:rsidRPr="007021BE">
        <w:t xml:space="preserve"> </w:t>
      </w:r>
      <w:r w:rsidR="007021BE" w:rsidRPr="007021BE">
        <w:t>paragraph of</w:t>
      </w:r>
      <w:r w:rsidR="00867C95">
        <w:t xml:space="preserve"> </w:t>
      </w:r>
      <w:r w:rsidR="007021BE">
        <w:t xml:space="preserve">the </w:t>
      </w:r>
      <w:r w:rsidR="00867C95">
        <w:t>guilt offering includes the phrase “thus breaking faith with the Lord”</w:t>
      </w:r>
      <w:r w:rsidR="001C7744">
        <w:t xml:space="preserve"> (</w:t>
      </w:r>
      <w:r w:rsidR="001C7744">
        <w:rPr>
          <w:rFonts w:hint="cs"/>
          <w:rtl/>
          <w:lang w:bidi="he-IL"/>
        </w:rPr>
        <w:t>כי ימעול מעל</w:t>
      </w:r>
      <w:r w:rsidR="001C7744">
        <w:rPr>
          <w:lang w:bidi="he-IL"/>
        </w:rPr>
        <w:t>)</w:t>
      </w:r>
      <w:r w:rsidR="00867C95">
        <w:t xml:space="preserve">, it is immediately followed by the pericope of the </w:t>
      </w:r>
      <w:proofErr w:type="spellStart"/>
      <w:r w:rsidR="00867C95">
        <w:t>Sotah</w:t>
      </w:r>
      <w:proofErr w:type="spellEnd"/>
      <w:r w:rsidR="00867C95">
        <w:t>, whi</w:t>
      </w:r>
      <w:r w:rsidR="001C7744">
        <w:t>c</w:t>
      </w:r>
      <w:r w:rsidR="00867C95">
        <w:t>h opens with “</w:t>
      </w:r>
      <w:r w:rsidR="001C7744">
        <w:t xml:space="preserve">and </w:t>
      </w:r>
      <w:r w:rsidR="007021BE">
        <w:t xml:space="preserve">[she has] </w:t>
      </w:r>
      <w:r w:rsidR="001C7744">
        <w:t>broken faith with him</w:t>
      </w:r>
      <w:r w:rsidR="00867C95">
        <w:t>”</w:t>
      </w:r>
      <w:r w:rsidR="00C35248">
        <w:t xml:space="preserve"> </w:t>
      </w:r>
      <w:r w:rsidR="001C7744">
        <w:t>(</w:t>
      </w:r>
      <w:r w:rsidR="001C7744">
        <w:rPr>
          <w:rFonts w:hint="cs"/>
          <w:rtl/>
          <w:lang w:bidi="he-IL"/>
        </w:rPr>
        <w:t xml:space="preserve">ומעלה בו </w:t>
      </w:r>
      <w:proofErr w:type="gramStart"/>
      <w:r w:rsidR="001C7744">
        <w:rPr>
          <w:rFonts w:hint="cs"/>
          <w:rtl/>
          <w:lang w:bidi="he-IL"/>
        </w:rPr>
        <w:t>מעל</w:t>
      </w:r>
      <w:r w:rsidR="001C7744">
        <w:rPr>
          <w:lang w:bidi="he-IL"/>
        </w:rPr>
        <w:t xml:space="preserve"> )</w:t>
      </w:r>
      <w:proofErr w:type="gramEnd"/>
      <w:r w:rsidR="00867C95">
        <w:t xml:space="preserve">. </w:t>
      </w:r>
      <w:r w:rsidR="00CC4CCA">
        <w:t xml:space="preserve">Breaking faith in both pericopes is expressed by the identical word </w:t>
      </w:r>
      <w:proofErr w:type="spellStart"/>
      <w:r w:rsidR="00CC4CCA" w:rsidRPr="00CC4CCA">
        <w:rPr>
          <w:i/>
          <w:iCs/>
        </w:rPr>
        <w:t>ma’al</w:t>
      </w:r>
      <w:proofErr w:type="spellEnd"/>
      <w:r w:rsidR="00CC4CCA">
        <w:t xml:space="preserve">. </w:t>
      </w:r>
      <w:r w:rsidR="002A4041">
        <w:t xml:space="preserve">Once </w:t>
      </w:r>
      <w:r w:rsidR="005F132A">
        <w:t>again,</w:t>
      </w:r>
      <w:r w:rsidR="002A4041">
        <w:t xml:space="preserve"> we </w:t>
      </w:r>
      <w:r w:rsidR="00D56ECB">
        <w:t>take</w:t>
      </w:r>
      <w:r w:rsidR="002A4041">
        <w:t xml:space="preserve"> an association of language</w:t>
      </w:r>
      <w:r w:rsidR="00D56ECB">
        <w:t xml:space="preserve"> to be </w:t>
      </w:r>
      <w:r w:rsidR="001A3D1A">
        <w:t>a</w:t>
      </w:r>
      <w:r w:rsidR="00D56ECB">
        <w:t>n original</w:t>
      </w:r>
      <w:r w:rsidR="001A3D1A">
        <w:t xml:space="preserve"> </w:t>
      </w:r>
      <w:r w:rsidR="001A3D1A" w:rsidRPr="00A95DC7">
        <w:rPr>
          <w:rFonts w:ascii="Calibri" w:hAnsi="Calibri" w:cs="Calibri"/>
          <w:color w:val="32312E"/>
          <w:shd w:val="clear" w:color="auto" w:fill="FFFFFF"/>
        </w:rPr>
        <w:t>mnemotechnical</w:t>
      </w:r>
      <w:r w:rsidR="00A95DC7" w:rsidRPr="00A95DC7">
        <w:rPr>
          <w:rFonts w:ascii="Calibri" w:hAnsi="Calibri" w:cs="Calibri"/>
          <w:color w:val="32312E"/>
          <w:shd w:val="clear" w:color="auto" w:fill="FFFFFF"/>
        </w:rPr>
        <w:t xml:space="preserve"> device</w:t>
      </w:r>
      <w:r w:rsidR="008E57BC">
        <w:rPr>
          <w:rFonts w:ascii="Calibri" w:hAnsi="Calibri" w:cs="Calibri"/>
          <w:color w:val="32312E"/>
          <w:shd w:val="clear" w:color="auto" w:fill="FFFFFF"/>
        </w:rPr>
        <w:t xml:space="preserve"> that links two sections</w:t>
      </w:r>
      <w:r w:rsidR="002A4041" w:rsidRPr="001A3D1A">
        <w:rPr>
          <w:rFonts w:ascii="Cambria" w:hAnsi="Cambria"/>
          <w:color w:val="32312E"/>
          <w:shd w:val="clear" w:color="auto" w:fill="FFFFFF"/>
        </w:rPr>
        <w:t>.</w:t>
      </w:r>
      <w:r w:rsidR="002A4041">
        <w:t xml:space="preserve"> </w:t>
      </w:r>
    </w:p>
    <w:p w14:paraId="5FBADF16" w14:textId="70FFF7AA" w:rsidR="001C7744" w:rsidRDefault="005B0BED" w:rsidP="007E3E1E">
      <w:pPr>
        <w:tabs>
          <w:tab w:val="left" w:pos="6363"/>
        </w:tabs>
      </w:pPr>
      <w:r>
        <w:t xml:space="preserve">We have seen </w:t>
      </w:r>
      <w:r w:rsidR="005F132A">
        <w:t xml:space="preserve">in an earlier chapter </w:t>
      </w:r>
      <w:r w:rsidR="001C7744">
        <w:t xml:space="preserve">that </w:t>
      </w:r>
      <w:r w:rsidR="00213544">
        <w:t xml:space="preserve">several of </w:t>
      </w:r>
      <w:r w:rsidR="00F02A4B">
        <w:t xml:space="preserve">Cassuto’s </w:t>
      </w:r>
      <w:r w:rsidR="001C7744">
        <w:t>associative explanations</w:t>
      </w:r>
      <w:r w:rsidR="00FC6AFD">
        <w:t xml:space="preserve"> were </w:t>
      </w:r>
      <w:r w:rsidR="007021BE">
        <w:t xml:space="preserve">already </w:t>
      </w:r>
      <w:r w:rsidR="00FC6AFD">
        <w:t>found in t</w:t>
      </w:r>
      <w:r w:rsidR="00291F35">
        <w:t xml:space="preserve">he medieval </w:t>
      </w:r>
      <w:r w:rsidR="00F02A4B">
        <w:t>commentary of</w:t>
      </w:r>
      <w:r w:rsidR="001C7744">
        <w:t xml:space="preserve"> Ibn Ezra. </w:t>
      </w:r>
      <w:r w:rsidR="00213544">
        <w:t xml:space="preserve">The latter </w:t>
      </w:r>
      <w:r w:rsidR="0031740F">
        <w:t xml:space="preserve">pioneered </w:t>
      </w:r>
      <w:r w:rsidR="007A2CC9">
        <w:t xml:space="preserve">in applying </w:t>
      </w:r>
      <w:r w:rsidR="0031740F">
        <w:t>the rudiments of</w:t>
      </w:r>
      <w:r w:rsidR="00D85F03">
        <w:t xml:space="preserve"> </w:t>
      </w:r>
      <w:r w:rsidR="006F257B">
        <w:t>associative juxtaposition</w:t>
      </w:r>
      <w:r w:rsidR="00D85F03">
        <w:t xml:space="preserve"> </w:t>
      </w:r>
      <w:r w:rsidR="0031740F">
        <w:t>to biblical order</w:t>
      </w:r>
      <w:r w:rsidR="00CD36C5">
        <w:t>,</w:t>
      </w:r>
      <w:r w:rsidR="006F257B">
        <w:t xml:space="preserve"> </w:t>
      </w:r>
      <w:r w:rsidR="00D85F03">
        <w:t xml:space="preserve">considering </w:t>
      </w:r>
      <w:r w:rsidR="007021BE">
        <w:t>this</w:t>
      </w:r>
      <w:r w:rsidR="00D85F03">
        <w:t xml:space="preserve"> to be the peshat, </w:t>
      </w:r>
      <w:r w:rsidR="007E3E1E">
        <w:t xml:space="preserve">while Cassuto saw </w:t>
      </w:r>
      <w:r w:rsidR="006F257B">
        <w:t xml:space="preserve">this method </w:t>
      </w:r>
      <w:r w:rsidR="00D85F03">
        <w:t xml:space="preserve">not only </w:t>
      </w:r>
      <w:r w:rsidR="00D85F03">
        <w:lastRenderedPageBreak/>
        <w:t>a</w:t>
      </w:r>
      <w:r w:rsidR="007E3E1E">
        <w:t>s a</w:t>
      </w:r>
      <w:r w:rsidR="00D85F03">
        <w:t xml:space="preserve"> literary </w:t>
      </w:r>
      <w:r w:rsidR="00D11E73">
        <w:t>technique</w:t>
      </w:r>
      <w:r w:rsidR="00D85F03">
        <w:t xml:space="preserve"> </w:t>
      </w:r>
      <w:r w:rsidR="00FF70B6">
        <w:t>t</w:t>
      </w:r>
      <w:r w:rsidR="0087023E">
        <w:t xml:space="preserve">hat </w:t>
      </w:r>
      <w:r w:rsidR="00FF70B6">
        <w:t>explain</w:t>
      </w:r>
      <w:r w:rsidR="0087023E">
        <w:t>ed</w:t>
      </w:r>
      <w:r w:rsidR="002A4041">
        <w:t xml:space="preserve"> jux</w:t>
      </w:r>
      <w:r w:rsidR="00FF70B6">
        <w:t>taposition</w:t>
      </w:r>
      <w:r w:rsidR="00CC4CCA">
        <w:t>,</w:t>
      </w:r>
      <w:r w:rsidR="00FF70B6">
        <w:t xml:space="preserve"> </w:t>
      </w:r>
      <w:r w:rsidR="00D85F03">
        <w:t>but also a</w:t>
      </w:r>
      <w:r w:rsidR="007E3E1E">
        <w:t xml:space="preserve">s a </w:t>
      </w:r>
      <w:r w:rsidR="006F257B">
        <w:t>clue to the formation of biblical books.</w:t>
      </w:r>
      <w:r w:rsidR="00FF70B6">
        <w:rPr>
          <w:rStyle w:val="FootnoteReference"/>
        </w:rPr>
        <w:footnoteReference w:id="12"/>
      </w:r>
      <w:r w:rsidR="002527A6">
        <w:t xml:space="preserve"> </w:t>
      </w:r>
    </w:p>
    <w:p w14:paraId="1F0D405C" w14:textId="16FA64B6" w:rsidR="00FE28CD" w:rsidRDefault="00443FE5" w:rsidP="007A2CC9">
      <w:pPr>
        <w:tabs>
          <w:tab w:val="left" w:pos="6363"/>
        </w:tabs>
        <w:rPr>
          <w:b/>
          <w:bCs/>
        </w:rPr>
      </w:pPr>
      <w:r w:rsidRPr="00443FE5">
        <w:rPr>
          <w:b/>
          <w:bCs/>
        </w:rPr>
        <w:t xml:space="preserve">Alexander </w:t>
      </w:r>
      <w:r w:rsidRPr="00443FE5">
        <w:rPr>
          <w:rFonts w:cs="David"/>
          <w:b/>
          <w:bCs/>
          <w:color w:val="000000"/>
        </w:rPr>
        <w:t>Rof</w:t>
      </w:r>
      <w:r w:rsidRPr="00443FE5">
        <w:rPr>
          <w:b/>
          <w:bCs/>
          <w:color w:val="000000"/>
        </w:rPr>
        <w:t xml:space="preserve">é (1932 </w:t>
      </w:r>
      <w:r w:rsidR="00C116C3" w:rsidRPr="00443FE5">
        <w:rPr>
          <w:b/>
          <w:bCs/>
          <w:color w:val="000000"/>
        </w:rPr>
        <w:t>-)</w:t>
      </w:r>
      <w:r w:rsidRPr="00443FE5">
        <w:rPr>
          <w:b/>
          <w:bCs/>
          <w:color w:val="000000"/>
        </w:rPr>
        <w:t>:</w:t>
      </w:r>
      <w:r w:rsidRPr="003740B9">
        <w:rPr>
          <w:b/>
          <w:bCs/>
        </w:rPr>
        <w:t xml:space="preserve"> </w:t>
      </w:r>
      <w:r w:rsidR="00FE28CD" w:rsidRPr="003740B9">
        <w:rPr>
          <w:b/>
          <w:bCs/>
        </w:rPr>
        <w:t>The Arrangement of the Laws in Deuteronomy</w:t>
      </w:r>
    </w:p>
    <w:p w14:paraId="5A6ADC71" w14:textId="7D1D8806" w:rsidR="00FE28CD" w:rsidRDefault="00FE28CD" w:rsidP="00D3734F">
      <w:pPr>
        <w:tabs>
          <w:tab w:val="left" w:pos="6363"/>
        </w:tabs>
      </w:pPr>
      <w:r>
        <w:t xml:space="preserve">Alexander </w:t>
      </w:r>
      <w:r w:rsidR="00D3734F" w:rsidRPr="000B7040">
        <w:rPr>
          <w:rFonts w:cs="David"/>
          <w:color w:val="000000"/>
        </w:rPr>
        <w:t>Rof</w:t>
      </w:r>
      <w:r w:rsidR="00D3734F" w:rsidRPr="000B7040">
        <w:rPr>
          <w:color w:val="000000"/>
        </w:rPr>
        <w:t>é</w:t>
      </w:r>
      <w:r w:rsidR="00F02A4B">
        <w:t>, Cassuto’s student,</w:t>
      </w:r>
      <w:r>
        <w:t xml:space="preserve"> devoted a chapter</w:t>
      </w:r>
      <w:r w:rsidR="009836D0">
        <w:t xml:space="preserve"> with the above title</w:t>
      </w:r>
      <w:r>
        <w:t xml:space="preserve"> </w:t>
      </w:r>
      <w:r w:rsidR="00C35248">
        <w:t>to</w:t>
      </w:r>
      <w:r>
        <w:t xml:space="preserve"> </w:t>
      </w:r>
      <w:r w:rsidR="00296718">
        <w:t>his teacher’</w:t>
      </w:r>
      <w:r>
        <w:t>s ideas on associative order.</w:t>
      </w:r>
      <w:r>
        <w:rPr>
          <w:rStyle w:val="FootnoteReference"/>
        </w:rPr>
        <w:footnoteReference w:id="13"/>
      </w:r>
      <w:r w:rsidR="003740B9">
        <w:t xml:space="preserve"> Before going into detail, it is worthwhile stat</w:t>
      </w:r>
      <w:r w:rsidR="002329A8">
        <w:t xml:space="preserve">ing what </w:t>
      </w:r>
      <w:r w:rsidR="004F20F0">
        <w:t>Rofé</w:t>
      </w:r>
      <w:r w:rsidR="002329A8">
        <w:t xml:space="preserve"> fe</w:t>
      </w:r>
      <w:r w:rsidR="00C14C49">
        <w:t xml:space="preserve">lt was </w:t>
      </w:r>
      <w:r w:rsidR="002329A8">
        <w:t>the significance of Cassuto’s work</w:t>
      </w:r>
      <w:r w:rsidR="003740B9">
        <w:t xml:space="preserve">: </w:t>
      </w:r>
    </w:p>
    <w:p w14:paraId="5097BEC8" w14:textId="5811E2B6" w:rsidR="003740B9" w:rsidRDefault="003740B9" w:rsidP="002B6908">
      <w:pPr>
        <w:tabs>
          <w:tab w:val="left" w:pos="6363"/>
        </w:tabs>
        <w:ind w:left="720"/>
      </w:pPr>
      <w:r>
        <w:t xml:space="preserve">The argument that the books of the </w:t>
      </w:r>
      <w:r w:rsidR="002B6908">
        <w:t>B</w:t>
      </w:r>
      <w:r>
        <w:t>ible were arranged according to</w:t>
      </w:r>
      <w:r w:rsidR="002B6908">
        <w:t xml:space="preserve"> </w:t>
      </w:r>
      <w:r>
        <w:t xml:space="preserve">a certain method challenges the </w:t>
      </w:r>
      <w:r w:rsidR="002B6908">
        <w:t>theory</w:t>
      </w:r>
      <w:r>
        <w:t xml:space="preserve"> that the books </w:t>
      </w:r>
      <w:r w:rsidR="002329A8">
        <w:t xml:space="preserve">grew </w:t>
      </w:r>
      <w:r>
        <w:t>gr</w:t>
      </w:r>
      <w:r w:rsidR="002B6908">
        <w:t>adually round an original nucleus later augmented by additions and redaction. It suggests instead that the books were ‘expertly arranged’ by editors. Thus</w:t>
      </w:r>
      <w:r w:rsidR="00131C5A">
        <w:t>,</w:t>
      </w:r>
      <w:r w:rsidR="002B6908">
        <w:t xml:space="preserve"> it becomes evident that Cassuto’s hypothesis about the associative arrangement of biblical pericopes yielded a complete picture as to the history of Israelite literature from its very beginning in oral transmission until its final editing in written scrolls.</w:t>
      </w:r>
      <w:r w:rsidR="002B6908">
        <w:rPr>
          <w:rStyle w:val="FootnoteReference"/>
        </w:rPr>
        <w:footnoteReference w:id="14"/>
      </w:r>
      <w:r>
        <w:t xml:space="preserve"> </w:t>
      </w:r>
    </w:p>
    <w:p w14:paraId="687ECF6D" w14:textId="76762EB1" w:rsidR="00C14C49" w:rsidRPr="000B7040" w:rsidRDefault="00CF3692" w:rsidP="007021BE">
      <w:pPr>
        <w:rPr>
          <w:iCs/>
          <w:lang w:bidi="he-IL"/>
        </w:rPr>
      </w:pPr>
      <w:r>
        <w:rPr>
          <w:lang w:bidi="he-IL"/>
        </w:rPr>
        <w:t xml:space="preserve">According to </w:t>
      </w:r>
      <w:r w:rsidR="001D615D">
        <w:rPr>
          <w:lang w:bidi="he-IL"/>
        </w:rPr>
        <w:t>Rofé</w:t>
      </w:r>
      <w:r>
        <w:rPr>
          <w:lang w:bidi="he-IL"/>
        </w:rPr>
        <w:t xml:space="preserve">, </w:t>
      </w:r>
      <w:r w:rsidR="00C14C49" w:rsidRPr="000B7040">
        <w:rPr>
          <w:lang w:bidi="he-IL"/>
        </w:rPr>
        <w:t xml:space="preserve">Cassuto suggested using </w:t>
      </w:r>
      <w:r w:rsidR="00D11E73">
        <w:rPr>
          <w:lang w:bidi="he-IL"/>
        </w:rPr>
        <w:t xml:space="preserve">the same </w:t>
      </w:r>
      <w:r w:rsidR="00C14C49" w:rsidRPr="000B7040">
        <w:rPr>
          <w:lang w:bidi="he-IL"/>
        </w:rPr>
        <w:t>principle, connection by association</w:t>
      </w:r>
      <w:r w:rsidR="00D11E73">
        <w:rPr>
          <w:lang w:bidi="he-IL"/>
        </w:rPr>
        <w:t xml:space="preserve">, to explain </w:t>
      </w:r>
      <w:r w:rsidR="00D11E73" w:rsidRPr="000B7040">
        <w:rPr>
          <w:lang w:bidi="he-IL"/>
        </w:rPr>
        <w:t xml:space="preserve">the internal arrangement of biblical legal </w:t>
      </w:r>
      <w:r w:rsidR="00131C5A">
        <w:rPr>
          <w:lang w:bidi="he-IL"/>
        </w:rPr>
        <w:t>codices</w:t>
      </w:r>
      <w:r w:rsidR="00D11E73" w:rsidRPr="000B7040">
        <w:rPr>
          <w:lang w:bidi="he-IL"/>
        </w:rPr>
        <w:t xml:space="preserve"> that contain</w:t>
      </w:r>
      <w:r w:rsidR="009A209F">
        <w:rPr>
          <w:lang w:bidi="he-IL"/>
        </w:rPr>
        <w:t>ed</w:t>
      </w:r>
      <w:r w:rsidR="00D11E73" w:rsidRPr="000B7040">
        <w:rPr>
          <w:lang w:bidi="he-IL"/>
        </w:rPr>
        <w:t xml:space="preserve"> diverse commandments</w:t>
      </w:r>
      <w:r w:rsidR="003F15CB">
        <w:rPr>
          <w:lang w:bidi="he-IL"/>
        </w:rPr>
        <w:t xml:space="preserve">. </w:t>
      </w:r>
      <w:r w:rsidR="00C14C49" w:rsidRPr="000B7040">
        <w:rPr>
          <w:lang w:bidi="he-IL"/>
        </w:rPr>
        <w:t xml:space="preserve">Cassuto brought the following example: the law of the </w:t>
      </w:r>
      <w:proofErr w:type="spellStart"/>
      <w:r w:rsidR="00C14C49" w:rsidRPr="000B7040">
        <w:rPr>
          <w:lang w:bidi="he-IL"/>
        </w:rPr>
        <w:t>Molekh</w:t>
      </w:r>
      <w:proofErr w:type="spellEnd"/>
      <w:r w:rsidR="00C14C49" w:rsidRPr="000B7040">
        <w:rPr>
          <w:lang w:bidi="he-IL"/>
        </w:rPr>
        <w:t xml:space="preserve"> in Lv18:21 is set </w:t>
      </w:r>
      <w:proofErr w:type="gramStart"/>
      <w:r w:rsidR="00C14C49" w:rsidRPr="000B7040">
        <w:rPr>
          <w:lang w:bidi="he-IL"/>
        </w:rPr>
        <w:t>in the midst of</w:t>
      </w:r>
      <w:proofErr w:type="gramEnd"/>
      <w:r w:rsidR="00C14C49" w:rsidRPr="000B7040">
        <w:rPr>
          <w:lang w:bidi="he-IL"/>
        </w:rPr>
        <w:t xml:space="preserve"> prohibitions against forbidden sexual relations. Those prohibitions have a common theme, which explains why they are found together, but the law of the </w:t>
      </w:r>
      <w:proofErr w:type="spellStart"/>
      <w:r w:rsidR="00C14C49" w:rsidRPr="000B7040">
        <w:rPr>
          <w:lang w:bidi="he-IL"/>
        </w:rPr>
        <w:t>Molekh</w:t>
      </w:r>
      <w:proofErr w:type="spellEnd"/>
      <w:r w:rsidR="00C14C49" w:rsidRPr="000B7040">
        <w:rPr>
          <w:lang w:bidi="he-IL"/>
        </w:rPr>
        <w:t xml:space="preserve"> lacks any topical connection to them. Why was it placed here? Cassuto saw the connecting link in the Hebrew word </w:t>
      </w:r>
      <w:proofErr w:type="spellStart"/>
      <w:r w:rsidR="00C14C49" w:rsidRPr="000B7040">
        <w:rPr>
          <w:i/>
          <w:iCs/>
          <w:lang w:bidi="he-IL"/>
        </w:rPr>
        <w:t>zr</w:t>
      </w:r>
      <w:r w:rsidR="00C14C49" w:rsidRPr="000B7040">
        <w:rPr>
          <w:i/>
          <w:iCs/>
          <w:vertAlign w:val="superscript"/>
          <w:lang w:bidi="he-IL"/>
        </w:rPr>
        <w:t>c</w:t>
      </w:r>
      <w:proofErr w:type="spellEnd"/>
      <w:r w:rsidR="00C14C49" w:rsidRPr="000B7040">
        <w:rPr>
          <w:lang w:bidi="he-IL"/>
        </w:rPr>
        <w:t xml:space="preserve"> (“seed,” “offspring”). </w:t>
      </w:r>
      <w:r w:rsidR="003F15CB">
        <w:rPr>
          <w:lang w:bidi="he-IL"/>
        </w:rPr>
        <w:t>Lev18:</w:t>
      </w:r>
      <w:r w:rsidR="00C14C49" w:rsidRPr="000B7040">
        <w:rPr>
          <w:lang w:bidi="he-IL"/>
        </w:rPr>
        <w:t>20 reads, “</w:t>
      </w:r>
      <w:r w:rsidR="00C14C49" w:rsidRPr="000B7040">
        <w:t xml:space="preserve">And thou shalt not lie carnally with thy neighbor's wife, to defile thyself with her.”  The Hebrew for “Thou shalt not lie carnally” is, </w:t>
      </w:r>
      <w:r w:rsidR="00C14C49" w:rsidRPr="000B7040">
        <w:rPr>
          <w:rFonts w:cs="David"/>
          <w:rtl/>
          <w:lang w:bidi="he-IL"/>
        </w:rPr>
        <w:t>לא תתן שכבתך לזרע</w:t>
      </w:r>
      <w:r w:rsidR="00C14C49" w:rsidRPr="000B7040">
        <w:rPr>
          <w:lang w:bidi="he-IL"/>
        </w:rPr>
        <w:t xml:space="preserve">, literally, “do not impregnate her with your seed.” In the adjacent </w:t>
      </w:r>
      <w:proofErr w:type="spellStart"/>
      <w:r w:rsidR="00C14C49" w:rsidRPr="000B7040">
        <w:rPr>
          <w:lang w:bidi="he-IL"/>
        </w:rPr>
        <w:t>Molekh</w:t>
      </w:r>
      <w:proofErr w:type="spellEnd"/>
      <w:r w:rsidR="00C14C49" w:rsidRPr="000B7040">
        <w:rPr>
          <w:lang w:bidi="he-IL"/>
        </w:rPr>
        <w:t xml:space="preserve"> law,</w:t>
      </w:r>
      <w:r w:rsidR="001D615D">
        <w:rPr>
          <w:lang w:bidi="he-IL"/>
        </w:rPr>
        <w:t xml:space="preserve"> Lev18:21, </w:t>
      </w:r>
      <w:r w:rsidR="00C14C49" w:rsidRPr="000B7040">
        <w:rPr>
          <w:lang w:bidi="he-IL"/>
        </w:rPr>
        <w:t>we read: “</w:t>
      </w:r>
      <w:r w:rsidR="00C14C49" w:rsidRPr="000B7040">
        <w:t>And thou shalt not give any of thy seed to set them apart to Molech.” The Hebrew for “</w:t>
      </w:r>
      <w:r w:rsidR="00A00DE3">
        <w:t xml:space="preserve">any of thy </w:t>
      </w:r>
      <w:r w:rsidR="00C14C49" w:rsidRPr="000B7040">
        <w:t xml:space="preserve">seed,” meaning “children,” is </w:t>
      </w:r>
      <w:proofErr w:type="spellStart"/>
      <w:r w:rsidR="00C14C49" w:rsidRPr="000B7040">
        <w:rPr>
          <w:i/>
          <w:iCs/>
          <w:lang w:bidi="he-IL"/>
        </w:rPr>
        <w:t>m</w:t>
      </w:r>
      <w:r w:rsidR="00070652">
        <w:rPr>
          <w:i/>
          <w:iCs/>
          <w:lang w:bidi="he-IL"/>
        </w:rPr>
        <w:t>i</w:t>
      </w:r>
      <w:r w:rsidR="00C14C49" w:rsidRPr="000B7040">
        <w:rPr>
          <w:i/>
          <w:iCs/>
          <w:lang w:bidi="he-IL"/>
        </w:rPr>
        <w:t>z</w:t>
      </w:r>
      <w:r w:rsidR="00070652">
        <w:rPr>
          <w:i/>
          <w:iCs/>
          <w:lang w:bidi="he-IL"/>
        </w:rPr>
        <w:t>a</w:t>
      </w:r>
      <w:r w:rsidR="00C14C49" w:rsidRPr="000B7040">
        <w:rPr>
          <w:i/>
          <w:iCs/>
          <w:lang w:bidi="he-IL"/>
        </w:rPr>
        <w:t>r</w:t>
      </w:r>
      <w:r w:rsidR="00C14C49" w:rsidRPr="000B7040">
        <w:rPr>
          <w:i/>
          <w:iCs/>
          <w:vertAlign w:val="superscript"/>
          <w:lang w:bidi="he-IL"/>
        </w:rPr>
        <w:t>c</w:t>
      </w:r>
      <w:r w:rsidR="00FC6C5D">
        <w:rPr>
          <w:i/>
          <w:iCs/>
          <w:vertAlign w:val="superscript"/>
          <w:lang w:bidi="he-IL"/>
        </w:rPr>
        <w:t>a</w:t>
      </w:r>
      <w:r w:rsidR="00C14C49" w:rsidRPr="000B7040">
        <w:rPr>
          <w:i/>
          <w:iCs/>
          <w:lang w:bidi="he-IL"/>
        </w:rPr>
        <w:t>k</w:t>
      </w:r>
      <w:r w:rsidR="00070652">
        <w:rPr>
          <w:i/>
          <w:iCs/>
          <w:lang w:bidi="he-IL"/>
        </w:rPr>
        <w:t>a</w:t>
      </w:r>
      <w:proofErr w:type="spellEnd"/>
      <w:r w:rsidR="00C14C49" w:rsidRPr="000B7040">
        <w:rPr>
          <w:i/>
          <w:iCs/>
          <w:lang w:bidi="he-IL"/>
        </w:rPr>
        <w:t xml:space="preserve"> </w:t>
      </w:r>
      <w:r w:rsidR="00C14C49" w:rsidRPr="000B7040">
        <w:rPr>
          <w:lang w:bidi="he-IL"/>
        </w:rPr>
        <w:t>(</w:t>
      </w:r>
      <w:r w:rsidR="00C14C49" w:rsidRPr="000B7040">
        <w:rPr>
          <w:rFonts w:cs="David"/>
          <w:rtl/>
          <w:lang w:bidi="he-IL"/>
        </w:rPr>
        <w:t>וּמִזַּרְעֲךָ לֹא-תִתֵּן לְהַעֲבִיר לַמֹּלֶךְ</w:t>
      </w:r>
      <w:r w:rsidR="00C14C49" w:rsidRPr="000B7040">
        <w:rPr>
          <w:rFonts w:cs="David"/>
          <w:lang w:bidi="he-IL"/>
        </w:rPr>
        <w:t>)</w:t>
      </w:r>
      <w:r w:rsidR="00C14C49" w:rsidRPr="000B7040">
        <w:rPr>
          <w:i/>
          <w:iCs/>
          <w:lang w:bidi="he-IL"/>
        </w:rPr>
        <w:t xml:space="preserve">. </w:t>
      </w:r>
      <w:r w:rsidR="00C14C49" w:rsidRPr="000B7040">
        <w:rPr>
          <w:lang w:bidi="he-IL"/>
        </w:rPr>
        <w:t xml:space="preserve">The use of the noun </w:t>
      </w:r>
      <w:proofErr w:type="spellStart"/>
      <w:r w:rsidR="00C14C49" w:rsidRPr="000B7040">
        <w:rPr>
          <w:i/>
          <w:iCs/>
          <w:lang w:bidi="he-IL"/>
        </w:rPr>
        <w:t>zr</w:t>
      </w:r>
      <w:r w:rsidR="00C14C49" w:rsidRPr="000B7040">
        <w:rPr>
          <w:i/>
          <w:iCs/>
          <w:vertAlign w:val="superscript"/>
          <w:lang w:bidi="he-IL"/>
        </w:rPr>
        <w:t>c</w:t>
      </w:r>
      <w:proofErr w:type="spellEnd"/>
      <w:r w:rsidR="00C14C49" w:rsidRPr="000B7040">
        <w:rPr>
          <w:iCs/>
          <w:lang w:bidi="he-IL"/>
        </w:rPr>
        <w:t xml:space="preserve"> with the predicate </w:t>
      </w:r>
      <w:r w:rsidR="00C14C49" w:rsidRPr="000B7040">
        <w:rPr>
          <w:rFonts w:cs="David"/>
          <w:rtl/>
          <w:lang w:bidi="he-IL"/>
        </w:rPr>
        <w:t>לֹא-תִתֵּן</w:t>
      </w:r>
      <w:r w:rsidR="00C14C49" w:rsidRPr="000B7040">
        <w:rPr>
          <w:iCs/>
          <w:lang w:bidi="he-IL"/>
        </w:rPr>
        <w:t xml:space="preserve"> in both verses, “you shall not give of your seed,” </w:t>
      </w:r>
      <w:r w:rsidR="00C14C49" w:rsidRPr="000B7040">
        <w:rPr>
          <w:lang w:bidi="he-IL"/>
        </w:rPr>
        <w:t xml:space="preserve">“do not impregnate her with your seed,” </w:t>
      </w:r>
      <w:r w:rsidR="00C14C49" w:rsidRPr="000B7040">
        <w:rPr>
          <w:iCs/>
          <w:lang w:bidi="he-IL"/>
        </w:rPr>
        <w:t>accounts for their juxtaposition.</w:t>
      </w:r>
      <w:r w:rsidR="00FF2D88">
        <w:rPr>
          <w:rStyle w:val="FootnoteReference"/>
          <w:iCs/>
          <w:lang w:bidi="he-IL"/>
        </w:rPr>
        <w:footnoteReference w:id="15"/>
      </w:r>
      <w:r w:rsidR="00C14C49" w:rsidRPr="000B7040">
        <w:rPr>
          <w:iCs/>
          <w:lang w:bidi="he-IL"/>
        </w:rPr>
        <w:t xml:space="preserve"> </w:t>
      </w:r>
      <w:r w:rsidR="0070473A">
        <w:rPr>
          <w:iCs/>
          <w:lang w:bidi="he-IL"/>
        </w:rPr>
        <w:t>“Evidently, the theory regarding the associative arrangement serves as a basis or support for the argu</w:t>
      </w:r>
      <w:r w:rsidR="00E405A4">
        <w:rPr>
          <w:iCs/>
          <w:lang w:bidi="he-IL"/>
        </w:rPr>
        <w:t>m</w:t>
      </w:r>
      <w:r w:rsidR="0070473A">
        <w:rPr>
          <w:iCs/>
          <w:lang w:bidi="he-IL"/>
        </w:rPr>
        <w:t>ent that the bulk of the material was transmitted orally before being written down.”</w:t>
      </w:r>
      <w:r w:rsidR="0070473A">
        <w:rPr>
          <w:rStyle w:val="FootnoteReference"/>
          <w:iCs/>
          <w:lang w:bidi="he-IL"/>
        </w:rPr>
        <w:footnoteReference w:id="16"/>
      </w:r>
    </w:p>
    <w:p w14:paraId="45241969" w14:textId="7F1152DC" w:rsidR="000A67D8" w:rsidRDefault="00C14C49" w:rsidP="00A517F3">
      <w:pPr>
        <w:rPr>
          <w:rFonts w:cs="David"/>
          <w:color w:val="000000"/>
        </w:rPr>
      </w:pPr>
      <w:r w:rsidRPr="000B7040">
        <w:rPr>
          <w:rFonts w:cs="David"/>
          <w:color w:val="000000"/>
        </w:rPr>
        <w:t>Rof</w:t>
      </w:r>
      <w:r w:rsidRPr="000B7040">
        <w:rPr>
          <w:color w:val="000000"/>
        </w:rPr>
        <w:t>é</w:t>
      </w:r>
      <w:r w:rsidRPr="000B7040">
        <w:rPr>
          <w:rFonts w:cs="David"/>
          <w:color w:val="000000"/>
        </w:rPr>
        <w:t xml:space="preserve"> pointed out that there </w:t>
      </w:r>
      <w:r w:rsidR="00EF5ED7">
        <w:rPr>
          <w:rFonts w:cs="David"/>
          <w:color w:val="000000"/>
        </w:rPr>
        <w:t>is</w:t>
      </w:r>
      <w:r w:rsidRPr="000B7040">
        <w:rPr>
          <w:rFonts w:cs="David"/>
          <w:color w:val="000000"/>
        </w:rPr>
        <w:t xml:space="preserve"> a difference between the </w:t>
      </w:r>
      <w:r w:rsidR="002167C2">
        <w:rPr>
          <w:rFonts w:cs="David"/>
          <w:color w:val="000000"/>
        </w:rPr>
        <w:t xml:space="preserve">sequence of the </w:t>
      </w:r>
      <w:proofErr w:type="spellStart"/>
      <w:r w:rsidR="00D201F4">
        <w:rPr>
          <w:rFonts w:cs="David"/>
          <w:color w:val="000000"/>
        </w:rPr>
        <w:t>Sotah</w:t>
      </w:r>
      <w:proofErr w:type="spellEnd"/>
      <w:r w:rsidR="00D201F4">
        <w:rPr>
          <w:rFonts w:cs="David"/>
          <w:color w:val="000000"/>
        </w:rPr>
        <w:t xml:space="preserve"> followed by the </w:t>
      </w:r>
      <w:r w:rsidR="002167C2">
        <w:rPr>
          <w:rFonts w:cs="David"/>
          <w:color w:val="000000"/>
        </w:rPr>
        <w:t xml:space="preserve">Nazirite and the </w:t>
      </w:r>
      <w:r w:rsidR="001221C7">
        <w:rPr>
          <w:rFonts w:cs="David"/>
          <w:color w:val="000000"/>
        </w:rPr>
        <w:t xml:space="preserve">worship of </w:t>
      </w:r>
      <w:proofErr w:type="spellStart"/>
      <w:r w:rsidR="002167C2">
        <w:rPr>
          <w:rFonts w:cs="David"/>
          <w:color w:val="000000"/>
        </w:rPr>
        <w:t>Molekh</w:t>
      </w:r>
      <w:proofErr w:type="spellEnd"/>
      <w:r w:rsidR="002167C2">
        <w:rPr>
          <w:rFonts w:cs="David"/>
          <w:color w:val="000000"/>
        </w:rPr>
        <w:t xml:space="preserve"> </w:t>
      </w:r>
      <w:r w:rsidR="00EF5ED7">
        <w:rPr>
          <w:rFonts w:cs="David"/>
          <w:color w:val="000000"/>
        </w:rPr>
        <w:t>as found with prohibited sexual relations</w:t>
      </w:r>
      <w:r w:rsidRPr="000B7040">
        <w:rPr>
          <w:rFonts w:cs="David"/>
          <w:color w:val="000000"/>
        </w:rPr>
        <w:t>.</w:t>
      </w:r>
      <w:r w:rsidR="00903A48">
        <w:rPr>
          <w:rFonts w:cs="David"/>
          <w:color w:val="000000"/>
        </w:rPr>
        <w:t xml:space="preserve"> Although both cases illustrate associative connections, </w:t>
      </w:r>
      <w:r w:rsidR="004739C0">
        <w:rPr>
          <w:rFonts w:cs="David"/>
          <w:color w:val="000000"/>
        </w:rPr>
        <w:t>t</w:t>
      </w:r>
      <w:r w:rsidRPr="000B7040">
        <w:rPr>
          <w:rFonts w:cs="David"/>
          <w:color w:val="000000"/>
        </w:rPr>
        <w:t xml:space="preserve">he case of the </w:t>
      </w:r>
      <w:proofErr w:type="spellStart"/>
      <w:r w:rsidRPr="000B7040">
        <w:rPr>
          <w:rFonts w:cs="David"/>
          <w:color w:val="000000"/>
        </w:rPr>
        <w:t>Molekh</w:t>
      </w:r>
      <w:proofErr w:type="spellEnd"/>
      <w:r w:rsidRPr="000B7040">
        <w:rPr>
          <w:rFonts w:cs="David"/>
          <w:color w:val="000000"/>
        </w:rPr>
        <w:t xml:space="preserve"> </w:t>
      </w:r>
      <w:r w:rsidR="00903A48">
        <w:rPr>
          <w:rFonts w:cs="David"/>
          <w:color w:val="000000"/>
        </w:rPr>
        <w:t>portrays</w:t>
      </w:r>
      <w:r w:rsidRPr="000B7040">
        <w:rPr>
          <w:rFonts w:cs="David"/>
          <w:color w:val="000000"/>
        </w:rPr>
        <w:t xml:space="preserve"> the internal structure </w:t>
      </w:r>
      <w:r w:rsidR="00AB2500" w:rsidRPr="000B7040">
        <w:rPr>
          <w:rFonts w:cs="David"/>
          <w:color w:val="000000"/>
        </w:rPr>
        <w:t xml:space="preserve">of a </w:t>
      </w:r>
      <w:r w:rsidR="00AB2500">
        <w:rPr>
          <w:rFonts w:cs="David"/>
          <w:color w:val="000000"/>
        </w:rPr>
        <w:t xml:space="preserve">legal </w:t>
      </w:r>
      <w:r w:rsidR="00AB2500" w:rsidRPr="000B7040">
        <w:rPr>
          <w:rFonts w:cs="David"/>
          <w:color w:val="000000"/>
        </w:rPr>
        <w:t>codex</w:t>
      </w:r>
      <w:r w:rsidR="00AB2500">
        <w:rPr>
          <w:rFonts w:cs="David"/>
          <w:color w:val="000000"/>
        </w:rPr>
        <w:t xml:space="preserve"> containing many laws</w:t>
      </w:r>
      <w:r w:rsidR="00FD1F44">
        <w:rPr>
          <w:rFonts w:cs="David"/>
          <w:color w:val="000000"/>
        </w:rPr>
        <w:t>,</w:t>
      </w:r>
      <w:r w:rsidRPr="000B7040">
        <w:rPr>
          <w:rFonts w:cs="David"/>
          <w:color w:val="000000"/>
        </w:rPr>
        <w:t xml:space="preserve"> while Numbers 5 – 6 ex</w:t>
      </w:r>
      <w:r w:rsidR="00443FE5">
        <w:rPr>
          <w:rFonts w:cs="David"/>
          <w:color w:val="000000"/>
        </w:rPr>
        <w:t xml:space="preserve">emplifies </w:t>
      </w:r>
      <w:r w:rsidRPr="000B7040">
        <w:rPr>
          <w:rFonts w:cs="David"/>
          <w:color w:val="000000"/>
        </w:rPr>
        <w:t xml:space="preserve">the external arrangement of </w:t>
      </w:r>
      <w:r w:rsidR="003B71CA">
        <w:rPr>
          <w:rFonts w:cs="David"/>
          <w:color w:val="000000"/>
        </w:rPr>
        <w:t xml:space="preserve">two </w:t>
      </w:r>
      <w:r w:rsidRPr="000B7040">
        <w:rPr>
          <w:rFonts w:cs="David"/>
          <w:color w:val="000000"/>
        </w:rPr>
        <w:t xml:space="preserve">adjacent </w:t>
      </w:r>
      <w:r w:rsidRPr="000B7040">
        <w:rPr>
          <w:rFonts w:cs="David"/>
          <w:color w:val="000000"/>
        </w:rPr>
        <w:lastRenderedPageBreak/>
        <w:t xml:space="preserve">chapters, what the rabbis called </w:t>
      </w:r>
      <w:r w:rsidRPr="000B7040">
        <w:rPr>
          <w:rFonts w:cs="David"/>
          <w:i/>
          <w:iCs/>
          <w:color w:val="000000"/>
        </w:rPr>
        <w:t>semikhut parshiot</w:t>
      </w:r>
      <w:r w:rsidRPr="000B7040">
        <w:rPr>
          <w:rFonts w:cs="David"/>
          <w:color w:val="000000"/>
        </w:rPr>
        <w:t>.</w:t>
      </w:r>
      <w:r w:rsidRPr="000B7040">
        <w:rPr>
          <w:rStyle w:val="FootnoteReference"/>
          <w:rFonts w:cs="David"/>
          <w:color w:val="000000"/>
        </w:rPr>
        <w:footnoteReference w:id="17"/>
      </w:r>
      <w:r w:rsidRPr="000B7040">
        <w:rPr>
          <w:rFonts w:cs="David"/>
          <w:color w:val="000000"/>
        </w:rPr>
        <w:t xml:space="preserve"> </w:t>
      </w:r>
      <w:r w:rsidR="005D096A">
        <w:rPr>
          <w:rFonts w:cs="David"/>
          <w:color w:val="000000"/>
        </w:rPr>
        <w:t>Rofé</w:t>
      </w:r>
      <w:r w:rsidR="000404CC">
        <w:rPr>
          <w:rFonts w:cs="David"/>
          <w:color w:val="000000"/>
        </w:rPr>
        <w:t xml:space="preserve"> writes that in his later lectures and articles, Cassuto spent more time on the juxtaposition of whole </w:t>
      </w:r>
      <w:r w:rsidR="000D1FBB">
        <w:rPr>
          <w:rFonts w:cs="David"/>
          <w:color w:val="000000"/>
        </w:rPr>
        <w:t>pericopes</w:t>
      </w:r>
      <w:r w:rsidR="000404CC">
        <w:rPr>
          <w:rFonts w:cs="David"/>
          <w:color w:val="000000"/>
        </w:rPr>
        <w:t xml:space="preserve">. </w:t>
      </w:r>
      <w:r w:rsidRPr="000B7040">
        <w:rPr>
          <w:rFonts w:cs="David"/>
          <w:color w:val="000000"/>
        </w:rPr>
        <w:t>Apparently</w:t>
      </w:r>
      <w:r w:rsidR="00164BE3">
        <w:rPr>
          <w:rFonts w:cs="David"/>
          <w:color w:val="000000"/>
        </w:rPr>
        <w:t xml:space="preserve">, wrote </w:t>
      </w:r>
      <w:proofErr w:type="spellStart"/>
      <w:r w:rsidR="00164BE3">
        <w:rPr>
          <w:rFonts w:cs="David"/>
          <w:color w:val="000000"/>
        </w:rPr>
        <w:t>Rofe</w:t>
      </w:r>
      <w:proofErr w:type="spellEnd"/>
      <w:r w:rsidR="00164BE3">
        <w:rPr>
          <w:rFonts w:cs="David"/>
          <w:color w:val="000000"/>
        </w:rPr>
        <w:t>,</w:t>
      </w:r>
      <w:r w:rsidRPr="000B7040">
        <w:rPr>
          <w:rFonts w:cs="David"/>
          <w:color w:val="000000"/>
        </w:rPr>
        <w:t xml:space="preserve"> Cassuto’s thoughts </w:t>
      </w:r>
      <w:proofErr w:type="gramStart"/>
      <w:r w:rsidRPr="000B7040">
        <w:rPr>
          <w:rFonts w:cs="David"/>
          <w:color w:val="000000"/>
        </w:rPr>
        <w:t>on the subject of biblical</w:t>
      </w:r>
      <w:proofErr w:type="gramEnd"/>
      <w:r w:rsidRPr="000B7040">
        <w:rPr>
          <w:rFonts w:cs="David"/>
          <w:color w:val="000000"/>
        </w:rPr>
        <w:t xml:space="preserve"> order began with the association of individual verses</w:t>
      </w:r>
      <w:r w:rsidR="00FD1F44">
        <w:rPr>
          <w:rFonts w:cs="David"/>
          <w:color w:val="000000"/>
        </w:rPr>
        <w:t>,</w:t>
      </w:r>
      <w:r w:rsidRPr="000B7040">
        <w:rPr>
          <w:rFonts w:cs="David"/>
          <w:color w:val="000000"/>
        </w:rPr>
        <w:t xml:space="preserve"> and proceeded to association as </w:t>
      </w:r>
      <w:r w:rsidR="000D1FBB">
        <w:rPr>
          <w:rFonts w:cs="David"/>
          <w:color w:val="000000"/>
        </w:rPr>
        <w:t>a</w:t>
      </w:r>
      <w:r w:rsidR="00A62EE4">
        <w:rPr>
          <w:rFonts w:cs="David"/>
          <w:color w:val="000000"/>
        </w:rPr>
        <w:t xml:space="preserve"> literary </w:t>
      </w:r>
      <w:r w:rsidRPr="000B7040">
        <w:rPr>
          <w:rFonts w:cs="David"/>
          <w:color w:val="000000"/>
        </w:rPr>
        <w:t xml:space="preserve">device that could account for the arrangement of </w:t>
      </w:r>
      <w:r w:rsidR="00A517F3">
        <w:rPr>
          <w:rFonts w:cs="David"/>
          <w:color w:val="000000"/>
        </w:rPr>
        <w:t xml:space="preserve">entire </w:t>
      </w:r>
      <w:r w:rsidR="00903A48">
        <w:rPr>
          <w:rFonts w:cs="David"/>
          <w:color w:val="000000"/>
        </w:rPr>
        <w:t>sections</w:t>
      </w:r>
      <w:r w:rsidRPr="000B7040">
        <w:rPr>
          <w:rFonts w:cs="David"/>
          <w:color w:val="000000"/>
        </w:rPr>
        <w:t xml:space="preserve"> within a biblical book</w:t>
      </w:r>
      <w:r w:rsidR="00EA2365">
        <w:rPr>
          <w:rFonts w:cs="David"/>
          <w:color w:val="000000"/>
        </w:rPr>
        <w:t xml:space="preserve">, determining the </w:t>
      </w:r>
      <w:r w:rsidR="00054796">
        <w:rPr>
          <w:rFonts w:cs="David"/>
          <w:color w:val="000000"/>
        </w:rPr>
        <w:t>shape</w:t>
      </w:r>
      <w:r w:rsidR="00EA2365">
        <w:rPr>
          <w:rFonts w:cs="David"/>
          <w:color w:val="000000"/>
        </w:rPr>
        <w:t xml:space="preserve"> of the entire work</w:t>
      </w:r>
      <w:r w:rsidRPr="000B7040">
        <w:rPr>
          <w:rFonts w:cs="David"/>
          <w:color w:val="000000"/>
        </w:rPr>
        <w:t xml:space="preserve">. </w:t>
      </w:r>
    </w:p>
    <w:p w14:paraId="63E88175" w14:textId="63AF59BB" w:rsidR="00C14C49" w:rsidRPr="000B7040" w:rsidRDefault="00FD1F44" w:rsidP="00A517F3">
      <w:pPr>
        <w:rPr>
          <w:rFonts w:cs="David"/>
          <w:color w:val="000000"/>
        </w:rPr>
      </w:pPr>
      <w:r>
        <w:rPr>
          <w:rFonts w:cs="David"/>
          <w:color w:val="000000"/>
        </w:rPr>
        <w:t>To sum up</w:t>
      </w:r>
      <w:r w:rsidR="00A8080B">
        <w:rPr>
          <w:rFonts w:cs="David"/>
          <w:color w:val="000000"/>
        </w:rPr>
        <w:t>:</w:t>
      </w:r>
      <w:r>
        <w:rPr>
          <w:rFonts w:cs="David"/>
          <w:color w:val="000000"/>
        </w:rPr>
        <w:t xml:space="preserve"> i</w:t>
      </w:r>
      <w:r w:rsidR="00C14C49" w:rsidRPr="000B7040">
        <w:rPr>
          <w:rFonts w:cs="David"/>
          <w:color w:val="000000"/>
        </w:rPr>
        <w:t>n Midrash and Talmud</w:t>
      </w:r>
      <w:r w:rsidR="00A8080B">
        <w:rPr>
          <w:rFonts w:cs="David"/>
          <w:color w:val="000000"/>
        </w:rPr>
        <w:t>,</w:t>
      </w:r>
      <w:r w:rsidR="00C14C49" w:rsidRPr="000B7040">
        <w:rPr>
          <w:rFonts w:cs="David"/>
          <w:color w:val="000000"/>
        </w:rPr>
        <w:t xml:space="preserve"> adjacency </w:t>
      </w:r>
      <w:r w:rsidR="003E71F5">
        <w:rPr>
          <w:rFonts w:cs="David"/>
          <w:color w:val="000000"/>
        </w:rPr>
        <w:t>(</w:t>
      </w:r>
      <w:r w:rsidR="00C14C49" w:rsidRPr="000B7040">
        <w:rPr>
          <w:rFonts w:cs="David"/>
          <w:i/>
          <w:iCs/>
          <w:color w:val="000000"/>
        </w:rPr>
        <w:t>semikhut</w:t>
      </w:r>
      <w:r w:rsidR="003E71F5">
        <w:rPr>
          <w:rFonts w:cs="David"/>
          <w:color w:val="000000"/>
        </w:rPr>
        <w:t>)</w:t>
      </w:r>
      <w:r w:rsidR="00C14C49" w:rsidRPr="000B7040">
        <w:rPr>
          <w:rFonts w:cs="David"/>
          <w:color w:val="000000"/>
        </w:rPr>
        <w:t xml:space="preserve"> functioned as a homiletical device, a means to derive a moral lesson over and above the message of the text itself. For the medieval commentators, the significance of adjacency moved </w:t>
      </w:r>
      <w:r w:rsidR="00C64BB5">
        <w:rPr>
          <w:rFonts w:cs="David"/>
          <w:color w:val="000000"/>
        </w:rPr>
        <w:t>from</w:t>
      </w:r>
      <w:r w:rsidR="00C14C49" w:rsidRPr="000B7040">
        <w:rPr>
          <w:rFonts w:cs="David"/>
          <w:color w:val="000000"/>
        </w:rPr>
        <w:t xml:space="preserve"> midrashic </w:t>
      </w:r>
      <w:r w:rsidR="00A62EE4">
        <w:rPr>
          <w:rFonts w:cs="David"/>
          <w:color w:val="000000"/>
        </w:rPr>
        <w:t>moralizing</w:t>
      </w:r>
      <w:r w:rsidR="00C14C49" w:rsidRPr="000B7040">
        <w:rPr>
          <w:rFonts w:cs="David"/>
          <w:color w:val="000000"/>
        </w:rPr>
        <w:t xml:space="preserve"> </w:t>
      </w:r>
      <w:r w:rsidR="00C64BB5">
        <w:rPr>
          <w:rFonts w:cs="David"/>
          <w:color w:val="000000"/>
        </w:rPr>
        <w:t>towards</w:t>
      </w:r>
      <w:r w:rsidR="00C14C49" w:rsidRPr="000B7040">
        <w:rPr>
          <w:rFonts w:cs="David"/>
          <w:color w:val="000000"/>
        </w:rPr>
        <w:t xml:space="preserve"> </w:t>
      </w:r>
      <w:r w:rsidR="00822123">
        <w:rPr>
          <w:rFonts w:cs="David"/>
          <w:color w:val="000000"/>
        </w:rPr>
        <w:t xml:space="preserve">what would become </w:t>
      </w:r>
      <w:r w:rsidR="00C14C49" w:rsidRPr="000B7040">
        <w:rPr>
          <w:rFonts w:cs="David"/>
          <w:color w:val="000000"/>
        </w:rPr>
        <w:t xml:space="preserve">the </w:t>
      </w:r>
      <w:r w:rsidR="00C64BB5">
        <w:rPr>
          <w:rFonts w:cs="David"/>
          <w:color w:val="000000"/>
        </w:rPr>
        <w:t>literary</w:t>
      </w:r>
      <w:r w:rsidR="00C14C49" w:rsidRPr="000B7040">
        <w:rPr>
          <w:rFonts w:cs="David"/>
          <w:color w:val="000000"/>
        </w:rPr>
        <w:t xml:space="preserve"> perception of the moderns</w:t>
      </w:r>
      <w:r w:rsidR="00A62EE4">
        <w:rPr>
          <w:rFonts w:cs="David"/>
          <w:color w:val="000000"/>
        </w:rPr>
        <w:t>,</w:t>
      </w:r>
      <w:r w:rsidR="00E03DD2">
        <w:rPr>
          <w:rFonts w:cs="David"/>
          <w:color w:val="000000"/>
        </w:rPr>
        <w:t xml:space="preserve"> whose work I present </w:t>
      </w:r>
      <w:r w:rsidR="00DA65AC">
        <w:rPr>
          <w:rFonts w:cs="David"/>
          <w:color w:val="000000"/>
        </w:rPr>
        <w:t>in the current chapter.</w:t>
      </w:r>
      <w:r w:rsidR="00154C1A">
        <w:rPr>
          <w:rFonts w:cs="David"/>
          <w:color w:val="000000"/>
        </w:rPr>
        <w:t xml:space="preserve"> </w:t>
      </w:r>
    </w:p>
    <w:p w14:paraId="69BB3ED1" w14:textId="3AEDBADC" w:rsidR="00C14C49" w:rsidRPr="000B7040" w:rsidRDefault="00C14C49" w:rsidP="00BC522C">
      <w:pPr>
        <w:rPr>
          <w:rFonts w:cs="David"/>
          <w:color w:val="000000"/>
        </w:rPr>
      </w:pPr>
      <w:r w:rsidRPr="000B7040">
        <w:rPr>
          <w:rFonts w:cs="David"/>
          <w:color w:val="000000"/>
        </w:rPr>
        <w:t xml:space="preserve">Let us leave the adjacency of entire chapters </w:t>
      </w:r>
      <w:r w:rsidR="00C34B80">
        <w:rPr>
          <w:rFonts w:cs="David"/>
          <w:color w:val="000000"/>
        </w:rPr>
        <w:t xml:space="preserve">or sections </w:t>
      </w:r>
      <w:r w:rsidRPr="000B7040">
        <w:rPr>
          <w:rFonts w:cs="David"/>
          <w:color w:val="000000"/>
        </w:rPr>
        <w:t xml:space="preserve">and return to the arrangement of details </w:t>
      </w:r>
      <w:r w:rsidR="00296718">
        <w:rPr>
          <w:rFonts w:cs="David"/>
          <w:color w:val="000000"/>
        </w:rPr>
        <w:t xml:space="preserve">within a </w:t>
      </w:r>
      <w:r w:rsidR="00D248C9">
        <w:rPr>
          <w:rFonts w:cs="David"/>
          <w:color w:val="000000"/>
        </w:rPr>
        <w:t xml:space="preserve">particular </w:t>
      </w:r>
      <w:r w:rsidR="00296718">
        <w:rPr>
          <w:rFonts w:cs="David"/>
          <w:color w:val="000000"/>
        </w:rPr>
        <w:t>unit</w:t>
      </w:r>
      <w:r w:rsidR="003A3628">
        <w:rPr>
          <w:rFonts w:cs="David"/>
          <w:color w:val="000000"/>
        </w:rPr>
        <w:t xml:space="preserve">, which </w:t>
      </w:r>
      <w:r w:rsidR="00E75A16">
        <w:rPr>
          <w:rFonts w:cs="David"/>
          <w:color w:val="000000"/>
        </w:rPr>
        <w:t>I will</w:t>
      </w:r>
      <w:r w:rsidR="003A3628">
        <w:rPr>
          <w:rFonts w:cs="David"/>
          <w:color w:val="000000"/>
        </w:rPr>
        <w:t xml:space="preserve"> call internal juxtaposition</w:t>
      </w:r>
      <w:r w:rsidRPr="000B7040">
        <w:rPr>
          <w:rFonts w:cs="David"/>
          <w:color w:val="000000"/>
        </w:rPr>
        <w:t>. A</w:t>
      </w:r>
      <w:r w:rsidR="00D066A4">
        <w:rPr>
          <w:rFonts w:cs="David"/>
          <w:color w:val="000000"/>
        </w:rPr>
        <w:t>n</w:t>
      </w:r>
      <w:r w:rsidRPr="000B7040">
        <w:rPr>
          <w:rFonts w:cs="David"/>
          <w:color w:val="000000"/>
        </w:rPr>
        <w:t xml:space="preserve"> </w:t>
      </w:r>
      <w:r w:rsidR="00822123">
        <w:rPr>
          <w:rFonts w:cs="David"/>
          <w:color w:val="000000"/>
        </w:rPr>
        <w:t xml:space="preserve">interesting example is the list </w:t>
      </w:r>
      <w:r w:rsidRPr="000B7040">
        <w:rPr>
          <w:rFonts w:cs="David"/>
          <w:color w:val="000000"/>
        </w:rPr>
        <w:t>of princes (</w:t>
      </w:r>
      <w:proofErr w:type="spellStart"/>
      <w:r w:rsidRPr="000B7040">
        <w:rPr>
          <w:rFonts w:cs="David"/>
          <w:i/>
          <w:iCs/>
          <w:color w:val="000000"/>
        </w:rPr>
        <w:t>nesi’im</w:t>
      </w:r>
      <w:proofErr w:type="spellEnd"/>
      <w:r w:rsidRPr="000B7040">
        <w:rPr>
          <w:rFonts w:cs="David"/>
          <w:color w:val="000000"/>
        </w:rPr>
        <w:t xml:space="preserve">) </w:t>
      </w:r>
      <w:r w:rsidR="00B33C9D">
        <w:rPr>
          <w:rFonts w:cs="David"/>
          <w:color w:val="000000"/>
        </w:rPr>
        <w:t xml:space="preserve">named </w:t>
      </w:r>
      <w:r w:rsidR="00E93B66">
        <w:rPr>
          <w:rFonts w:cs="David"/>
          <w:color w:val="000000"/>
        </w:rPr>
        <w:t>for</w:t>
      </w:r>
      <w:r w:rsidRPr="000B7040">
        <w:rPr>
          <w:rFonts w:cs="David"/>
          <w:color w:val="000000"/>
        </w:rPr>
        <w:t xml:space="preserve"> each tribe in Num.13:1-16. The tribal order given here </w:t>
      </w:r>
      <w:r w:rsidR="006C3089" w:rsidRPr="000B7040">
        <w:rPr>
          <w:rFonts w:cs="David"/>
          <w:color w:val="000000"/>
        </w:rPr>
        <w:t>is nowhere duplicated in the Pentateuch</w:t>
      </w:r>
      <w:r w:rsidR="006C3089">
        <w:rPr>
          <w:rFonts w:cs="David"/>
          <w:color w:val="000000"/>
        </w:rPr>
        <w:t>.</w:t>
      </w:r>
      <w:r w:rsidR="00E93B66">
        <w:rPr>
          <w:rFonts w:cs="David"/>
          <w:color w:val="000000"/>
        </w:rPr>
        <w:t xml:space="preserve"> </w:t>
      </w:r>
      <w:r w:rsidRPr="000B7040">
        <w:rPr>
          <w:rFonts w:cs="David"/>
          <w:color w:val="000000"/>
        </w:rPr>
        <w:t xml:space="preserve">In a lecture which </w:t>
      </w:r>
      <w:proofErr w:type="spellStart"/>
      <w:r w:rsidRPr="000B7040">
        <w:rPr>
          <w:rFonts w:cs="David"/>
          <w:color w:val="000000"/>
        </w:rPr>
        <w:t>Rofe</w:t>
      </w:r>
      <w:proofErr w:type="spellEnd"/>
      <w:r w:rsidRPr="000B7040">
        <w:rPr>
          <w:rFonts w:cs="David"/>
          <w:color w:val="000000"/>
        </w:rPr>
        <w:t xml:space="preserve"> attended as a student, Cassuto attempted to show that what appeared to be a </w:t>
      </w:r>
      <w:proofErr w:type="spellStart"/>
      <w:r w:rsidRPr="000B7040">
        <w:rPr>
          <w:rFonts w:cs="David"/>
          <w:color w:val="000000"/>
        </w:rPr>
        <w:t>helter</w:t>
      </w:r>
      <w:proofErr w:type="spellEnd"/>
      <w:r w:rsidRPr="000B7040">
        <w:rPr>
          <w:rFonts w:cs="David"/>
          <w:color w:val="000000"/>
        </w:rPr>
        <w:t xml:space="preserve"> </w:t>
      </w:r>
      <w:proofErr w:type="spellStart"/>
      <w:r w:rsidRPr="000B7040">
        <w:rPr>
          <w:rFonts w:cs="David"/>
          <w:color w:val="000000"/>
        </w:rPr>
        <w:t>skelter</w:t>
      </w:r>
      <w:proofErr w:type="spellEnd"/>
      <w:r w:rsidRPr="000B7040">
        <w:rPr>
          <w:rFonts w:cs="David"/>
          <w:color w:val="000000"/>
        </w:rPr>
        <w:t xml:space="preserve"> arrangement was in fact the result of several </w:t>
      </w:r>
      <w:r w:rsidR="00524CF1">
        <w:rPr>
          <w:rFonts w:cs="David"/>
          <w:color w:val="000000"/>
        </w:rPr>
        <w:t xml:space="preserve">associative </w:t>
      </w:r>
      <w:r w:rsidRPr="000B7040">
        <w:rPr>
          <w:rFonts w:cs="David"/>
          <w:color w:val="000000"/>
        </w:rPr>
        <w:t xml:space="preserve">principles. In his opinion, the list began with </w:t>
      </w:r>
      <w:r w:rsidR="00F24EEA">
        <w:rPr>
          <w:rFonts w:cs="David"/>
          <w:color w:val="000000"/>
        </w:rPr>
        <w:t>four</w:t>
      </w:r>
      <w:r w:rsidRPr="000B7040">
        <w:rPr>
          <w:rFonts w:cs="David"/>
          <w:color w:val="000000"/>
        </w:rPr>
        <w:t xml:space="preserve"> sons of Leah</w:t>
      </w:r>
      <w:r w:rsidR="003D39E5">
        <w:rPr>
          <w:rFonts w:cs="David"/>
          <w:color w:val="000000"/>
        </w:rPr>
        <w:t xml:space="preserve"> in chronological order: </w:t>
      </w:r>
      <w:r w:rsidRPr="000B7040">
        <w:rPr>
          <w:rFonts w:cs="David"/>
          <w:color w:val="000000"/>
        </w:rPr>
        <w:t xml:space="preserve">Reuben, Simon, Judah, and Issachar (no Levite was sent to spy the land). </w:t>
      </w:r>
      <w:r w:rsidR="003D39E5">
        <w:rPr>
          <w:rFonts w:cs="David"/>
          <w:color w:val="000000"/>
        </w:rPr>
        <w:t xml:space="preserve">Next </w:t>
      </w:r>
      <w:r w:rsidRPr="000B7040">
        <w:rPr>
          <w:rFonts w:cs="David"/>
          <w:color w:val="000000"/>
        </w:rPr>
        <w:t xml:space="preserve">the list veered off into semantic association: </w:t>
      </w:r>
      <w:r w:rsidRPr="000B7040">
        <w:rPr>
          <w:rFonts w:cs="David"/>
          <w:i/>
          <w:iCs/>
          <w:color w:val="000000"/>
        </w:rPr>
        <w:t>Yigal</w:t>
      </w:r>
      <w:r w:rsidRPr="000B7040">
        <w:rPr>
          <w:rFonts w:cs="David"/>
          <w:color w:val="000000"/>
        </w:rPr>
        <w:t xml:space="preserve"> </w:t>
      </w:r>
      <w:r w:rsidRPr="000B7040">
        <w:rPr>
          <w:rFonts w:cs="David"/>
          <w:i/>
          <w:iCs/>
          <w:color w:val="000000"/>
        </w:rPr>
        <w:t>ben Yosef</w:t>
      </w:r>
      <w:r w:rsidR="00835230">
        <w:rPr>
          <w:rFonts w:cs="David"/>
          <w:color w:val="000000"/>
        </w:rPr>
        <w:t xml:space="preserve">, prince </w:t>
      </w:r>
      <w:r w:rsidRPr="000B7040">
        <w:rPr>
          <w:rFonts w:cs="David"/>
          <w:color w:val="000000"/>
        </w:rPr>
        <w:t xml:space="preserve">of </w:t>
      </w:r>
      <w:r w:rsidR="003A73B3">
        <w:rPr>
          <w:rFonts w:cs="David"/>
          <w:color w:val="000000"/>
        </w:rPr>
        <w:t xml:space="preserve">the tribe of </w:t>
      </w:r>
      <w:r w:rsidRPr="000B7040">
        <w:rPr>
          <w:rFonts w:cs="David"/>
          <w:color w:val="000000"/>
        </w:rPr>
        <w:t>Issachar</w:t>
      </w:r>
      <w:r w:rsidR="00835230">
        <w:rPr>
          <w:rFonts w:cs="David"/>
          <w:color w:val="000000"/>
        </w:rPr>
        <w:t>,</w:t>
      </w:r>
      <w:r w:rsidRPr="000B7040">
        <w:rPr>
          <w:rFonts w:cs="David"/>
          <w:color w:val="000000"/>
        </w:rPr>
        <w:t xml:space="preserve"> led to </w:t>
      </w:r>
      <w:r w:rsidRPr="000B7040">
        <w:rPr>
          <w:rFonts w:cs="David"/>
          <w:i/>
          <w:iCs/>
          <w:color w:val="000000"/>
        </w:rPr>
        <w:t>Hosea</w:t>
      </w:r>
      <w:r w:rsidRPr="000B7040">
        <w:rPr>
          <w:rFonts w:cs="David"/>
          <w:color w:val="000000"/>
        </w:rPr>
        <w:t xml:space="preserve"> </w:t>
      </w:r>
      <w:r w:rsidRPr="000B7040">
        <w:rPr>
          <w:rFonts w:cs="David"/>
          <w:i/>
          <w:iCs/>
          <w:color w:val="000000"/>
        </w:rPr>
        <w:t>bin Nun</w:t>
      </w:r>
      <w:r w:rsidRPr="000B7040">
        <w:rPr>
          <w:rFonts w:cs="David"/>
          <w:color w:val="000000"/>
        </w:rPr>
        <w:t xml:space="preserve"> and </w:t>
      </w:r>
      <w:proofErr w:type="spellStart"/>
      <w:r w:rsidRPr="000B7040">
        <w:rPr>
          <w:rFonts w:cs="David"/>
          <w:i/>
          <w:iCs/>
          <w:color w:val="000000"/>
        </w:rPr>
        <w:t>Palti</w:t>
      </w:r>
      <w:proofErr w:type="spellEnd"/>
      <w:r w:rsidRPr="000B7040">
        <w:rPr>
          <w:rFonts w:cs="David"/>
          <w:i/>
          <w:iCs/>
          <w:color w:val="000000"/>
        </w:rPr>
        <w:t xml:space="preserve"> ben </w:t>
      </w:r>
      <w:proofErr w:type="spellStart"/>
      <w:r w:rsidRPr="000B7040">
        <w:rPr>
          <w:rFonts w:cs="David"/>
          <w:i/>
          <w:iCs/>
          <w:color w:val="000000"/>
        </w:rPr>
        <w:t>Rafu</w:t>
      </w:r>
      <w:proofErr w:type="spellEnd"/>
      <w:r w:rsidRPr="000B7040">
        <w:rPr>
          <w:rFonts w:cs="David"/>
          <w:color w:val="000000"/>
        </w:rPr>
        <w:t>, because all three names (</w:t>
      </w:r>
      <w:r w:rsidR="00121743" w:rsidRPr="00121743">
        <w:rPr>
          <w:rFonts w:cs="David"/>
          <w:i/>
          <w:iCs/>
          <w:color w:val="000000"/>
        </w:rPr>
        <w:t>Y</w:t>
      </w:r>
      <w:r w:rsidRPr="000B7040">
        <w:rPr>
          <w:rFonts w:cs="David"/>
          <w:i/>
          <w:iCs/>
          <w:color w:val="000000"/>
        </w:rPr>
        <w:t xml:space="preserve">igal, </w:t>
      </w:r>
      <w:r w:rsidR="00121743">
        <w:rPr>
          <w:rFonts w:cs="David"/>
          <w:i/>
          <w:iCs/>
          <w:color w:val="000000"/>
        </w:rPr>
        <w:t>H</w:t>
      </w:r>
      <w:r w:rsidRPr="000B7040">
        <w:rPr>
          <w:rFonts w:cs="David"/>
          <w:i/>
          <w:iCs/>
          <w:color w:val="000000"/>
        </w:rPr>
        <w:t xml:space="preserve">osea, </w:t>
      </w:r>
      <w:proofErr w:type="spellStart"/>
      <w:r w:rsidR="00121743">
        <w:rPr>
          <w:rFonts w:cs="David"/>
          <w:i/>
          <w:iCs/>
          <w:color w:val="000000"/>
        </w:rPr>
        <w:t>P</w:t>
      </w:r>
      <w:r w:rsidRPr="000B7040">
        <w:rPr>
          <w:rFonts w:cs="David"/>
          <w:i/>
          <w:iCs/>
          <w:color w:val="000000"/>
        </w:rPr>
        <w:t>alti</w:t>
      </w:r>
      <w:proofErr w:type="spellEnd"/>
      <w:r w:rsidRPr="000B7040">
        <w:rPr>
          <w:rFonts w:cs="David"/>
          <w:color w:val="000000"/>
        </w:rPr>
        <w:t>) connot</w:t>
      </w:r>
      <w:r w:rsidR="00EA08E2">
        <w:rPr>
          <w:rFonts w:cs="David"/>
          <w:color w:val="000000"/>
        </w:rPr>
        <w:t>e</w:t>
      </w:r>
      <w:r w:rsidRPr="000B7040">
        <w:rPr>
          <w:rFonts w:cs="David"/>
          <w:color w:val="000000"/>
        </w:rPr>
        <w:t xml:space="preserve"> help and salvation. The list then returned to Leah’s sixth son, Zebulun, whose prince was </w:t>
      </w:r>
      <w:r w:rsidRPr="000B7040">
        <w:rPr>
          <w:rFonts w:cs="David"/>
          <w:i/>
          <w:iCs/>
          <w:color w:val="000000"/>
        </w:rPr>
        <w:t xml:space="preserve">Gaddiel ben </w:t>
      </w:r>
      <w:proofErr w:type="spellStart"/>
      <w:r w:rsidRPr="000B7040">
        <w:rPr>
          <w:rFonts w:cs="David"/>
          <w:i/>
          <w:iCs/>
          <w:color w:val="000000"/>
        </w:rPr>
        <w:t>Sodi</w:t>
      </w:r>
      <w:proofErr w:type="spellEnd"/>
      <w:r w:rsidRPr="000B7040">
        <w:rPr>
          <w:rFonts w:cs="David"/>
          <w:color w:val="000000"/>
        </w:rPr>
        <w:t xml:space="preserve">. </w:t>
      </w:r>
      <w:r w:rsidR="00524CF1">
        <w:rPr>
          <w:rFonts w:cs="David"/>
          <w:color w:val="000000"/>
        </w:rPr>
        <w:t>S</w:t>
      </w:r>
      <w:r w:rsidR="00A67153">
        <w:rPr>
          <w:rFonts w:cs="David"/>
          <w:color w:val="000000"/>
        </w:rPr>
        <w:t>imilarity</w:t>
      </w:r>
      <w:r w:rsidRPr="000B7040">
        <w:rPr>
          <w:rFonts w:cs="David"/>
          <w:color w:val="000000"/>
        </w:rPr>
        <w:t xml:space="preserve"> of sound </w:t>
      </w:r>
      <w:r w:rsidR="00F24EEA">
        <w:rPr>
          <w:rFonts w:cs="David"/>
          <w:color w:val="000000"/>
        </w:rPr>
        <w:t>for both</w:t>
      </w:r>
      <w:r w:rsidR="00106EE0">
        <w:rPr>
          <w:rFonts w:cs="David"/>
          <w:color w:val="000000"/>
        </w:rPr>
        <w:t xml:space="preserve"> father and son </w:t>
      </w:r>
      <w:r w:rsidRPr="000B7040">
        <w:rPr>
          <w:rFonts w:cs="David"/>
          <w:color w:val="000000"/>
        </w:rPr>
        <w:t xml:space="preserve">placed </w:t>
      </w:r>
      <w:r w:rsidRPr="000B7040">
        <w:rPr>
          <w:rFonts w:cs="David"/>
          <w:i/>
          <w:iCs/>
          <w:color w:val="000000"/>
        </w:rPr>
        <w:t>Gaddi ben Susi</w:t>
      </w:r>
      <w:r w:rsidRPr="000B7040">
        <w:rPr>
          <w:rFonts w:cs="David"/>
          <w:color w:val="000000"/>
        </w:rPr>
        <w:t xml:space="preserve"> </w:t>
      </w:r>
      <w:r w:rsidR="00524CF1">
        <w:rPr>
          <w:rFonts w:cs="David"/>
          <w:color w:val="000000"/>
        </w:rPr>
        <w:t>next</w:t>
      </w:r>
      <w:r w:rsidRPr="000B7040">
        <w:rPr>
          <w:rFonts w:cs="David"/>
          <w:color w:val="000000"/>
        </w:rPr>
        <w:t xml:space="preserve">, followed by </w:t>
      </w:r>
      <w:proofErr w:type="spellStart"/>
      <w:r w:rsidRPr="000B7040">
        <w:rPr>
          <w:rFonts w:cs="David"/>
          <w:i/>
          <w:iCs/>
          <w:color w:val="000000"/>
        </w:rPr>
        <w:t>Amiel</w:t>
      </w:r>
      <w:proofErr w:type="spellEnd"/>
      <w:r w:rsidRPr="000B7040">
        <w:rPr>
          <w:rFonts w:cs="David"/>
          <w:i/>
          <w:iCs/>
          <w:color w:val="000000"/>
        </w:rPr>
        <w:t xml:space="preserve"> ben </w:t>
      </w:r>
      <w:proofErr w:type="spellStart"/>
      <w:r w:rsidRPr="000B7040">
        <w:rPr>
          <w:rFonts w:cs="David"/>
          <w:i/>
          <w:iCs/>
          <w:color w:val="000000"/>
        </w:rPr>
        <w:t>Gemali</w:t>
      </w:r>
      <w:proofErr w:type="spellEnd"/>
      <w:r w:rsidRPr="000B7040">
        <w:rPr>
          <w:rFonts w:cs="David"/>
          <w:color w:val="000000"/>
        </w:rPr>
        <w:t xml:space="preserve">, </w:t>
      </w:r>
      <w:r w:rsidR="000A5B5E" w:rsidRPr="000A5B5E">
        <w:rPr>
          <w:rFonts w:cs="David"/>
          <w:color w:val="000000"/>
        </w:rPr>
        <w:t>a</w:t>
      </w:r>
      <w:r w:rsidR="00EA08E2">
        <w:rPr>
          <w:rFonts w:cs="David"/>
          <w:color w:val="000000"/>
        </w:rPr>
        <w:t>nother</w:t>
      </w:r>
      <w:r w:rsidR="000A5B5E" w:rsidRPr="000A5B5E">
        <w:rPr>
          <w:rFonts w:cs="David"/>
          <w:color w:val="000000"/>
        </w:rPr>
        <w:t xml:space="preserve"> semantic association:</w:t>
      </w:r>
      <w:r w:rsidR="000A5B5E">
        <w:rPr>
          <w:rFonts w:cs="David"/>
          <w:i/>
          <w:iCs/>
          <w:color w:val="000000"/>
        </w:rPr>
        <w:t xml:space="preserve"> </w:t>
      </w:r>
      <w:proofErr w:type="spellStart"/>
      <w:r w:rsidRPr="000B7040">
        <w:rPr>
          <w:rFonts w:cs="David"/>
          <w:i/>
          <w:iCs/>
          <w:color w:val="000000"/>
        </w:rPr>
        <w:t>sus</w:t>
      </w:r>
      <w:r w:rsidR="00BC522C">
        <w:rPr>
          <w:rFonts w:cs="David"/>
          <w:i/>
          <w:iCs/>
          <w:color w:val="000000"/>
        </w:rPr>
        <w:t>i</w:t>
      </w:r>
      <w:proofErr w:type="spellEnd"/>
      <w:r w:rsidRPr="000B7040">
        <w:rPr>
          <w:rFonts w:cs="David"/>
          <w:color w:val="000000"/>
        </w:rPr>
        <w:t xml:space="preserve"> </w:t>
      </w:r>
      <w:r w:rsidR="000A5B5E">
        <w:rPr>
          <w:rFonts w:cs="David"/>
          <w:color w:val="000000"/>
        </w:rPr>
        <w:t>means "</w:t>
      </w:r>
      <w:r w:rsidR="00BC522C">
        <w:rPr>
          <w:rFonts w:cs="David"/>
          <w:color w:val="000000"/>
        </w:rPr>
        <w:t xml:space="preserve">my </w:t>
      </w:r>
      <w:r w:rsidRPr="000B7040">
        <w:rPr>
          <w:rFonts w:cs="David"/>
          <w:color w:val="000000"/>
        </w:rPr>
        <w:t>horse</w:t>
      </w:r>
      <w:r w:rsidR="000A5B5E">
        <w:rPr>
          <w:rFonts w:cs="David"/>
          <w:color w:val="000000"/>
        </w:rPr>
        <w:t>"</w:t>
      </w:r>
      <w:r w:rsidRPr="000B7040">
        <w:rPr>
          <w:rFonts w:cs="David"/>
          <w:color w:val="000000"/>
        </w:rPr>
        <w:t xml:space="preserve"> and </w:t>
      </w:r>
      <w:proofErr w:type="spellStart"/>
      <w:r w:rsidRPr="000B7040">
        <w:rPr>
          <w:rFonts w:cs="David"/>
          <w:i/>
          <w:iCs/>
          <w:color w:val="000000"/>
        </w:rPr>
        <w:t>g</w:t>
      </w:r>
      <w:r w:rsidR="00BC522C">
        <w:rPr>
          <w:rFonts w:cs="David"/>
          <w:i/>
          <w:iCs/>
          <w:color w:val="000000"/>
        </w:rPr>
        <w:t>e</w:t>
      </w:r>
      <w:r w:rsidRPr="000B7040">
        <w:rPr>
          <w:rFonts w:cs="David"/>
          <w:i/>
          <w:iCs/>
          <w:color w:val="000000"/>
        </w:rPr>
        <w:t>mal</w:t>
      </w:r>
      <w:r w:rsidR="00BC522C">
        <w:rPr>
          <w:rFonts w:cs="David"/>
          <w:i/>
          <w:iCs/>
          <w:color w:val="000000"/>
        </w:rPr>
        <w:t>i</w:t>
      </w:r>
      <w:proofErr w:type="spellEnd"/>
      <w:r w:rsidR="000A5B5E">
        <w:rPr>
          <w:rFonts w:cs="David"/>
          <w:color w:val="000000"/>
        </w:rPr>
        <w:t xml:space="preserve"> "</w:t>
      </w:r>
      <w:r w:rsidR="00BC522C">
        <w:rPr>
          <w:rFonts w:cs="David"/>
          <w:color w:val="000000"/>
        </w:rPr>
        <w:t xml:space="preserve">my </w:t>
      </w:r>
      <w:r w:rsidRPr="000B7040">
        <w:rPr>
          <w:rFonts w:cs="David"/>
          <w:color w:val="000000"/>
        </w:rPr>
        <w:t>camel</w:t>
      </w:r>
      <w:r w:rsidR="00BC522C">
        <w:rPr>
          <w:rFonts w:cs="David"/>
          <w:color w:val="000000"/>
        </w:rPr>
        <w:t>"</w:t>
      </w:r>
      <w:r w:rsidR="00EA08E2">
        <w:rPr>
          <w:rFonts w:cs="David"/>
          <w:color w:val="000000"/>
        </w:rPr>
        <w:t>.</w:t>
      </w:r>
      <w:r w:rsidRPr="000B7040">
        <w:rPr>
          <w:rFonts w:cs="David"/>
          <w:color w:val="000000"/>
        </w:rPr>
        <w:t xml:space="preserve"> </w:t>
      </w:r>
      <w:r w:rsidR="00BC522C">
        <w:rPr>
          <w:rFonts w:cs="David"/>
          <w:color w:val="000000"/>
        </w:rPr>
        <w:t xml:space="preserve">The next prince is </w:t>
      </w:r>
      <w:proofErr w:type="spellStart"/>
      <w:r w:rsidR="00BC522C" w:rsidRPr="000B7040">
        <w:rPr>
          <w:rFonts w:cs="David"/>
          <w:i/>
          <w:iCs/>
          <w:color w:val="000000"/>
        </w:rPr>
        <w:t>Setur</w:t>
      </w:r>
      <w:proofErr w:type="spellEnd"/>
      <w:r w:rsidR="00BC522C" w:rsidRPr="000B7040">
        <w:rPr>
          <w:rFonts w:cs="David"/>
          <w:color w:val="000000"/>
        </w:rPr>
        <w:t xml:space="preserve"> son </w:t>
      </w:r>
      <w:r w:rsidR="00BC522C">
        <w:rPr>
          <w:rFonts w:cs="David"/>
          <w:color w:val="000000"/>
        </w:rPr>
        <w:t xml:space="preserve">of </w:t>
      </w:r>
      <w:r w:rsidR="00BC522C" w:rsidRPr="003A73B3">
        <w:rPr>
          <w:rFonts w:cs="David"/>
          <w:i/>
          <w:iCs/>
          <w:color w:val="000000"/>
        </w:rPr>
        <w:t>Michael</w:t>
      </w:r>
      <w:r w:rsidR="00BC522C" w:rsidRPr="000B7040">
        <w:rPr>
          <w:rFonts w:cs="David"/>
          <w:color w:val="000000"/>
        </w:rPr>
        <w:t xml:space="preserve"> </w:t>
      </w:r>
      <w:r w:rsidR="00BC522C">
        <w:rPr>
          <w:rFonts w:cs="David"/>
          <w:color w:val="000000"/>
        </w:rPr>
        <w:t>of the tribe of Asher</w:t>
      </w:r>
      <w:r w:rsidR="00E41FD8">
        <w:rPr>
          <w:rFonts w:cs="David"/>
          <w:color w:val="000000"/>
        </w:rPr>
        <w:t xml:space="preserve">; </w:t>
      </w:r>
      <w:proofErr w:type="spellStart"/>
      <w:r w:rsidR="00E41FD8" w:rsidRPr="00E41FD8">
        <w:rPr>
          <w:rFonts w:cs="David"/>
          <w:i/>
          <w:iCs/>
          <w:color w:val="000000"/>
        </w:rPr>
        <w:t>Amiel</w:t>
      </w:r>
      <w:proofErr w:type="spellEnd"/>
      <w:r w:rsidR="00E41FD8">
        <w:rPr>
          <w:rFonts w:cs="David"/>
          <w:color w:val="000000"/>
        </w:rPr>
        <w:t xml:space="preserve"> </w:t>
      </w:r>
      <w:r w:rsidR="006936FD">
        <w:rPr>
          <w:rFonts w:cs="David"/>
          <w:color w:val="000000"/>
        </w:rPr>
        <w:t>(</w:t>
      </w:r>
      <w:r w:rsidR="006936FD" w:rsidRPr="006936FD">
        <w:rPr>
          <w:rFonts w:cs="David"/>
          <w:i/>
          <w:iCs/>
          <w:color w:val="000000"/>
        </w:rPr>
        <w:t xml:space="preserve">ben </w:t>
      </w:r>
      <w:proofErr w:type="spellStart"/>
      <w:r w:rsidR="006936FD" w:rsidRPr="006936FD">
        <w:rPr>
          <w:rFonts w:cs="David"/>
          <w:i/>
          <w:iCs/>
          <w:color w:val="000000"/>
        </w:rPr>
        <w:t>Gemali</w:t>
      </w:r>
      <w:proofErr w:type="spellEnd"/>
      <w:r w:rsidR="006936FD">
        <w:rPr>
          <w:rFonts w:cs="David"/>
          <w:color w:val="000000"/>
        </w:rPr>
        <w:t xml:space="preserve">) </w:t>
      </w:r>
      <w:r w:rsidR="00E41FD8">
        <w:rPr>
          <w:rFonts w:cs="David"/>
          <w:color w:val="000000"/>
        </w:rPr>
        <w:t xml:space="preserve">and </w:t>
      </w:r>
      <w:r w:rsidR="00E41FD8" w:rsidRPr="00E41FD8">
        <w:rPr>
          <w:rFonts w:cs="David"/>
          <w:i/>
          <w:iCs/>
          <w:color w:val="000000"/>
        </w:rPr>
        <w:t>Michael</w:t>
      </w:r>
      <w:r w:rsidR="00E41FD8">
        <w:rPr>
          <w:rFonts w:cs="David"/>
          <w:color w:val="000000"/>
        </w:rPr>
        <w:t xml:space="preserve"> </w:t>
      </w:r>
      <w:r w:rsidR="00871F68">
        <w:rPr>
          <w:rFonts w:cs="David"/>
          <w:color w:val="000000"/>
        </w:rPr>
        <w:t>have similar sounding endings.</w:t>
      </w:r>
      <w:r w:rsidR="00BC522C" w:rsidRPr="000B7040">
        <w:rPr>
          <w:rFonts w:cs="David"/>
          <w:color w:val="000000"/>
        </w:rPr>
        <w:t xml:space="preserve"> The root of </w:t>
      </w:r>
      <w:proofErr w:type="spellStart"/>
      <w:proofErr w:type="gramStart"/>
      <w:r w:rsidR="00BC522C" w:rsidRPr="000B7040">
        <w:rPr>
          <w:rFonts w:cs="David"/>
          <w:i/>
          <w:iCs/>
          <w:color w:val="000000"/>
        </w:rPr>
        <w:t>setur</w:t>
      </w:r>
      <w:proofErr w:type="spellEnd"/>
      <w:r w:rsidR="00CC64D7">
        <w:rPr>
          <w:rFonts w:cs="David"/>
          <w:i/>
          <w:iCs/>
          <w:color w:val="000000"/>
        </w:rPr>
        <w:t xml:space="preserve">,  </w:t>
      </w:r>
      <w:r w:rsidR="0027122B">
        <w:rPr>
          <w:rFonts w:cs="David"/>
          <w:i/>
          <w:iCs/>
          <w:color w:val="000000"/>
        </w:rPr>
        <w:t>S</w:t>
      </w:r>
      <w:proofErr w:type="gramEnd"/>
      <w:r w:rsidR="0027122B">
        <w:rPr>
          <w:rFonts w:cs="David"/>
          <w:i/>
          <w:iCs/>
          <w:color w:val="000000"/>
        </w:rPr>
        <w:t>-T-R,</w:t>
      </w:r>
      <w:r w:rsidR="00BC522C" w:rsidRPr="000B7040">
        <w:rPr>
          <w:rFonts w:cs="David"/>
          <w:color w:val="000000"/>
        </w:rPr>
        <w:t xml:space="preserve"> means “</w:t>
      </w:r>
      <w:r w:rsidR="00BC522C">
        <w:rPr>
          <w:rFonts w:cs="David"/>
          <w:color w:val="000000"/>
        </w:rPr>
        <w:t>to hide,</w:t>
      </w:r>
      <w:r w:rsidR="00BC522C" w:rsidRPr="000B7040">
        <w:rPr>
          <w:rFonts w:cs="David"/>
          <w:color w:val="000000"/>
        </w:rPr>
        <w:t xml:space="preserve">” </w:t>
      </w:r>
      <w:r w:rsidR="00BC522C">
        <w:rPr>
          <w:rFonts w:cs="David"/>
          <w:color w:val="000000"/>
        </w:rPr>
        <w:t>hence is followed by</w:t>
      </w:r>
      <w:r w:rsidR="00BC522C" w:rsidRPr="000B7040">
        <w:rPr>
          <w:rFonts w:cs="David"/>
          <w:color w:val="000000"/>
        </w:rPr>
        <w:t xml:space="preserve"> </w:t>
      </w:r>
      <w:proofErr w:type="spellStart"/>
      <w:r w:rsidR="00BC522C" w:rsidRPr="000B7040">
        <w:rPr>
          <w:rFonts w:cs="David"/>
          <w:i/>
          <w:iCs/>
          <w:color w:val="000000"/>
        </w:rPr>
        <w:t>Nahbi</w:t>
      </w:r>
      <w:proofErr w:type="spellEnd"/>
      <w:r w:rsidR="00BC522C" w:rsidRPr="000B7040">
        <w:rPr>
          <w:rFonts w:cs="David"/>
          <w:color w:val="000000"/>
        </w:rPr>
        <w:t xml:space="preserve">, from the root </w:t>
      </w:r>
      <w:r w:rsidR="0027122B" w:rsidRPr="0027122B">
        <w:rPr>
          <w:rFonts w:cs="David"/>
          <w:i/>
          <w:iCs/>
          <w:color w:val="000000"/>
        </w:rPr>
        <w:t>H-B-</w:t>
      </w:r>
      <w:r w:rsidR="00BC522C" w:rsidRPr="0027122B">
        <w:rPr>
          <w:rFonts w:cs="David"/>
          <w:i/>
          <w:iCs/>
          <w:color w:val="000000"/>
        </w:rPr>
        <w:t>’</w:t>
      </w:r>
      <w:r w:rsidR="00BC522C" w:rsidRPr="000B7040">
        <w:rPr>
          <w:rFonts w:cs="David"/>
          <w:color w:val="000000"/>
        </w:rPr>
        <w:t xml:space="preserve">, “to hide.” The list ends with </w:t>
      </w:r>
      <w:r w:rsidR="00BC522C" w:rsidRPr="000B7040">
        <w:rPr>
          <w:rFonts w:cs="David"/>
          <w:i/>
          <w:iCs/>
          <w:color w:val="000000"/>
        </w:rPr>
        <w:t>Geuel ben Makhi</w:t>
      </w:r>
      <w:r w:rsidR="00BC522C" w:rsidRPr="000B7040">
        <w:rPr>
          <w:rFonts w:cs="David"/>
          <w:color w:val="000000"/>
        </w:rPr>
        <w:t xml:space="preserve">, perhaps because of the </w:t>
      </w:r>
      <w:r w:rsidR="00BC522C">
        <w:rPr>
          <w:rFonts w:cs="David"/>
          <w:color w:val="000000"/>
        </w:rPr>
        <w:t xml:space="preserve">identical </w:t>
      </w:r>
      <w:r w:rsidR="00EA08E2">
        <w:rPr>
          <w:rFonts w:cs="David"/>
          <w:color w:val="000000"/>
        </w:rPr>
        <w:t xml:space="preserve">vowel </w:t>
      </w:r>
      <w:r w:rsidR="00106EE0">
        <w:rPr>
          <w:rFonts w:cs="David"/>
          <w:color w:val="000000"/>
        </w:rPr>
        <w:t xml:space="preserve">in the </w:t>
      </w:r>
      <w:r w:rsidR="00BC522C">
        <w:rPr>
          <w:rFonts w:cs="David"/>
          <w:color w:val="000000"/>
        </w:rPr>
        <w:t xml:space="preserve">final syllable </w:t>
      </w:r>
      <w:r w:rsidR="00B946E4">
        <w:rPr>
          <w:rFonts w:cs="David"/>
          <w:color w:val="000000"/>
        </w:rPr>
        <w:t>of</w:t>
      </w:r>
      <w:r w:rsidR="00BC522C">
        <w:rPr>
          <w:rFonts w:cs="David"/>
          <w:color w:val="000000"/>
        </w:rPr>
        <w:t xml:space="preserve"> </w:t>
      </w:r>
      <w:proofErr w:type="spellStart"/>
      <w:r w:rsidR="00BC522C" w:rsidRPr="000B7040">
        <w:rPr>
          <w:rFonts w:cs="David"/>
          <w:i/>
          <w:iCs/>
          <w:color w:val="000000"/>
        </w:rPr>
        <w:t>Nahbi</w:t>
      </w:r>
      <w:proofErr w:type="spellEnd"/>
      <w:r w:rsidR="00BC522C" w:rsidRPr="000B7040">
        <w:rPr>
          <w:rFonts w:cs="David"/>
          <w:i/>
          <w:iCs/>
          <w:color w:val="000000"/>
        </w:rPr>
        <w:t xml:space="preserve">, </w:t>
      </w:r>
      <w:proofErr w:type="spellStart"/>
      <w:r w:rsidR="00BC522C" w:rsidRPr="000B7040">
        <w:rPr>
          <w:rFonts w:cs="David"/>
          <w:i/>
          <w:iCs/>
          <w:color w:val="000000"/>
        </w:rPr>
        <w:t>Vophsi</w:t>
      </w:r>
      <w:proofErr w:type="spellEnd"/>
      <w:r w:rsidR="00BC522C" w:rsidRPr="000B7040">
        <w:rPr>
          <w:rFonts w:cs="David"/>
          <w:i/>
          <w:iCs/>
          <w:color w:val="000000"/>
        </w:rPr>
        <w:t xml:space="preserve">, </w:t>
      </w:r>
      <w:r w:rsidR="00BC522C" w:rsidRPr="000B7040">
        <w:rPr>
          <w:rFonts w:cs="David"/>
          <w:color w:val="000000"/>
        </w:rPr>
        <w:t>and</w:t>
      </w:r>
      <w:r w:rsidR="00BC522C" w:rsidRPr="000B7040">
        <w:rPr>
          <w:rFonts w:cs="David"/>
          <w:i/>
          <w:iCs/>
          <w:color w:val="000000"/>
        </w:rPr>
        <w:t xml:space="preserve"> Makhi</w:t>
      </w:r>
      <w:r w:rsidR="00BC522C" w:rsidRPr="000B7040">
        <w:rPr>
          <w:rFonts w:cs="David"/>
          <w:color w:val="000000"/>
        </w:rPr>
        <w:t>.</w:t>
      </w:r>
      <w:r w:rsidR="000F5A56">
        <w:rPr>
          <w:rStyle w:val="FootnoteReference"/>
          <w:rFonts w:cs="David"/>
          <w:color w:val="000000"/>
        </w:rPr>
        <w:footnoteReference w:id="18"/>
      </w:r>
      <w:r w:rsidR="00BC522C" w:rsidRPr="000B7040">
        <w:rPr>
          <w:rFonts w:cs="David"/>
          <w:color w:val="000000"/>
        </w:rPr>
        <w:t xml:space="preserve"> </w:t>
      </w:r>
      <w:r w:rsidR="004E5710">
        <w:rPr>
          <w:rFonts w:cs="David"/>
          <w:color w:val="000000"/>
        </w:rPr>
        <w:t>T</w:t>
      </w:r>
      <w:r w:rsidR="00BC522C" w:rsidRPr="000B7040">
        <w:rPr>
          <w:rFonts w:cs="David"/>
          <w:color w:val="000000"/>
        </w:rPr>
        <w:t xml:space="preserve">he internal structure of this list is </w:t>
      </w:r>
      <w:r w:rsidR="00BC522C">
        <w:rPr>
          <w:rFonts w:cs="David"/>
          <w:color w:val="000000"/>
        </w:rPr>
        <w:t>the</w:t>
      </w:r>
      <w:r w:rsidR="00BC522C" w:rsidRPr="000B7040">
        <w:rPr>
          <w:rFonts w:cs="David"/>
          <w:color w:val="000000"/>
        </w:rPr>
        <w:t xml:space="preserve"> product of topical, semantic, and </w:t>
      </w:r>
      <w:r w:rsidR="00BC522C">
        <w:rPr>
          <w:rFonts w:cs="David"/>
          <w:color w:val="000000"/>
        </w:rPr>
        <w:t>phonetic</w:t>
      </w:r>
      <w:r w:rsidR="004E5710" w:rsidRPr="004E5710">
        <w:rPr>
          <w:rFonts w:cs="David"/>
          <w:color w:val="000000"/>
        </w:rPr>
        <w:t xml:space="preserve"> </w:t>
      </w:r>
      <w:r w:rsidR="004E5710" w:rsidRPr="000B7040">
        <w:rPr>
          <w:rFonts w:cs="David"/>
          <w:color w:val="000000"/>
        </w:rPr>
        <w:t>associations</w:t>
      </w:r>
      <w:r w:rsidR="00BC522C" w:rsidRPr="000B7040">
        <w:rPr>
          <w:rFonts w:cs="David"/>
          <w:color w:val="000000"/>
        </w:rPr>
        <w:t>.</w:t>
      </w:r>
    </w:p>
    <w:p w14:paraId="4F65C58C" w14:textId="7E78FDB2" w:rsidR="00C14C49" w:rsidRPr="000B7040" w:rsidRDefault="00C14C49" w:rsidP="009B3DA6">
      <w:pPr>
        <w:rPr>
          <w:rFonts w:cs="David"/>
          <w:color w:val="000000"/>
        </w:rPr>
      </w:pPr>
      <w:r w:rsidRPr="000B7040">
        <w:rPr>
          <w:rFonts w:cs="David"/>
          <w:color w:val="000000"/>
        </w:rPr>
        <w:t>Lest one think, based on th</w:t>
      </w:r>
      <w:r w:rsidR="000A5B5E">
        <w:rPr>
          <w:rFonts w:cs="David"/>
          <w:color w:val="000000"/>
        </w:rPr>
        <w:t>is example</w:t>
      </w:r>
      <w:r w:rsidRPr="000B7040">
        <w:rPr>
          <w:rFonts w:cs="David"/>
          <w:color w:val="000000"/>
        </w:rPr>
        <w:t>, that associative connections have rhyme but no reason, Cassuto maintained that associati</w:t>
      </w:r>
      <w:r w:rsidR="00B946E4">
        <w:rPr>
          <w:rFonts w:cs="David"/>
          <w:color w:val="000000"/>
        </w:rPr>
        <w:t>on</w:t>
      </w:r>
      <w:r w:rsidRPr="000B7040">
        <w:rPr>
          <w:rFonts w:cs="David"/>
          <w:color w:val="000000"/>
        </w:rPr>
        <w:t xml:space="preserve"> served a mnemonic function when the text was still an oral tradition.  </w:t>
      </w:r>
      <w:r w:rsidR="00983E2A">
        <w:rPr>
          <w:rFonts w:cs="David"/>
          <w:color w:val="000000"/>
        </w:rPr>
        <w:t>It</w:t>
      </w:r>
      <w:r w:rsidRPr="000B7040">
        <w:rPr>
          <w:rFonts w:cs="David"/>
          <w:color w:val="000000"/>
        </w:rPr>
        <w:t xml:space="preserve"> enabled tradents to recite the material accurately until such time as it was written down.</w:t>
      </w:r>
      <w:r w:rsidRPr="000B7040">
        <w:rPr>
          <w:rStyle w:val="FootnoteReference"/>
          <w:rFonts w:cs="David"/>
          <w:color w:val="000000"/>
        </w:rPr>
        <w:footnoteReference w:id="19"/>
      </w:r>
      <w:r w:rsidRPr="000B7040">
        <w:rPr>
          <w:rFonts w:cs="David"/>
          <w:color w:val="000000"/>
        </w:rPr>
        <w:t xml:space="preserve"> </w:t>
      </w:r>
    </w:p>
    <w:p w14:paraId="0E585BBC" w14:textId="5653D4FD" w:rsidR="00C14C49" w:rsidRDefault="00C14C49" w:rsidP="00760471">
      <w:pPr>
        <w:rPr>
          <w:rFonts w:cs="David"/>
          <w:color w:val="000000"/>
        </w:rPr>
      </w:pPr>
      <w:r w:rsidRPr="000B7040">
        <w:rPr>
          <w:rFonts w:cs="David"/>
          <w:color w:val="000000"/>
        </w:rPr>
        <w:lastRenderedPageBreak/>
        <w:t xml:space="preserve">While </w:t>
      </w:r>
      <w:r w:rsidR="00CD6B7E" w:rsidRPr="000B7040">
        <w:rPr>
          <w:rFonts w:cs="David"/>
          <w:color w:val="000000"/>
        </w:rPr>
        <w:t>Rofé</w:t>
      </w:r>
      <w:r w:rsidRPr="000B7040">
        <w:rPr>
          <w:rFonts w:cs="David"/>
          <w:color w:val="000000"/>
        </w:rPr>
        <w:t xml:space="preserve"> was right to distinguish between </w:t>
      </w:r>
      <w:r w:rsidR="00A67153">
        <w:rPr>
          <w:rFonts w:cs="David"/>
          <w:color w:val="000000"/>
        </w:rPr>
        <w:t xml:space="preserve">the </w:t>
      </w:r>
      <w:r w:rsidRPr="000B7040">
        <w:rPr>
          <w:rFonts w:cs="David"/>
          <w:color w:val="000000"/>
        </w:rPr>
        <w:t xml:space="preserve">internal arrangement of </w:t>
      </w:r>
      <w:r w:rsidR="00B55676">
        <w:rPr>
          <w:rFonts w:cs="David"/>
          <w:color w:val="000000"/>
        </w:rPr>
        <w:t xml:space="preserve">laws in </w:t>
      </w:r>
      <w:r w:rsidRPr="000B7040">
        <w:rPr>
          <w:rFonts w:cs="David"/>
          <w:color w:val="000000"/>
        </w:rPr>
        <w:t xml:space="preserve">a </w:t>
      </w:r>
      <w:r w:rsidR="00B55676">
        <w:rPr>
          <w:rFonts w:cs="David"/>
          <w:color w:val="000000"/>
        </w:rPr>
        <w:t xml:space="preserve">single </w:t>
      </w:r>
      <w:r w:rsidR="00CD6B7E">
        <w:rPr>
          <w:rFonts w:cs="David"/>
          <w:color w:val="000000"/>
        </w:rPr>
        <w:t>unit</w:t>
      </w:r>
      <w:r w:rsidRPr="000B7040">
        <w:rPr>
          <w:rFonts w:cs="David"/>
          <w:color w:val="000000"/>
        </w:rPr>
        <w:t xml:space="preserve"> and </w:t>
      </w:r>
      <w:r w:rsidR="00A67153">
        <w:rPr>
          <w:rFonts w:cs="David"/>
          <w:color w:val="000000"/>
        </w:rPr>
        <w:t xml:space="preserve">the </w:t>
      </w:r>
      <w:r w:rsidRPr="000B7040">
        <w:rPr>
          <w:rFonts w:cs="David"/>
          <w:color w:val="000000"/>
        </w:rPr>
        <w:t xml:space="preserve">external juxtaposition of </w:t>
      </w:r>
      <w:r w:rsidR="00D83C73">
        <w:rPr>
          <w:rFonts w:cs="David"/>
          <w:color w:val="000000"/>
        </w:rPr>
        <w:t>two pericopes,</w:t>
      </w:r>
      <w:r w:rsidRPr="000B7040">
        <w:rPr>
          <w:rFonts w:cs="David"/>
          <w:color w:val="000000"/>
        </w:rPr>
        <w:t xml:space="preserve"> </w:t>
      </w:r>
      <w:r w:rsidR="00524CF1" w:rsidRPr="000B7040">
        <w:rPr>
          <w:rFonts w:cs="David"/>
          <w:color w:val="000000"/>
        </w:rPr>
        <w:t>Midrash</w:t>
      </w:r>
      <w:r w:rsidRPr="000B7040">
        <w:rPr>
          <w:rFonts w:cs="David"/>
          <w:color w:val="000000"/>
        </w:rPr>
        <w:t xml:space="preserve"> itself did not </w:t>
      </w:r>
      <w:r w:rsidR="00CD6B7E">
        <w:rPr>
          <w:rFonts w:cs="David"/>
          <w:color w:val="000000"/>
        </w:rPr>
        <w:t>differentiate</w:t>
      </w:r>
      <w:r w:rsidRPr="000B7040">
        <w:rPr>
          <w:rFonts w:cs="David"/>
          <w:color w:val="000000"/>
        </w:rPr>
        <w:t xml:space="preserve"> between adjacent verses and adjacent </w:t>
      </w:r>
      <w:r w:rsidR="003A73B3">
        <w:rPr>
          <w:rFonts w:cs="David"/>
          <w:color w:val="000000"/>
        </w:rPr>
        <w:t>chapters</w:t>
      </w:r>
      <w:r w:rsidRPr="000B7040">
        <w:rPr>
          <w:rFonts w:cs="David"/>
          <w:color w:val="000000"/>
        </w:rPr>
        <w:t xml:space="preserve">. Further, ibn Ezra gave </w:t>
      </w:r>
      <w:r w:rsidR="005F1E85">
        <w:rPr>
          <w:rFonts w:cs="David"/>
          <w:color w:val="000000"/>
        </w:rPr>
        <w:t>many</w:t>
      </w:r>
      <w:r w:rsidRPr="000B7040">
        <w:rPr>
          <w:rFonts w:cs="David"/>
          <w:color w:val="000000"/>
        </w:rPr>
        <w:t xml:space="preserve"> explanations for adjacent verses</w:t>
      </w:r>
      <w:r w:rsidR="00BF1F7D">
        <w:rPr>
          <w:rFonts w:cs="David"/>
          <w:color w:val="000000"/>
        </w:rPr>
        <w:t xml:space="preserve"> withi</w:t>
      </w:r>
      <w:r w:rsidRPr="000B7040">
        <w:rPr>
          <w:rFonts w:cs="David"/>
          <w:color w:val="000000"/>
        </w:rPr>
        <w:t>n legal codes</w:t>
      </w:r>
      <w:r w:rsidR="00CD6B7E">
        <w:rPr>
          <w:rFonts w:cs="David"/>
          <w:color w:val="000000"/>
        </w:rPr>
        <w:t>,</w:t>
      </w:r>
      <w:r w:rsidRPr="000B7040">
        <w:rPr>
          <w:rFonts w:cs="David"/>
          <w:color w:val="000000"/>
        </w:rPr>
        <w:t xml:space="preserve"> </w:t>
      </w:r>
      <w:r w:rsidR="00203A5F">
        <w:rPr>
          <w:rFonts w:cs="David"/>
          <w:color w:val="000000"/>
        </w:rPr>
        <w:t xml:space="preserve">but he also </w:t>
      </w:r>
      <w:r w:rsidRPr="000B7040">
        <w:rPr>
          <w:rFonts w:cs="David"/>
          <w:color w:val="000000"/>
        </w:rPr>
        <w:t xml:space="preserve">considered </w:t>
      </w:r>
      <w:r w:rsidR="00F37BE5">
        <w:rPr>
          <w:rFonts w:cs="David"/>
          <w:color w:val="000000"/>
        </w:rPr>
        <w:t xml:space="preserve">a legal code </w:t>
      </w:r>
      <w:r w:rsidR="005F1E85">
        <w:rPr>
          <w:rFonts w:cs="David"/>
          <w:color w:val="000000"/>
        </w:rPr>
        <w:t xml:space="preserve">to be </w:t>
      </w:r>
      <w:r w:rsidRPr="000B7040">
        <w:rPr>
          <w:rFonts w:cs="David"/>
          <w:color w:val="000000"/>
        </w:rPr>
        <w:t>a type of juxtapos</w:t>
      </w:r>
      <w:r w:rsidR="005F1E85">
        <w:rPr>
          <w:rFonts w:cs="David"/>
          <w:color w:val="000000"/>
        </w:rPr>
        <w:t>ed paragraph</w:t>
      </w:r>
      <w:r w:rsidR="00203A5F">
        <w:rPr>
          <w:rFonts w:cs="David"/>
          <w:color w:val="000000"/>
        </w:rPr>
        <w:t xml:space="preserve"> with a central uniting theme. </w:t>
      </w:r>
      <w:r w:rsidRPr="000B7040">
        <w:rPr>
          <w:rFonts w:cs="David"/>
          <w:color w:val="000000"/>
        </w:rPr>
        <w:t>Perhaps the term</w:t>
      </w:r>
      <w:r w:rsidR="005F1E85">
        <w:rPr>
          <w:rFonts w:cs="David"/>
          <w:color w:val="000000"/>
        </w:rPr>
        <w:t xml:space="preserve"> that he coined, </w:t>
      </w:r>
      <w:proofErr w:type="spellStart"/>
      <w:r w:rsidR="005F1E85" w:rsidRPr="005F1E85">
        <w:rPr>
          <w:rFonts w:cs="David"/>
          <w:i/>
          <w:iCs/>
          <w:color w:val="000000"/>
        </w:rPr>
        <w:t>d</w:t>
      </w:r>
      <w:r w:rsidRPr="000B7040">
        <w:rPr>
          <w:rFonts w:cs="David"/>
          <w:i/>
          <w:iCs/>
          <w:color w:val="000000"/>
        </w:rPr>
        <w:t>evekut</w:t>
      </w:r>
      <w:proofErr w:type="spellEnd"/>
      <w:r w:rsidRPr="000B7040">
        <w:rPr>
          <w:rFonts w:cs="David"/>
          <w:i/>
          <w:iCs/>
          <w:color w:val="000000"/>
        </w:rPr>
        <w:t xml:space="preserve"> </w:t>
      </w:r>
      <w:proofErr w:type="spellStart"/>
      <w:r w:rsidRPr="000B7040">
        <w:rPr>
          <w:rFonts w:cs="David"/>
          <w:i/>
          <w:iCs/>
          <w:color w:val="000000"/>
        </w:rPr>
        <w:t>haparshiot</w:t>
      </w:r>
      <w:proofErr w:type="spellEnd"/>
      <w:r w:rsidR="005F1E85">
        <w:rPr>
          <w:rFonts w:cs="David"/>
          <w:color w:val="000000"/>
        </w:rPr>
        <w:t>, "pericopes t</w:t>
      </w:r>
      <w:r w:rsidR="00A26791">
        <w:rPr>
          <w:rFonts w:cs="David"/>
          <w:color w:val="000000"/>
        </w:rPr>
        <w:t>h</w:t>
      </w:r>
      <w:r w:rsidR="005F1E85">
        <w:rPr>
          <w:rFonts w:cs="David"/>
          <w:color w:val="000000"/>
        </w:rPr>
        <w:t>at cling together</w:t>
      </w:r>
      <w:r w:rsidR="00486B4C">
        <w:rPr>
          <w:rFonts w:cs="David"/>
          <w:color w:val="000000"/>
        </w:rPr>
        <w:t>,</w:t>
      </w:r>
      <w:r w:rsidR="005F1E85">
        <w:rPr>
          <w:rFonts w:cs="David"/>
          <w:color w:val="000000"/>
        </w:rPr>
        <w:t>"</w:t>
      </w:r>
      <w:r w:rsidR="00A26791">
        <w:rPr>
          <w:rFonts w:cs="David"/>
          <w:color w:val="000000"/>
        </w:rPr>
        <w:t xml:space="preserve"> </w:t>
      </w:r>
      <w:r w:rsidRPr="000B7040">
        <w:rPr>
          <w:rFonts w:cs="David"/>
          <w:color w:val="000000"/>
        </w:rPr>
        <w:t xml:space="preserve">came to </w:t>
      </w:r>
      <w:r w:rsidR="004430EC">
        <w:rPr>
          <w:rFonts w:cs="David"/>
          <w:color w:val="000000"/>
        </w:rPr>
        <w:t xml:space="preserve">identify </w:t>
      </w:r>
      <w:r w:rsidR="008528F6">
        <w:rPr>
          <w:rFonts w:cs="David"/>
          <w:color w:val="000000"/>
        </w:rPr>
        <w:t xml:space="preserve">a unifying theme for </w:t>
      </w:r>
      <w:r w:rsidR="00A67153">
        <w:rPr>
          <w:rFonts w:cs="David"/>
          <w:color w:val="000000"/>
        </w:rPr>
        <w:t xml:space="preserve">the </w:t>
      </w:r>
      <w:r w:rsidRPr="000B7040">
        <w:rPr>
          <w:rFonts w:cs="David"/>
          <w:color w:val="000000"/>
        </w:rPr>
        <w:t xml:space="preserve">internal arrangement of </w:t>
      </w:r>
      <w:r w:rsidR="00106B84">
        <w:rPr>
          <w:rFonts w:cs="David"/>
          <w:color w:val="000000"/>
        </w:rPr>
        <w:t xml:space="preserve">independent </w:t>
      </w:r>
      <w:r w:rsidR="00106B84" w:rsidRPr="000B7040">
        <w:rPr>
          <w:rFonts w:cs="David"/>
          <w:color w:val="000000"/>
        </w:rPr>
        <w:t xml:space="preserve">laws </w:t>
      </w:r>
      <w:r w:rsidR="00106B84">
        <w:rPr>
          <w:rFonts w:cs="David"/>
          <w:color w:val="000000"/>
        </w:rPr>
        <w:t>found in a single pericope</w:t>
      </w:r>
      <w:r w:rsidR="00106B84" w:rsidRPr="000B7040">
        <w:rPr>
          <w:rFonts w:cs="David"/>
          <w:color w:val="000000"/>
        </w:rPr>
        <w:t>.</w:t>
      </w:r>
      <w:r w:rsidR="00760471">
        <w:rPr>
          <w:rFonts w:cs="David"/>
          <w:color w:val="000000"/>
        </w:rPr>
        <w:t xml:space="preserve"> </w:t>
      </w:r>
      <w:r w:rsidRPr="000B7040">
        <w:rPr>
          <w:rFonts w:cs="David"/>
          <w:color w:val="000000"/>
        </w:rPr>
        <w:t xml:space="preserve">External ties </w:t>
      </w:r>
      <w:r w:rsidR="00A67153">
        <w:rPr>
          <w:rFonts w:cs="David"/>
          <w:color w:val="000000"/>
        </w:rPr>
        <w:t xml:space="preserve">between </w:t>
      </w:r>
      <w:r w:rsidR="00106B84">
        <w:rPr>
          <w:rFonts w:cs="David"/>
          <w:color w:val="000000"/>
        </w:rPr>
        <w:t xml:space="preserve">two </w:t>
      </w:r>
      <w:r w:rsidR="00A26791">
        <w:rPr>
          <w:rFonts w:cs="David"/>
          <w:color w:val="000000"/>
        </w:rPr>
        <w:t>units</w:t>
      </w:r>
      <w:r w:rsidR="00CB7983">
        <w:rPr>
          <w:rFonts w:cs="David"/>
          <w:color w:val="000000"/>
        </w:rPr>
        <w:t xml:space="preserve">, whether </w:t>
      </w:r>
      <w:r w:rsidR="00486B4C">
        <w:rPr>
          <w:rFonts w:cs="David"/>
          <w:color w:val="000000"/>
        </w:rPr>
        <w:t xml:space="preserve">phonetically </w:t>
      </w:r>
      <w:r w:rsidR="00CB7983">
        <w:rPr>
          <w:rFonts w:cs="David"/>
          <w:color w:val="000000"/>
        </w:rPr>
        <w:t>associative or based on similar content</w:t>
      </w:r>
      <w:r w:rsidR="00545F23">
        <w:rPr>
          <w:rFonts w:cs="David"/>
          <w:color w:val="000000"/>
        </w:rPr>
        <w:t>,</w:t>
      </w:r>
      <w:r w:rsidR="00A67153">
        <w:rPr>
          <w:rFonts w:cs="David"/>
          <w:color w:val="000000"/>
        </w:rPr>
        <w:t xml:space="preserve"> </w:t>
      </w:r>
      <w:r w:rsidRPr="000B7040">
        <w:rPr>
          <w:rFonts w:cs="David"/>
          <w:color w:val="000000"/>
        </w:rPr>
        <w:t xml:space="preserve">were called </w:t>
      </w:r>
      <w:r w:rsidR="00545F23">
        <w:rPr>
          <w:rFonts w:cs="David"/>
          <w:color w:val="000000"/>
        </w:rPr>
        <w:t xml:space="preserve">by ibn Ezra </w:t>
      </w:r>
      <w:r w:rsidRPr="000B7040">
        <w:rPr>
          <w:rFonts w:cs="David"/>
          <w:i/>
          <w:iCs/>
          <w:color w:val="000000"/>
        </w:rPr>
        <w:t>semikhut parshiot</w:t>
      </w:r>
      <w:r w:rsidR="00545F23">
        <w:rPr>
          <w:rFonts w:cs="David"/>
          <w:color w:val="000000"/>
        </w:rPr>
        <w:t xml:space="preserve"> or some other form of the root </w:t>
      </w:r>
      <w:r w:rsidR="00C5380B">
        <w:rPr>
          <w:rFonts w:cs="David"/>
          <w:i/>
          <w:iCs/>
          <w:color w:val="000000"/>
        </w:rPr>
        <w:t>S-M-KH</w:t>
      </w:r>
      <w:r w:rsidR="00760471">
        <w:rPr>
          <w:rFonts w:cs="David"/>
          <w:i/>
          <w:iCs/>
          <w:color w:val="000000"/>
        </w:rPr>
        <w:t>.</w:t>
      </w:r>
      <w:r w:rsidRPr="000B7040">
        <w:rPr>
          <w:rFonts w:cs="David"/>
          <w:color w:val="000000"/>
        </w:rPr>
        <w:t xml:space="preserve"> </w:t>
      </w:r>
    </w:p>
    <w:p w14:paraId="691ED04A" w14:textId="4DB10AF2" w:rsidR="00E431AC" w:rsidRPr="000B7040" w:rsidRDefault="00A1172A" w:rsidP="00A1172A">
      <w:pPr>
        <w:bidi/>
        <w:rPr>
          <w:rFonts w:cs="David"/>
          <w:color w:val="000000"/>
          <w:rtl/>
          <w:lang w:bidi="he-IL"/>
        </w:rPr>
      </w:pPr>
      <w:r w:rsidRPr="00615415">
        <w:rPr>
          <w:rFonts w:cs="David" w:hint="cs"/>
          <w:b/>
          <w:bCs/>
          <w:color w:val="000000"/>
          <w:rtl/>
          <w:lang w:bidi="he-IL"/>
        </w:rPr>
        <w:t>בובר,</w:t>
      </w:r>
      <w:r>
        <w:rPr>
          <w:rFonts w:cs="David" w:hint="cs"/>
          <w:color w:val="000000"/>
          <w:rtl/>
          <w:lang w:bidi="he-IL"/>
        </w:rPr>
        <w:t xml:space="preserve"> דרכו של מקרא, </w:t>
      </w:r>
      <w:r w:rsidR="00E47365">
        <w:rPr>
          <w:rFonts w:cs="David" w:hint="cs"/>
          <w:color w:val="000000"/>
          <w:rtl/>
          <w:lang w:bidi="he-IL"/>
        </w:rPr>
        <w:t>"סגנון</w:t>
      </w:r>
      <w:r w:rsidR="00C33B47">
        <w:rPr>
          <w:rFonts w:cs="David" w:hint="cs"/>
          <w:color w:val="000000"/>
          <w:rtl/>
          <w:lang w:bidi="he-IL"/>
        </w:rPr>
        <w:t xml:space="preserve"> </w:t>
      </w:r>
      <w:r w:rsidR="00E47365">
        <w:rPr>
          <w:rFonts w:cs="David" w:hint="cs"/>
          <w:color w:val="000000"/>
          <w:rtl/>
          <w:lang w:bidi="he-IL"/>
        </w:rPr>
        <w:t xml:space="preserve">המלה-המנחה בסיפורי התורה", 284-299. </w:t>
      </w:r>
      <w:r w:rsidR="005C5FE3">
        <w:rPr>
          <w:rFonts w:cs="David" w:hint="cs"/>
          <w:color w:val="000000"/>
          <w:rtl/>
          <w:lang w:bidi="he-IL"/>
        </w:rPr>
        <w:t>בהערה 4 משבח בובר את קסוטו שהלך בדרכו. יש קשר בין מילה מנחה , משחק מילילם, וקשר אסוסיאטיבי.</w:t>
      </w:r>
    </w:p>
    <w:p w14:paraId="39DC766C" w14:textId="77777777" w:rsidR="0031740F" w:rsidRPr="0031740F" w:rsidRDefault="0031740F" w:rsidP="0031740F">
      <w:pPr>
        <w:tabs>
          <w:tab w:val="left" w:pos="6363"/>
        </w:tabs>
        <w:rPr>
          <w:b/>
          <w:bCs/>
        </w:rPr>
      </w:pPr>
      <w:r w:rsidRPr="0031740F">
        <w:rPr>
          <w:b/>
          <w:bCs/>
        </w:rPr>
        <w:t>Robert Alter</w:t>
      </w:r>
    </w:p>
    <w:p w14:paraId="59B7EF50" w14:textId="629B3870" w:rsidR="008F6436" w:rsidRDefault="00AF597B" w:rsidP="00314287">
      <w:pPr>
        <w:tabs>
          <w:tab w:val="left" w:pos="6363"/>
        </w:tabs>
      </w:pPr>
      <w:r>
        <w:t xml:space="preserve">Alter chose to begin his </w:t>
      </w:r>
      <w:r w:rsidR="00745C66">
        <w:t xml:space="preserve">now-classic </w:t>
      </w:r>
      <w:r>
        <w:t xml:space="preserve">book, </w:t>
      </w:r>
      <w:r w:rsidRPr="00AF597B">
        <w:rPr>
          <w:i/>
          <w:iCs/>
        </w:rPr>
        <w:t>The Art of Biblical Narrative</w:t>
      </w:r>
      <w:r>
        <w:t>, with the story of</w:t>
      </w:r>
      <w:r w:rsidR="008F6436">
        <w:t xml:space="preserve"> Judah and Tamar in Genesis 38.</w:t>
      </w:r>
      <w:r w:rsidR="008B0FEE">
        <w:t xml:space="preserve"> “I shall begin with the last five verses of Genesis 37 in or</w:t>
      </w:r>
      <w:r w:rsidR="00745C66">
        <w:t>d</w:t>
      </w:r>
      <w:r w:rsidR="008B0FEE">
        <w:t xml:space="preserve">er to </w:t>
      </w:r>
      <w:r w:rsidR="00745C66">
        <w:t>make</w:t>
      </w:r>
      <w:r w:rsidR="008B0FEE">
        <w:t xml:space="preserve"> clear the links between fram</w:t>
      </w:r>
      <w:r w:rsidR="002606B3">
        <w:t>e-narrative and interpolation.”</w:t>
      </w:r>
      <w:r w:rsidR="002606B3">
        <w:rPr>
          <w:rStyle w:val="FootnoteReference"/>
        </w:rPr>
        <w:footnoteReference w:id="20"/>
      </w:r>
      <w:r w:rsidR="008F6436">
        <w:t xml:space="preserve"> Alter explained the story</w:t>
      </w:r>
      <w:r w:rsidR="00490F90">
        <w:t xml:space="preserve"> of</w:t>
      </w:r>
      <w:r w:rsidR="008F6436">
        <w:t xml:space="preserve"> </w:t>
      </w:r>
      <w:r w:rsidR="00490F90">
        <w:t xml:space="preserve">Judah and Tamar </w:t>
      </w:r>
      <w:r w:rsidR="008F6436">
        <w:t xml:space="preserve">based on its </w:t>
      </w:r>
      <w:r w:rsidR="00763BB3">
        <w:t>‘interpolation’ –</w:t>
      </w:r>
      <w:r w:rsidR="00314287">
        <w:t>his</w:t>
      </w:r>
      <w:r w:rsidR="00763BB3">
        <w:t xml:space="preserve"> equivalent for</w:t>
      </w:r>
      <w:r w:rsidR="00C60CB6">
        <w:t xml:space="preserve"> our</w:t>
      </w:r>
      <w:r w:rsidR="00763BB3">
        <w:t xml:space="preserve"> ‘juxtaposition’-- </w:t>
      </w:r>
      <w:r w:rsidR="00745C66">
        <w:t xml:space="preserve">between </w:t>
      </w:r>
      <w:r w:rsidR="00C74411">
        <w:t xml:space="preserve">parts of </w:t>
      </w:r>
      <w:r w:rsidR="00745C66">
        <w:t>the larger story of Joseph in chapters</w:t>
      </w:r>
      <w:r w:rsidR="008F6436">
        <w:t xml:space="preserve"> 37 and 3</w:t>
      </w:r>
      <w:r w:rsidR="00B97A92">
        <w:t>9</w:t>
      </w:r>
      <w:r w:rsidR="008F6436">
        <w:t xml:space="preserve">. In his opinion </w:t>
      </w:r>
      <w:r w:rsidR="00455CF6">
        <w:t xml:space="preserve">this </w:t>
      </w:r>
      <w:r w:rsidR="00763BB3">
        <w:t>sequence</w:t>
      </w:r>
      <w:r w:rsidR="00455CF6">
        <w:t xml:space="preserve"> </w:t>
      </w:r>
      <w:r w:rsidR="008F6436">
        <w:t>gives us the contex</w:t>
      </w:r>
      <w:r w:rsidR="00745C66">
        <w:t xml:space="preserve">t of the </w:t>
      </w:r>
      <w:r w:rsidR="00B97A92">
        <w:t xml:space="preserve">Judah – Tamar </w:t>
      </w:r>
      <w:r w:rsidR="00745C66">
        <w:t xml:space="preserve">story </w:t>
      </w:r>
      <w:r w:rsidR="008F6436">
        <w:t xml:space="preserve">and supplies important information for </w:t>
      </w:r>
      <w:r w:rsidR="00745C66">
        <w:t>its</w:t>
      </w:r>
      <w:r w:rsidR="008F6436">
        <w:t xml:space="preserve"> literary analysis.</w:t>
      </w:r>
    </w:p>
    <w:p w14:paraId="0064C75A" w14:textId="46CEF3D1" w:rsidR="0031740F" w:rsidRDefault="008B0FEE" w:rsidP="00076041">
      <w:pPr>
        <w:tabs>
          <w:tab w:val="left" w:pos="6363"/>
        </w:tabs>
      </w:pPr>
      <w:r>
        <w:t xml:space="preserve">Alter </w:t>
      </w:r>
      <w:r w:rsidR="00763BB3">
        <w:t>knew</w:t>
      </w:r>
      <w:r>
        <w:t xml:space="preserve"> that the Midrash proceed</w:t>
      </w:r>
      <w:r w:rsidR="00455CF6">
        <w:t>ed</w:t>
      </w:r>
      <w:r>
        <w:t xml:space="preserve"> along the same lines: “</w:t>
      </w:r>
      <w:r w:rsidR="00745C66">
        <w:t xml:space="preserve">It is instructive </w:t>
      </w:r>
      <w:r>
        <w:t xml:space="preserve">that the two verbal cues indicating the connection between the story of the selling of </w:t>
      </w:r>
      <w:r w:rsidR="00745C66">
        <w:t xml:space="preserve">Joseph </w:t>
      </w:r>
      <w:r>
        <w:t>and the story of Tamar and Juda</w:t>
      </w:r>
      <w:r w:rsidR="00745C66">
        <w:t>h</w:t>
      </w:r>
      <w:r>
        <w:t xml:space="preserve"> were duly noted more than 1500 years ago in the </w:t>
      </w:r>
      <w:r w:rsidR="00745C66">
        <w:t>Midrash”</w:t>
      </w:r>
      <w:r>
        <w:t>.</w:t>
      </w:r>
      <w:r w:rsidR="00490F90">
        <w:rPr>
          <w:rStyle w:val="FootnoteReference"/>
        </w:rPr>
        <w:footnoteReference w:id="21"/>
      </w:r>
      <w:r>
        <w:t xml:space="preserve"> However, Alter </w:t>
      </w:r>
      <w:r w:rsidR="00455CF6">
        <w:t xml:space="preserve">tries to </w:t>
      </w:r>
      <w:r>
        <w:t xml:space="preserve">distance his </w:t>
      </w:r>
      <w:r w:rsidR="00076041">
        <w:t>method</w:t>
      </w:r>
      <w:r>
        <w:t xml:space="preserve"> </w:t>
      </w:r>
      <w:r w:rsidR="00455CF6">
        <w:t>from</w:t>
      </w:r>
      <w:r>
        <w:t xml:space="preserve"> that of Midrash, claiming tha</w:t>
      </w:r>
      <w:r w:rsidR="00745C66">
        <w:t xml:space="preserve">t </w:t>
      </w:r>
      <w:r>
        <w:t>h</w:t>
      </w:r>
      <w:r w:rsidR="00603B51">
        <w:t>e offer</w:t>
      </w:r>
      <w:r w:rsidR="0077659F">
        <w:t>ed</w:t>
      </w:r>
      <w:r>
        <w:t xml:space="preserve"> a literary reading of the </w:t>
      </w:r>
      <w:r w:rsidR="00745C66">
        <w:t xml:space="preserve">entire </w:t>
      </w:r>
      <w:r>
        <w:t>text</w:t>
      </w:r>
      <w:r w:rsidR="00745C66">
        <w:t>ual sequence</w:t>
      </w:r>
      <w:r>
        <w:t xml:space="preserve">, while </w:t>
      </w:r>
      <w:r w:rsidR="008B62D4">
        <w:t>“</w:t>
      </w:r>
      <w:r w:rsidR="00763BB3">
        <w:t>Midrash</w:t>
      </w:r>
      <w:r>
        <w:t xml:space="preserve"> </w:t>
      </w:r>
      <w:r w:rsidR="00A10D0B">
        <w:t xml:space="preserve">provides exegesis of </w:t>
      </w:r>
      <w:r w:rsidR="00745C66">
        <w:t>specific phrases or narrated actions</w:t>
      </w:r>
      <w:r w:rsidR="00A10D0B">
        <w:t xml:space="preserve"> but not continuous </w:t>
      </w:r>
      <w:r w:rsidR="00A10D0B" w:rsidRPr="008B62D4">
        <w:rPr>
          <w:i/>
          <w:iCs/>
        </w:rPr>
        <w:t>readings</w:t>
      </w:r>
      <w:r w:rsidR="00A10D0B">
        <w:t xml:space="preserve"> of the biblical narratives</w:t>
      </w:r>
      <w:r w:rsidR="00745C66">
        <w:t>.”</w:t>
      </w:r>
      <w:r w:rsidR="008B0CBD">
        <w:rPr>
          <w:rStyle w:val="FootnoteReference"/>
        </w:rPr>
        <w:footnoteReference w:id="22"/>
      </w:r>
    </w:p>
    <w:p w14:paraId="354081C4" w14:textId="66658CE6" w:rsidR="009509F8" w:rsidRDefault="009509F8" w:rsidP="00763BB3">
      <w:pPr>
        <w:tabs>
          <w:tab w:val="left" w:pos="6363"/>
        </w:tabs>
      </w:pPr>
      <w:r>
        <w:t>Alter relates Buber’s concept of the leading-word (</w:t>
      </w:r>
      <w:r w:rsidRPr="009509F8">
        <w:rPr>
          <w:i/>
          <w:iCs/>
        </w:rPr>
        <w:t>leitwort</w:t>
      </w:r>
      <w:r>
        <w:t>) to juxtaposition: “Word-motifs are more typically used, however, in larger narrative units, to sustain a thematic development and to establish instructive connections between seemingly disparate episodes.”</w:t>
      </w:r>
      <w:r>
        <w:rPr>
          <w:rStyle w:val="FootnoteReference"/>
        </w:rPr>
        <w:footnoteReference w:id="23"/>
      </w:r>
      <w:r>
        <w:t xml:space="preserve"> He cites Michael </w:t>
      </w:r>
      <w:proofErr w:type="spellStart"/>
      <w:r>
        <w:t>Fishbane</w:t>
      </w:r>
      <w:proofErr w:type="spellEnd"/>
      <w:r w:rsidR="00291F35">
        <w:t xml:space="preserve">, who saw </w:t>
      </w:r>
      <w:r w:rsidR="00216664">
        <w:t xml:space="preserve">the keywords </w:t>
      </w:r>
      <w:proofErr w:type="spellStart"/>
      <w:r w:rsidR="00216664" w:rsidRPr="00216664">
        <w:rPr>
          <w:i/>
          <w:iCs/>
        </w:rPr>
        <w:t>berakha</w:t>
      </w:r>
      <w:proofErr w:type="spellEnd"/>
      <w:r w:rsidR="00216664">
        <w:t xml:space="preserve"> and </w:t>
      </w:r>
      <w:proofErr w:type="spellStart"/>
      <w:r w:rsidR="00216664" w:rsidRPr="00216664">
        <w:rPr>
          <w:i/>
          <w:iCs/>
        </w:rPr>
        <w:t>bekhora</w:t>
      </w:r>
      <w:proofErr w:type="spellEnd"/>
      <w:r w:rsidR="00216664">
        <w:t>, “blessing” and “firstborn” in the cycle of Jacob stories</w:t>
      </w:r>
      <w:r w:rsidR="00D31DE7">
        <w:t>,</w:t>
      </w:r>
      <w:r w:rsidR="00216664">
        <w:t xml:space="preserve"> as creating “a formal structure of inclusions and order which stand in ironic contrast to the machinations of the content.”</w:t>
      </w:r>
      <w:r w:rsidR="00216664">
        <w:rPr>
          <w:rStyle w:val="FootnoteReference"/>
        </w:rPr>
        <w:footnoteReference w:id="24"/>
      </w:r>
    </w:p>
    <w:p w14:paraId="06BF0D48" w14:textId="0E435969" w:rsidR="00565B8D" w:rsidRDefault="003C77EB" w:rsidP="00EB1929">
      <w:pPr>
        <w:tabs>
          <w:tab w:val="left" w:pos="6363"/>
        </w:tabs>
        <w:rPr>
          <w:b/>
          <w:bCs/>
          <w:lang w:bidi="he-IL"/>
        </w:rPr>
      </w:pPr>
      <w:r w:rsidRPr="00EB1929">
        <w:rPr>
          <w:b/>
          <w:bCs/>
          <w:lang w:bidi="he-IL"/>
        </w:rPr>
        <w:t>Yair Zakovitch</w:t>
      </w:r>
    </w:p>
    <w:p w14:paraId="6A6D332F" w14:textId="5FF61A30" w:rsidR="000A5785" w:rsidRDefault="003B3DC8" w:rsidP="00D81825">
      <w:pPr>
        <w:tabs>
          <w:tab w:val="left" w:pos="6363"/>
        </w:tabs>
        <w:rPr>
          <w:rtl/>
          <w:lang w:bidi="he-IL"/>
        </w:rPr>
      </w:pPr>
      <w:r>
        <w:rPr>
          <w:lang w:bidi="he-IL"/>
        </w:rPr>
        <w:lastRenderedPageBreak/>
        <w:t>Juxtaposition for Zakovitch is a form of inner-biblical interpretation.</w:t>
      </w:r>
      <w:r>
        <w:rPr>
          <w:rStyle w:val="FootnoteReference"/>
          <w:lang w:bidi="he-IL"/>
        </w:rPr>
        <w:footnoteReference w:id="25"/>
      </w:r>
      <w:r>
        <w:rPr>
          <w:lang w:bidi="he-IL"/>
        </w:rPr>
        <w:t xml:space="preserve"> </w:t>
      </w:r>
      <w:r w:rsidR="00294E4B">
        <w:rPr>
          <w:lang w:bidi="he-IL"/>
        </w:rPr>
        <w:t xml:space="preserve">The </w:t>
      </w:r>
      <w:r w:rsidR="003F1F72">
        <w:rPr>
          <w:lang w:bidi="he-IL"/>
        </w:rPr>
        <w:t>meaning</w:t>
      </w:r>
      <w:r w:rsidR="00294E4B">
        <w:rPr>
          <w:lang w:bidi="he-IL"/>
        </w:rPr>
        <w:t xml:space="preserve"> </w:t>
      </w:r>
      <w:r w:rsidR="00D34237">
        <w:rPr>
          <w:lang w:bidi="he-IL"/>
        </w:rPr>
        <w:t>conveyed by</w:t>
      </w:r>
      <w:r w:rsidR="00294E4B">
        <w:rPr>
          <w:lang w:bidi="he-IL"/>
        </w:rPr>
        <w:t xml:space="preserve"> juxtaposition did not </w:t>
      </w:r>
      <w:r w:rsidR="003F1F72">
        <w:rPr>
          <w:lang w:bidi="he-IL"/>
        </w:rPr>
        <w:t xml:space="preserve">begin </w:t>
      </w:r>
      <w:r w:rsidR="00294E4B">
        <w:rPr>
          <w:lang w:bidi="he-IL"/>
        </w:rPr>
        <w:t xml:space="preserve">with the </w:t>
      </w:r>
      <w:r w:rsidR="003F1F72">
        <w:rPr>
          <w:lang w:bidi="he-IL"/>
        </w:rPr>
        <w:t xml:space="preserve">Midrash of the </w:t>
      </w:r>
      <w:r w:rsidR="00294E4B">
        <w:rPr>
          <w:lang w:bidi="he-IL"/>
        </w:rPr>
        <w:t xml:space="preserve">Rabbis; it is already to be found in the </w:t>
      </w:r>
      <w:r w:rsidR="00C5170E">
        <w:rPr>
          <w:lang w:bidi="he-IL"/>
        </w:rPr>
        <w:t>B</w:t>
      </w:r>
      <w:r w:rsidR="00294E4B">
        <w:rPr>
          <w:lang w:bidi="he-IL"/>
        </w:rPr>
        <w:t xml:space="preserve">ible itself. However, </w:t>
      </w:r>
      <w:r w:rsidR="008E2D9C">
        <w:rPr>
          <w:lang w:bidi="he-IL"/>
        </w:rPr>
        <w:t>with</w:t>
      </w:r>
      <w:r w:rsidR="00294E4B">
        <w:rPr>
          <w:lang w:bidi="he-IL"/>
        </w:rPr>
        <w:t xml:space="preserve">in the Bible </w:t>
      </w:r>
      <w:r w:rsidR="008E2D9C">
        <w:rPr>
          <w:lang w:bidi="he-IL"/>
        </w:rPr>
        <w:t xml:space="preserve">the sense of the </w:t>
      </w:r>
      <w:r w:rsidR="00294E4B">
        <w:rPr>
          <w:lang w:bidi="he-IL"/>
        </w:rPr>
        <w:t xml:space="preserve">juxtaposition is usually concealed and must be </w:t>
      </w:r>
      <w:r w:rsidR="00294E4B" w:rsidRPr="00EA744C">
        <w:rPr>
          <w:lang w:bidi="he-IL"/>
        </w:rPr>
        <w:t>revealed</w:t>
      </w:r>
      <w:r w:rsidR="00EA744C">
        <w:rPr>
          <w:lang w:bidi="he-IL"/>
        </w:rPr>
        <w:t xml:space="preserve"> by the reader</w:t>
      </w:r>
      <w:r w:rsidR="00294E4B">
        <w:rPr>
          <w:lang w:bidi="he-IL"/>
        </w:rPr>
        <w:t>.</w:t>
      </w:r>
      <w:r w:rsidR="008A3AA9">
        <w:rPr>
          <w:lang w:bidi="he-IL"/>
        </w:rPr>
        <w:t xml:space="preserve"> Nevertheless, there are places where </w:t>
      </w:r>
      <w:r>
        <w:rPr>
          <w:lang w:bidi="he-IL"/>
        </w:rPr>
        <w:t>the</w:t>
      </w:r>
      <w:r w:rsidR="008A3AA9">
        <w:rPr>
          <w:lang w:bidi="he-IL"/>
        </w:rPr>
        <w:t xml:space="preserve"> Bible itself understood the message of juxtaposition</w:t>
      </w:r>
      <w:r w:rsidR="00EA744C">
        <w:rPr>
          <w:lang w:bidi="he-IL"/>
        </w:rPr>
        <w:t xml:space="preserve"> and indeed created it</w:t>
      </w:r>
      <w:r w:rsidR="008A3AA9">
        <w:rPr>
          <w:lang w:bidi="he-IL"/>
        </w:rPr>
        <w:t>.</w:t>
      </w:r>
      <w:r w:rsidR="00DF057B">
        <w:rPr>
          <w:lang w:bidi="he-IL"/>
        </w:rPr>
        <w:t xml:space="preserve"> We have seen </w:t>
      </w:r>
      <w:r w:rsidR="00AC361D">
        <w:rPr>
          <w:lang w:bidi="he-IL"/>
        </w:rPr>
        <w:t xml:space="preserve">above </w:t>
      </w:r>
      <w:r w:rsidR="00DF057B">
        <w:rPr>
          <w:lang w:bidi="he-IL"/>
        </w:rPr>
        <w:t xml:space="preserve">that Alter noted </w:t>
      </w:r>
      <w:r w:rsidR="003F1F72">
        <w:rPr>
          <w:lang w:bidi="he-IL"/>
        </w:rPr>
        <w:t>a</w:t>
      </w:r>
      <w:r w:rsidR="008A3AA9">
        <w:rPr>
          <w:lang w:bidi="he-IL"/>
        </w:rPr>
        <w:t xml:space="preserve"> conne</w:t>
      </w:r>
      <w:r w:rsidR="00EA744C">
        <w:rPr>
          <w:lang w:bidi="he-IL"/>
        </w:rPr>
        <w:t>c</w:t>
      </w:r>
      <w:r w:rsidR="008A3AA9">
        <w:rPr>
          <w:lang w:bidi="he-IL"/>
        </w:rPr>
        <w:t xml:space="preserve">tion between juxtaposition and the </w:t>
      </w:r>
      <w:r w:rsidR="00C5170E">
        <w:rPr>
          <w:lang w:bidi="he-IL"/>
        </w:rPr>
        <w:t>idea</w:t>
      </w:r>
      <w:r w:rsidR="008A3AA9">
        <w:rPr>
          <w:lang w:bidi="he-IL"/>
        </w:rPr>
        <w:t xml:space="preserve"> </w:t>
      </w:r>
      <w:r w:rsidR="008E2D9C">
        <w:rPr>
          <w:lang w:bidi="he-IL"/>
        </w:rPr>
        <w:t xml:space="preserve">of the </w:t>
      </w:r>
      <w:r w:rsidR="008E2D9C" w:rsidRPr="00C5170E">
        <w:rPr>
          <w:i/>
          <w:iCs/>
          <w:lang w:bidi="he-IL"/>
        </w:rPr>
        <w:t>leitwort</w:t>
      </w:r>
      <w:r w:rsidR="008E2D9C">
        <w:rPr>
          <w:lang w:bidi="he-IL"/>
        </w:rPr>
        <w:t xml:space="preserve"> or leading word as </w:t>
      </w:r>
      <w:r w:rsidR="00DF057B">
        <w:rPr>
          <w:lang w:bidi="he-IL"/>
        </w:rPr>
        <w:t xml:space="preserve">explained </w:t>
      </w:r>
      <w:r w:rsidR="00EA744C">
        <w:rPr>
          <w:lang w:bidi="he-IL"/>
        </w:rPr>
        <w:t>by Buber</w:t>
      </w:r>
      <w:r w:rsidR="008A3AA9">
        <w:rPr>
          <w:lang w:bidi="he-IL"/>
        </w:rPr>
        <w:t xml:space="preserve">. In the cycle of Abraham stories, Zakovitch identified connections between adjacent stories </w:t>
      </w:r>
      <w:r>
        <w:rPr>
          <w:lang w:bidi="he-IL"/>
        </w:rPr>
        <w:t>based on</w:t>
      </w:r>
      <w:r w:rsidR="008A3AA9">
        <w:rPr>
          <w:lang w:bidi="he-IL"/>
        </w:rPr>
        <w:t xml:space="preserve"> the identical leading word </w:t>
      </w:r>
      <w:r w:rsidR="00B742B4">
        <w:rPr>
          <w:lang w:bidi="he-IL"/>
        </w:rPr>
        <w:t>(</w:t>
      </w:r>
      <w:r w:rsidR="00B742B4" w:rsidRPr="00B742B4">
        <w:rPr>
          <w:i/>
          <w:iCs/>
          <w:lang w:bidi="he-IL"/>
        </w:rPr>
        <w:t>leitwort</w:t>
      </w:r>
      <w:r w:rsidR="00B742B4">
        <w:rPr>
          <w:lang w:bidi="he-IL"/>
        </w:rPr>
        <w:t xml:space="preserve">) </w:t>
      </w:r>
      <w:r w:rsidR="008A3AA9">
        <w:rPr>
          <w:lang w:bidi="he-IL"/>
        </w:rPr>
        <w:t>that appears in both</w:t>
      </w:r>
      <w:r w:rsidR="008E2D9C">
        <w:rPr>
          <w:lang w:bidi="he-IL"/>
        </w:rPr>
        <w:t>.</w:t>
      </w:r>
      <w:r w:rsidR="00AC361D">
        <w:rPr>
          <w:rStyle w:val="FootnoteReference"/>
          <w:lang w:bidi="he-IL"/>
        </w:rPr>
        <w:footnoteReference w:id="26"/>
      </w:r>
      <w:r w:rsidR="008E2D9C">
        <w:rPr>
          <w:lang w:bidi="he-IL"/>
        </w:rPr>
        <w:t xml:space="preserve"> In </w:t>
      </w:r>
      <w:r w:rsidR="007F18E5">
        <w:rPr>
          <w:lang w:bidi="he-IL"/>
        </w:rPr>
        <w:t>addition,</w:t>
      </w:r>
      <w:r w:rsidR="008E2D9C">
        <w:rPr>
          <w:lang w:bidi="he-IL"/>
        </w:rPr>
        <w:t xml:space="preserve"> he relied on </w:t>
      </w:r>
      <w:r w:rsidR="003F1F72">
        <w:rPr>
          <w:lang w:bidi="he-IL"/>
        </w:rPr>
        <w:t>similar</w:t>
      </w:r>
      <w:r w:rsidR="008A3AA9">
        <w:rPr>
          <w:lang w:bidi="he-IL"/>
        </w:rPr>
        <w:t xml:space="preserve"> content</w:t>
      </w:r>
      <w:r w:rsidR="00F5579E">
        <w:rPr>
          <w:lang w:bidi="he-IL"/>
        </w:rPr>
        <w:t xml:space="preserve">, what </w:t>
      </w:r>
      <w:proofErr w:type="spellStart"/>
      <w:r w:rsidR="00F5579E">
        <w:rPr>
          <w:lang w:bidi="he-IL"/>
        </w:rPr>
        <w:t>Rofe</w:t>
      </w:r>
      <w:proofErr w:type="spellEnd"/>
      <w:r w:rsidR="00F5579E">
        <w:rPr>
          <w:lang w:bidi="he-IL"/>
        </w:rPr>
        <w:t xml:space="preserve"> called topical juxtaposition. Sometimes, Zakovitch </w:t>
      </w:r>
      <w:r w:rsidR="00EA744C">
        <w:rPr>
          <w:lang w:bidi="he-IL"/>
        </w:rPr>
        <w:t>read two</w:t>
      </w:r>
      <w:r w:rsidR="00C5170E">
        <w:rPr>
          <w:lang w:bidi="he-IL"/>
        </w:rPr>
        <w:t xml:space="preserve"> </w:t>
      </w:r>
      <w:r w:rsidR="00103086">
        <w:rPr>
          <w:lang w:bidi="he-IL"/>
        </w:rPr>
        <w:t xml:space="preserve">neighboring </w:t>
      </w:r>
      <w:r w:rsidR="008E2D9C">
        <w:rPr>
          <w:lang w:bidi="he-IL"/>
        </w:rPr>
        <w:t xml:space="preserve">stories </w:t>
      </w:r>
      <w:r w:rsidR="00EA744C">
        <w:rPr>
          <w:lang w:bidi="he-IL"/>
        </w:rPr>
        <w:t>as</w:t>
      </w:r>
      <w:r w:rsidR="00C5170E">
        <w:rPr>
          <w:lang w:bidi="he-IL"/>
        </w:rPr>
        <w:t xml:space="preserve"> cause and result</w:t>
      </w:r>
      <w:r w:rsidR="007F18E5">
        <w:rPr>
          <w:lang w:bidi="he-IL"/>
        </w:rPr>
        <w:t xml:space="preserve">, </w:t>
      </w:r>
      <w:r w:rsidR="00F5579E">
        <w:rPr>
          <w:lang w:bidi="he-IL"/>
        </w:rPr>
        <w:t>a</w:t>
      </w:r>
      <w:r w:rsidR="007F18E5">
        <w:rPr>
          <w:lang w:bidi="he-IL"/>
        </w:rPr>
        <w:t xml:space="preserve"> </w:t>
      </w:r>
      <w:r w:rsidR="00103086">
        <w:rPr>
          <w:lang w:bidi="he-IL"/>
        </w:rPr>
        <w:t xml:space="preserve">good </w:t>
      </w:r>
      <w:r w:rsidR="007F18E5">
        <w:rPr>
          <w:lang w:bidi="he-IL"/>
        </w:rPr>
        <w:t>reason to juxtapose</w:t>
      </w:r>
      <w:r w:rsidR="00C5170E">
        <w:rPr>
          <w:lang w:bidi="he-IL"/>
        </w:rPr>
        <w:t>.</w:t>
      </w:r>
    </w:p>
    <w:p w14:paraId="60F999B4" w14:textId="77777777" w:rsidR="003B2411" w:rsidRDefault="00D74C1A" w:rsidP="00A326CE">
      <w:pPr>
        <w:rPr>
          <w:lang w:bidi="he-IL"/>
        </w:rPr>
      </w:pPr>
      <w:r>
        <w:rPr>
          <w:lang w:bidi="he-IL"/>
        </w:rPr>
        <w:t>In his commentary to the Song of Songs,</w:t>
      </w:r>
      <w:r w:rsidR="00D93E06">
        <w:rPr>
          <w:rStyle w:val="FootnoteReference"/>
          <w:lang w:bidi="he-IL"/>
        </w:rPr>
        <w:footnoteReference w:id="27"/>
      </w:r>
      <w:r>
        <w:rPr>
          <w:lang w:bidi="he-IL"/>
        </w:rPr>
        <w:t xml:space="preserve"> Zakovitch </w:t>
      </w:r>
      <w:r w:rsidR="004017B3">
        <w:rPr>
          <w:lang w:bidi="he-IL"/>
        </w:rPr>
        <w:t>cites</w:t>
      </w:r>
      <w:r>
        <w:rPr>
          <w:lang w:bidi="he-IL"/>
        </w:rPr>
        <w:t xml:space="preserve"> an article by Cassuto that shows how associative juxtaposition </w:t>
      </w:r>
      <w:r w:rsidR="00087958">
        <w:rPr>
          <w:lang w:bidi="he-IL"/>
        </w:rPr>
        <w:t xml:space="preserve">between poems </w:t>
      </w:r>
      <w:r>
        <w:rPr>
          <w:lang w:bidi="he-IL"/>
        </w:rPr>
        <w:t>affect</w:t>
      </w:r>
      <w:r w:rsidR="00087958">
        <w:rPr>
          <w:lang w:bidi="he-IL"/>
        </w:rPr>
        <w:t>s</w:t>
      </w:r>
      <w:r>
        <w:rPr>
          <w:lang w:bidi="he-IL"/>
        </w:rPr>
        <w:t xml:space="preserve"> both the</w:t>
      </w:r>
      <w:r w:rsidR="00471679">
        <w:rPr>
          <w:lang w:bidi="he-IL"/>
        </w:rPr>
        <w:t>ir</w:t>
      </w:r>
      <w:r>
        <w:rPr>
          <w:lang w:bidi="he-IL"/>
        </w:rPr>
        <w:t xml:space="preserve"> </w:t>
      </w:r>
      <w:r w:rsidR="004017B3">
        <w:rPr>
          <w:lang w:bidi="he-IL"/>
        </w:rPr>
        <w:t>order</w:t>
      </w:r>
      <w:r>
        <w:rPr>
          <w:lang w:bidi="he-IL"/>
        </w:rPr>
        <w:t xml:space="preserve"> and content.</w:t>
      </w:r>
      <w:r w:rsidR="00D93E06">
        <w:rPr>
          <w:rStyle w:val="FootnoteReference"/>
          <w:lang w:bidi="he-IL"/>
        </w:rPr>
        <w:footnoteReference w:id="28"/>
      </w:r>
      <w:r>
        <w:rPr>
          <w:lang w:bidi="he-IL"/>
        </w:rPr>
        <w:t xml:space="preserve"> </w:t>
      </w:r>
      <w:r w:rsidR="00D93E06">
        <w:rPr>
          <w:lang w:bidi="he-IL"/>
        </w:rPr>
        <w:t>So</w:t>
      </w:r>
      <w:r w:rsidR="007545DF">
        <w:rPr>
          <w:lang w:bidi="he-IL"/>
        </w:rPr>
        <w:t>,</w:t>
      </w:r>
      <w:r w:rsidR="00D93E06">
        <w:rPr>
          <w:lang w:bidi="he-IL"/>
        </w:rPr>
        <w:t xml:space="preserve"> for example</w:t>
      </w:r>
      <w:r w:rsidR="007545DF">
        <w:rPr>
          <w:lang w:bidi="he-IL"/>
        </w:rPr>
        <w:t>,</w:t>
      </w:r>
      <w:r w:rsidR="00D93E06">
        <w:rPr>
          <w:lang w:bidi="he-IL"/>
        </w:rPr>
        <w:t xml:space="preserve"> two </w:t>
      </w:r>
      <w:r w:rsidR="004175C2">
        <w:rPr>
          <w:lang w:bidi="he-IL"/>
        </w:rPr>
        <w:t>poems</w:t>
      </w:r>
      <w:r w:rsidR="00D93E06">
        <w:rPr>
          <w:lang w:bidi="he-IL"/>
        </w:rPr>
        <w:t xml:space="preserve"> in </w:t>
      </w:r>
      <w:r w:rsidR="007471BC">
        <w:rPr>
          <w:lang w:bidi="he-IL"/>
        </w:rPr>
        <w:t xml:space="preserve">Songs </w:t>
      </w:r>
      <w:r w:rsidR="004175C2">
        <w:rPr>
          <w:lang w:bidi="he-IL"/>
        </w:rPr>
        <w:t>4:</w:t>
      </w:r>
      <w:r w:rsidR="00D93E06">
        <w:rPr>
          <w:lang w:bidi="he-IL"/>
        </w:rPr>
        <w:t xml:space="preserve">1-7 and </w:t>
      </w:r>
      <w:r w:rsidR="0044727A">
        <w:rPr>
          <w:lang w:bidi="he-IL"/>
        </w:rPr>
        <w:t>4:</w:t>
      </w:r>
      <w:r w:rsidR="00D93E06">
        <w:rPr>
          <w:lang w:bidi="he-IL"/>
        </w:rPr>
        <w:t xml:space="preserve">8-11 are </w:t>
      </w:r>
      <w:r w:rsidR="004F2314">
        <w:rPr>
          <w:lang w:bidi="he-IL"/>
        </w:rPr>
        <w:t>linked</w:t>
      </w:r>
      <w:r w:rsidR="00D93E06">
        <w:rPr>
          <w:lang w:bidi="he-IL"/>
        </w:rPr>
        <w:t xml:space="preserve"> by </w:t>
      </w:r>
      <w:r w:rsidR="00197AC9">
        <w:rPr>
          <w:lang w:bidi="he-IL"/>
        </w:rPr>
        <w:t xml:space="preserve">word </w:t>
      </w:r>
      <w:r w:rsidR="00D93E06">
        <w:rPr>
          <w:lang w:bidi="he-IL"/>
        </w:rPr>
        <w:t>association</w:t>
      </w:r>
      <w:r w:rsidR="00D24B34">
        <w:rPr>
          <w:lang w:bidi="he-IL"/>
        </w:rPr>
        <w:t>. A</w:t>
      </w:r>
      <w:r w:rsidR="00D93E06">
        <w:rPr>
          <w:lang w:bidi="he-IL"/>
        </w:rPr>
        <w:t xml:space="preserve">t the conclusion of the first </w:t>
      </w:r>
      <w:r w:rsidR="00D72909">
        <w:rPr>
          <w:lang w:bidi="he-IL"/>
        </w:rPr>
        <w:t>song</w:t>
      </w:r>
      <w:r w:rsidR="00D93E06">
        <w:rPr>
          <w:lang w:bidi="he-IL"/>
        </w:rPr>
        <w:t xml:space="preserve">, </w:t>
      </w:r>
      <w:r w:rsidR="00197AC9">
        <w:rPr>
          <w:lang w:bidi="he-IL"/>
        </w:rPr>
        <w:t xml:space="preserve">4:7, </w:t>
      </w:r>
      <w:r w:rsidR="00D24B34">
        <w:rPr>
          <w:lang w:bidi="he-IL"/>
        </w:rPr>
        <w:t xml:space="preserve">having praised </w:t>
      </w:r>
      <w:r w:rsidR="002A34AD">
        <w:rPr>
          <w:lang w:bidi="he-IL"/>
        </w:rPr>
        <w:t xml:space="preserve">the body of the beloved in the </w:t>
      </w:r>
      <w:proofErr w:type="spellStart"/>
      <w:r w:rsidR="002A34AD" w:rsidRPr="00D24B34">
        <w:rPr>
          <w:i/>
          <w:iCs/>
          <w:lang w:bidi="he-IL"/>
        </w:rPr>
        <w:t>wasf</w:t>
      </w:r>
      <w:proofErr w:type="spellEnd"/>
      <w:r w:rsidR="002A34AD">
        <w:rPr>
          <w:lang w:bidi="he-IL"/>
        </w:rPr>
        <w:t xml:space="preserve"> tradition, </w:t>
      </w:r>
      <w:r w:rsidR="00507F43">
        <w:rPr>
          <w:lang w:bidi="he-IL"/>
        </w:rPr>
        <w:t xml:space="preserve">the </w:t>
      </w:r>
      <w:r w:rsidR="00D72909">
        <w:rPr>
          <w:lang w:bidi="he-IL"/>
        </w:rPr>
        <w:t>lover</w:t>
      </w:r>
      <w:r w:rsidR="00507F43">
        <w:rPr>
          <w:lang w:bidi="he-IL"/>
        </w:rPr>
        <w:t xml:space="preserve"> announces that he was off to the mountains (</w:t>
      </w:r>
      <w:r w:rsidR="00D72909">
        <w:rPr>
          <w:lang w:bidi="he-IL"/>
        </w:rPr>
        <w:t>"</w:t>
      </w:r>
      <w:r w:rsidR="00507F43">
        <w:rPr>
          <w:lang w:bidi="he-IL"/>
        </w:rPr>
        <w:t>I will betake me to the mount of myrrh</w:t>
      </w:r>
      <w:r w:rsidR="00D72909">
        <w:rPr>
          <w:lang w:bidi="he-IL"/>
        </w:rPr>
        <w:t>, To the hill of frankince</w:t>
      </w:r>
      <w:r w:rsidR="000B1E78">
        <w:rPr>
          <w:lang w:bidi="he-IL"/>
        </w:rPr>
        <w:t>n</w:t>
      </w:r>
      <w:r w:rsidR="00D72909">
        <w:rPr>
          <w:lang w:bidi="he-IL"/>
        </w:rPr>
        <w:t>s</w:t>
      </w:r>
      <w:r w:rsidR="000B1E78">
        <w:rPr>
          <w:lang w:bidi="he-IL"/>
        </w:rPr>
        <w:t>e</w:t>
      </w:r>
      <w:r w:rsidR="00D72909">
        <w:rPr>
          <w:lang w:bidi="he-IL"/>
        </w:rPr>
        <w:t>"</w:t>
      </w:r>
      <w:r w:rsidR="00507F43">
        <w:rPr>
          <w:lang w:bidi="he-IL"/>
        </w:rPr>
        <w:t>)</w:t>
      </w:r>
      <w:r w:rsidR="004017B3">
        <w:rPr>
          <w:lang w:bidi="he-IL"/>
        </w:rPr>
        <w:t>.</w:t>
      </w:r>
      <w:r w:rsidR="00507F43">
        <w:rPr>
          <w:lang w:bidi="he-IL"/>
        </w:rPr>
        <w:t xml:space="preserve"> </w:t>
      </w:r>
      <w:r w:rsidR="006E326B">
        <w:rPr>
          <w:lang w:bidi="he-IL"/>
        </w:rPr>
        <w:t>Frankincense</w:t>
      </w:r>
      <w:r w:rsidR="001A4D93">
        <w:rPr>
          <w:lang w:bidi="he-IL"/>
        </w:rPr>
        <w:t>, a spice,</w:t>
      </w:r>
      <w:r w:rsidR="006E326B">
        <w:rPr>
          <w:lang w:bidi="he-IL"/>
        </w:rPr>
        <w:t xml:space="preserve"> is Hebrew </w:t>
      </w:r>
      <w:proofErr w:type="spellStart"/>
      <w:r w:rsidR="006E326B" w:rsidRPr="006E326B">
        <w:rPr>
          <w:i/>
          <w:iCs/>
          <w:lang w:bidi="he-IL"/>
        </w:rPr>
        <w:t>levonah</w:t>
      </w:r>
      <w:proofErr w:type="spellEnd"/>
      <w:r w:rsidR="006E326B">
        <w:rPr>
          <w:lang w:bidi="he-IL"/>
        </w:rPr>
        <w:t xml:space="preserve">. </w:t>
      </w:r>
    </w:p>
    <w:p w14:paraId="7A517C78" w14:textId="2402F6DE" w:rsidR="00D74C1A" w:rsidRDefault="003D0AE3" w:rsidP="00A326CE">
      <w:pPr>
        <w:rPr>
          <w:lang w:bidi="he-IL"/>
        </w:rPr>
      </w:pPr>
      <w:r>
        <w:rPr>
          <w:lang w:bidi="he-IL"/>
        </w:rPr>
        <w:t xml:space="preserve">In the </w:t>
      </w:r>
      <w:r w:rsidR="00507F43">
        <w:rPr>
          <w:lang w:bidi="he-IL"/>
        </w:rPr>
        <w:t>next song</w:t>
      </w:r>
      <w:r w:rsidR="00A0114E">
        <w:rPr>
          <w:lang w:bidi="he-IL"/>
        </w:rPr>
        <w:t xml:space="preserve">, </w:t>
      </w:r>
      <w:r w:rsidR="005E70E0">
        <w:rPr>
          <w:lang w:bidi="he-IL"/>
        </w:rPr>
        <w:t xml:space="preserve">beginning at </w:t>
      </w:r>
      <w:r w:rsidR="00A0114E">
        <w:rPr>
          <w:lang w:bidi="he-IL"/>
        </w:rPr>
        <w:t>4:8,</w:t>
      </w:r>
      <w:r w:rsidR="00507F43">
        <w:rPr>
          <w:lang w:bidi="he-IL"/>
        </w:rPr>
        <w:t xml:space="preserve"> </w:t>
      </w:r>
      <w:r w:rsidR="001A4D93">
        <w:rPr>
          <w:lang w:bidi="he-IL"/>
        </w:rPr>
        <w:t>the lover</w:t>
      </w:r>
      <w:r w:rsidR="00507F43">
        <w:rPr>
          <w:lang w:bidi="he-IL"/>
        </w:rPr>
        <w:t xml:space="preserve"> </w:t>
      </w:r>
      <w:r w:rsidR="002B1972">
        <w:rPr>
          <w:lang w:bidi="he-IL"/>
        </w:rPr>
        <w:t xml:space="preserve">does not </w:t>
      </w:r>
      <w:r w:rsidR="00E94AF1">
        <w:rPr>
          <w:lang w:bidi="he-IL"/>
        </w:rPr>
        <w:t>go anywhere</w:t>
      </w:r>
      <w:r w:rsidR="002B1972">
        <w:rPr>
          <w:lang w:bidi="he-IL"/>
        </w:rPr>
        <w:t xml:space="preserve">; instead, he begs </w:t>
      </w:r>
      <w:r w:rsidR="00FB6AB8">
        <w:rPr>
          <w:lang w:bidi="he-IL"/>
        </w:rPr>
        <w:t>his beloved</w:t>
      </w:r>
      <w:r w:rsidR="00AC5ECC">
        <w:rPr>
          <w:lang w:bidi="he-IL"/>
        </w:rPr>
        <w:t xml:space="preserve"> to</w:t>
      </w:r>
      <w:r w:rsidR="00507F43">
        <w:rPr>
          <w:lang w:bidi="he-IL"/>
        </w:rPr>
        <w:t xml:space="preserve"> come down from the</w:t>
      </w:r>
      <w:r w:rsidR="001A4D93">
        <w:rPr>
          <w:lang w:bidi="he-IL"/>
        </w:rPr>
        <w:t xml:space="preserve"> heights </w:t>
      </w:r>
      <w:proofErr w:type="gramStart"/>
      <w:r w:rsidR="001A4D93">
        <w:rPr>
          <w:lang w:bidi="he-IL"/>
        </w:rPr>
        <w:t xml:space="preserve">of </w:t>
      </w:r>
      <w:r w:rsidR="00507F43">
        <w:rPr>
          <w:lang w:bidi="he-IL"/>
        </w:rPr>
        <w:t xml:space="preserve"> </w:t>
      </w:r>
      <w:r w:rsidR="00D72909">
        <w:rPr>
          <w:lang w:bidi="he-IL"/>
        </w:rPr>
        <w:t>Lebanon</w:t>
      </w:r>
      <w:proofErr w:type="gramEnd"/>
      <w:r w:rsidR="006E326B">
        <w:rPr>
          <w:lang w:bidi="he-IL"/>
        </w:rPr>
        <w:t>, Hebre</w:t>
      </w:r>
      <w:r w:rsidR="00626FCA">
        <w:rPr>
          <w:lang w:bidi="he-IL"/>
        </w:rPr>
        <w:t>w</w:t>
      </w:r>
      <w:r w:rsidR="006E326B">
        <w:rPr>
          <w:lang w:bidi="he-IL"/>
        </w:rPr>
        <w:t xml:space="preserve"> </w:t>
      </w:r>
      <w:proofErr w:type="spellStart"/>
      <w:r w:rsidR="006E326B" w:rsidRPr="00626FCA">
        <w:rPr>
          <w:i/>
          <w:iCs/>
          <w:lang w:bidi="he-IL"/>
        </w:rPr>
        <w:t>lev</w:t>
      </w:r>
      <w:r w:rsidR="00626FCA">
        <w:rPr>
          <w:i/>
          <w:iCs/>
          <w:lang w:bidi="he-IL"/>
        </w:rPr>
        <w:t>anon</w:t>
      </w:r>
      <w:proofErr w:type="spellEnd"/>
      <w:r w:rsidR="00420D1D">
        <w:rPr>
          <w:i/>
          <w:iCs/>
          <w:lang w:bidi="he-IL"/>
        </w:rPr>
        <w:t xml:space="preserve">, </w:t>
      </w:r>
      <w:r w:rsidR="00420D1D" w:rsidRPr="00D91D33">
        <w:rPr>
          <w:lang w:bidi="he-IL"/>
        </w:rPr>
        <w:t>to be with him</w:t>
      </w:r>
      <w:r w:rsidR="001A4D93">
        <w:rPr>
          <w:i/>
          <w:iCs/>
          <w:lang w:bidi="he-IL"/>
        </w:rPr>
        <w:t xml:space="preserve"> </w:t>
      </w:r>
      <w:r w:rsidR="00507F43">
        <w:rPr>
          <w:lang w:bidi="he-IL"/>
        </w:rPr>
        <w:t xml:space="preserve"> </w:t>
      </w:r>
      <w:r w:rsidR="000B1E78">
        <w:rPr>
          <w:lang w:bidi="he-IL"/>
        </w:rPr>
        <w:t>("From Lebanon come with me").</w:t>
      </w:r>
      <w:r w:rsidR="00D72909">
        <w:rPr>
          <w:lang w:bidi="he-IL"/>
        </w:rPr>
        <w:t xml:space="preserve"> </w:t>
      </w:r>
      <w:r w:rsidR="00BB08A0">
        <w:rPr>
          <w:lang w:bidi="he-IL"/>
        </w:rPr>
        <w:t>For Cassuto, t</w:t>
      </w:r>
      <w:r w:rsidR="00D72909">
        <w:rPr>
          <w:lang w:bidi="he-IL"/>
        </w:rPr>
        <w:t xml:space="preserve">he wordplay </w:t>
      </w:r>
      <w:proofErr w:type="spellStart"/>
      <w:r w:rsidR="00FB6AB8" w:rsidRPr="00940955">
        <w:rPr>
          <w:i/>
          <w:iCs/>
          <w:lang w:bidi="he-IL"/>
        </w:rPr>
        <w:t>levonah</w:t>
      </w:r>
      <w:proofErr w:type="spellEnd"/>
      <w:r w:rsidR="00FB6AB8">
        <w:rPr>
          <w:lang w:bidi="he-IL"/>
        </w:rPr>
        <w:t xml:space="preserve"> – </w:t>
      </w:r>
      <w:proofErr w:type="spellStart"/>
      <w:r w:rsidR="00FB6AB8" w:rsidRPr="00940955">
        <w:rPr>
          <w:i/>
          <w:iCs/>
          <w:lang w:bidi="he-IL"/>
        </w:rPr>
        <w:t>levanon</w:t>
      </w:r>
      <w:proofErr w:type="spellEnd"/>
      <w:r w:rsidR="00FB6AB8">
        <w:rPr>
          <w:lang w:bidi="he-IL"/>
        </w:rPr>
        <w:t xml:space="preserve"> </w:t>
      </w:r>
      <w:r w:rsidR="00940955">
        <w:rPr>
          <w:lang w:bidi="he-IL"/>
        </w:rPr>
        <w:t>determined th</w:t>
      </w:r>
      <w:r w:rsidR="00420D1D">
        <w:rPr>
          <w:lang w:bidi="he-IL"/>
        </w:rPr>
        <w:t>at these two poems</w:t>
      </w:r>
      <w:r w:rsidR="001B2A44">
        <w:rPr>
          <w:lang w:bidi="he-IL"/>
        </w:rPr>
        <w:t xml:space="preserve"> should</w:t>
      </w:r>
      <w:r w:rsidR="00420D1D">
        <w:rPr>
          <w:lang w:bidi="he-IL"/>
        </w:rPr>
        <w:t xml:space="preserve"> </w:t>
      </w:r>
      <w:r w:rsidR="001B2A44">
        <w:rPr>
          <w:lang w:bidi="he-IL"/>
        </w:rPr>
        <w:t>follow one another</w:t>
      </w:r>
      <w:r>
        <w:rPr>
          <w:lang w:bidi="he-IL"/>
        </w:rPr>
        <w:t>.</w:t>
      </w:r>
      <w:r w:rsidR="007864A8">
        <w:rPr>
          <w:lang w:bidi="he-IL"/>
        </w:rPr>
        <w:t xml:space="preserve"> </w:t>
      </w:r>
      <w:r w:rsidR="007F52BF">
        <w:rPr>
          <w:lang w:bidi="he-IL"/>
        </w:rPr>
        <w:t>So far as the meaning of the juxtaposition, t</w:t>
      </w:r>
      <w:r>
        <w:rPr>
          <w:lang w:bidi="he-IL"/>
        </w:rPr>
        <w:t>he astute reader</w:t>
      </w:r>
      <w:r w:rsidR="007F52BF">
        <w:rPr>
          <w:lang w:bidi="he-IL"/>
        </w:rPr>
        <w:t xml:space="preserve"> who has</w:t>
      </w:r>
      <w:r w:rsidR="00685447">
        <w:rPr>
          <w:lang w:bidi="he-IL"/>
        </w:rPr>
        <w:t xml:space="preserve"> both poems in front of him</w:t>
      </w:r>
      <w:r>
        <w:rPr>
          <w:lang w:bidi="he-IL"/>
        </w:rPr>
        <w:t xml:space="preserve"> </w:t>
      </w:r>
      <w:r w:rsidR="0044727A">
        <w:rPr>
          <w:lang w:bidi="he-IL"/>
        </w:rPr>
        <w:t xml:space="preserve">may </w:t>
      </w:r>
      <w:r w:rsidR="007F6E71">
        <w:rPr>
          <w:lang w:bidi="he-IL"/>
        </w:rPr>
        <w:t xml:space="preserve">suddenly </w:t>
      </w:r>
      <w:r w:rsidR="00BC03D4">
        <w:rPr>
          <w:lang w:bidi="he-IL"/>
        </w:rPr>
        <w:t>realize</w:t>
      </w:r>
      <w:r w:rsidR="005E004F">
        <w:rPr>
          <w:lang w:bidi="he-IL"/>
        </w:rPr>
        <w:t xml:space="preserve"> that the hills and dale</w:t>
      </w:r>
      <w:r w:rsidR="006363B9">
        <w:rPr>
          <w:lang w:bidi="he-IL"/>
        </w:rPr>
        <w:t>s</w:t>
      </w:r>
      <w:r w:rsidR="00D1741F">
        <w:rPr>
          <w:lang w:bidi="he-IL"/>
        </w:rPr>
        <w:t xml:space="preserve"> being</w:t>
      </w:r>
      <w:r w:rsidR="005E004F">
        <w:rPr>
          <w:lang w:bidi="he-IL"/>
        </w:rPr>
        <w:t xml:space="preserve"> </w:t>
      </w:r>
      <w:r w:rsidR="00685447">
        <w:rPr>
          <w:lang w:bidi="he-IL"/>
        </w:rPr>
        <w:t xml:space="preserve">described </w:t>
      </w:r>
      <w:r w:rsidR="007F6E71">
        <w:rPr>
          <w:lang w:bidi="he-IL"/>
        </w:rPr>
        <w:t>are</w:t>
      </w:r>
      <w:r w:rsidR="00685447">
        <w:rPr>
          <w:lang w:bidi="he-IL"/>
        </w:rPr>
        <w:t xml:space="preserve"> not panoramic vi</w:t>
      </w:r>
      <w:r w:rsidR="00781B0F">
        <w:rPr>
          <w:lang w:bidi="he-IL"/>
        </w:rPr>
        <w:t xml:space="preserve">ews </w:t>
      </w:r>
      <w:r w:rsidR="00B27750">
        <w:rPr>
          <w:lang w:bidi="he-IL"/>
        </w:rPr>
        <w:t xml:space="preserve">of the countryside </w:t>
      </w:r>
      <w:r w:rsidR="00781B0F">
        <w:rPr>
          <w:lang w:bidi="he-IL"/>
        </w:rPr>
        <w:t>but</w:t>
      </w:r>
      <w:r w:rsidR="00B27750">
        <w:rPr>
          <w:lang w:bidi="he-IL"/>
        </w:rPr>
        <w:t xml:space="preserve"> rather</w:t>
      </w:r>
      <w:r w:rsidR="005E004F">
        <w:rPr>
          <w:lang w:bidi="he-IL"/>
        </w:rPr>
        <w:t xml:space="preserve"> </w:t>
      </w:r>
      <w:r w:rsidR="00192C0F">
        <w:rPr>
          <w:lang w:bidi="he-IL"/>
        </w:rPr>
        <w:t>further</w:t>
      </w:r>
      <w:r w:rsidR="007A16F8">
        <w:rPr>
          <w:lang w:bidi="he-IL"/>
        </w:rPr>
        <w:t xml:space="preserve"> </w:t>
      </w:r>
      <w:r w:rsidR="00101EBC">
        <w:rPr>
          <w:lang w:bidi="he-IL"/>
        </w:rPr>
        <w:t>references</w:t>
      </w:r>
      <w:r w:rsidR="00192C0F">
        <w:rPr>
          <w:lang w:bidi="he-IL"/>
        </w:rPr>
        <w:t xml:space="preserve"> to the body </w:t>
      </w:r>
      <w:r w:rsidR="009875BF">
        <w:rPr>
          <w:lang w:bidi="he-IL"/>
        </w:rPr>
        <w:t xml:space="preserve">of his beloved </w:t>
      </w:r>
      <w:r w:rsidR="00174FCE">
        <w:rPr>
          <w:lang w:bidi="he-IL"/>
        </w:rPr>
        <w:t>close at hand</w:t>
      </w:r>
      <w:r w:rsidR="00D72909">
        <w:rPr>
          <w:lang w:bidi="he-IL"/>
        </w:rPr>
        <w:t>.</w:t>
      </w:r>
      <w:r w:rsidR="00D72909">
        <w:rPr>
          <w:rStyle w:val="FootnoteReference"/>
          <w:lang w:bidi="he-IL"/>
        </w:rPr>
        <w:footnoteReference w:id="29"/>
      </w:r>
      <w:r w:rsidR="00D72909">
        <w:rPr>
          <w:lang w:bidi="he-IL"/>
        </w:rPr>
        <w:t xml:space="preserve"> </w:t>
      </w:r>
      <w:r w:rsidR="00507F43">
        <w:rPr>
          <w:lang w:bidi="he-IL"/>
        </w:rPr>
        <w:t xml:space="preserve"> </w:t>
      </w:r>
      <w:r w:rsidR="00D93E06">
        <w:rPr>
          <w:lang w:bidi="he-IL"/>
        </w:rPr>
        <w:t xml:space="preserve"> </w:t>
      </w:r>
    </w:p>
    <w:p w14:paraId="2321051A" w14:textId="02538B23" w:rsidR="005F2D64" w:rsidRPr="00234930" w:rsidRDefault="008E2D9C" w:rsidP="00632780">
      <w:pPr>
        <w:rPr>
          <w:lang w:bidi="he-IL"/>
        </w:rPr>
      </w:pPr>
      <w:r>
        <w:rPr>
          <w:lang w:bidi="he-IL"/>
        </w:rPr>
        <w:t xml:space="preserve">Zakovitch </w:t>
      </w:r>
      <w:r w:rsidR="00C5170E">
        <w:rPr>
          <w:lang w:bidi="he-IL"/>
        </w:rPr>
        <w:t>believes that the editor</w:t>
      </w:r>
      <w:r w:rsidR="00C21360">
        <w:rPr>
          <w:lang w:bidi="he-IL"/>
        </w:rPr>
        <w:t>s</w:t>
      </w:r>
      <w:r w:rsidR="00C5170E">
        <w:rPr>
          <w:lang w:bidi="he-IL"/>
        </w:rPr>
        <w:t xml:space="preserve"> of the Bible intentionally arranged the pericopes so that additional message</w:t>
      </w:r>
      <w:r w:rsidR="00B903F0">
        <w:rPr>
          <w:lang w:bidi="he-IL"/>
        </w:rPr>
        <w:t>s</w:t>
      </w:r>
      <w:r w:rsidR="00C5170E">
        <w:rPr>
          <w:lang w:bidi="he-IL"/>
        </w:rPr>
        <w:t xml:space="preserve"> could be conveyed by adjacency. </w:t>
      </w:r>
      <w:r>
        <w:rPr>
          <w:lang w:bidi="he-IL"/>
        </w:rPr>
        <w:t xml:space="preserve">He speculates that words </w:t>
      </w:r>
      <w:r w:rsidR="0096646A">
        <w:rPr>
          <w:lang w:bidi="he-IL"/>
        </w:rPr>
        <w:t xml:space="preserve">in the text </w:t>
      </w:r>
      <w:r>
        <w:rPr>
          <w:lang w:bidi="he-IL"/>
        </w:rPr>
        <w:t xml:space="preserve">were changed by the </w:t>
      </w:r>
      <w:r>
        <w:rPr>
          <w:lang w:bidi="he-IL"/>
        </w:rPr>
        <w:lastRenderedPageBreak/>
        <w:t xml:space="preserve">editor in order to </w:t>
      </w:r>
      <w:r w:rsidR="008B0CBD">
        <w:rPr>
          <w:lang w:bidi="he-IL"/>
        </w:rPr>
        <w:t xml:space="preserve">draw successive </w:t>
      </w:r>
      <w:r>
        <w:rPr>
          <w:lang w:bidi="he-IL"/>
        </w:rPr>
        <w:t>paragraphs</w:t>
      </w:r>
      <w:r w:rsidR="008B0CBD">
        <w:rPr>
          <w:lang w:bidi="he-IL"/>
        </w:rPr>
        <w:t xml:space="preserve"> even closer</w:t>
      </w:r>
      <w:r>
        <w:rPr>
          <w:lang w:bidi="he-IL"/>
        </w:rPr>
        <w:t>.</w:t>
      </w:r>
      <w:r>
        <w:rPr>
          <w:rStyle w:val="FootnoteReference"/>
          <w:lang w:bidi="he-IL"/>
        </w:rPr>
        <w:footnoteReference w:id="30"/>
      </w:r>
      <w:r>
        <w:rPr>
          <w:lang w:bidi="he-IL"/>
        </w:rPr>
        <w:t xml:space="preserve"> </w:t>
      </w:r>
      <w:r w:rsidR="00C5170E">
        <w:rPr>
          <w:lang w:bidi="he-IL"/>
        </w:rPr>
        <w:t xml:space="preserve">This </w:t>
      </w:r>
      <w:r w:rsidR="008B0CBD">
        <w:rPr>
          <w:lang w:bidi="he-IL"/>
        </w:rPr>
        <w:t>would make</w:t>
      </w:r>
      <w:r w:rsidR="00A3573D">
        <w:rPr>
          <w:lang w:bidi="he-IL"/>
        </w:rPr>
        <w:t xml:space="preserve"> associative</w:t>
      </w:r>
      <w:r w:rsidR="00C5170E">
        <w:rPr>
          <w:lang w:bidi="he-IL"/>
        </w:rPr>
        <w:t xml:space="preserve"> juxtaposition a </w:t>
      </w:r>
      <w:r w:rsidR="008B0CBD">
        <w:rPr>
          <w:lang w:bidi="he-IL"/>
        </w:rPr>
        <w:t xml:space="preserve">textual </w:t>
      </w:r>
      <w:r w:rsidR="00C5170E">
        <w:rPr>
          <w:lang w:bidi="he-IL"/>
        </w:rPr>
        <w:t xml:space="preserve">feature and as such, the proper deciphering of </w:t>
      </w:r>
      <w:r w:rsidR="008B0CBD">
        <w:rPr>
          <w:lang w:bidi="he-IL"/>
        </w:rPr>
        <w:t>its</w:t>
      </w:r>
      <w:r w:rsidR="00C5170E">
        <w:rPr>
          <w:lang w:bidi="he-IL"/>
        </w:rPr>
        <w:t xml:space="preserve"> message m</w:t>
      </w:r>
      <w:r w:rsidR="00D477A6">
        <w:rPr>
          <w:lang w:bidi="he-IL"/>
        </w:rPr>
        <w:t>ay</w:t>
      </w:r>
      <w:r w:rsidR="00C5170E">
        <w:rPr>
          <w:lang w:bidi="he-IL"/>
        </w:rPr>
        <w:t xml:space="preserve"> be considered </w:t>
      </w:r>
      <w:proofErr w:type="spellStart"/>
      <w:r w:rsidR="00C5170E" w:rsidRPr="00C5170E">
        <w:rPr>
          <w:i/>
          <w:iCs/>
          <w:lang w:bidi="he-IL"/>
        </w:rPr>
        <w:t>peshuto</w:t>
      </w:r>
      <w:proofErr w:type="spellEnd"/>
      <w:r w:rsidR="00C5170E" w:rsidRPr="00C5170E">
        <w:rPr>
          <w:i/>
          <w:iCs/>
          <w:lang w:bidi="he-IL"/>
        </w:rPr>
        <w:t xml:space="preserve"> </w:t>
      </w:r>
      <w:proofErr w:type="spellStart"/>
      <w:r w:rsidR="00C5170E" w:rsidRPr="00C5170E">
        <w:rPr>
          <w:i/>
          <w:iCs/>
          <w:lang w:bidi="he-IL"/>
        </w:rPr>
        <w:t>shel</w:t>
      </w:r>
      <w:proofErr w:type="spellEnd"/>
      <w:r w:rsidR="00C5170E" w:rsidRPr="00C5170E">
        <w:rPr>
          <w:i/>
          <w:iCs/>
          <w:lang w:bidi="he-IL"/>
        </w:rPr>
        <w:t xml:space="preserve"> miqra</w:t>
      </w:r>
      <w:r w:rsidR="00C5170E">
        <w:rPr>
          <w:lang w:bidi="he-IL"/>
        </w:rPr>
        <w:t xml:space="preserve">, the simple </w:t>
      </w:r>
      <w:r w:rsidR="001527FB">
        <w:rPr>
          <w:lang w:bidi="he-IL"/>
        </w:rPr>
        <w:t>intended</w:t>
      </w:r>
      <w:r w:rsidR="00C5170E">
        <w:rPr>
          <w:lang w:bidi="he-IL"/>
        </w:rPr>
        <w:t xml:space="preserve"> meaning.</w:t>
      </w:r>
      <w:r w:rsidR="00D477A6">
        <w:rPr>
          <w:lang w:bidi="he-IL"/>
        </w:rPr>
        <w:t xml:space="preserve"> However, Zakovitch admits that “differentiating between substantive juxtaposition and that which has no meaning is not an easy call</w:t>
      </w:r>
      <w:r w:rsidR="001527FB">
        <w:rPr>
          <w:lang w:bidi="he-IL"/>
        </w:rPr>
        <w:t>.</w:t>
      </w:r>
      <w:r w:rsidR="00D477A6">
        <w:rPr>
          <w:lang w:bidi="he-IL"/>
        </w:rPr>
        <w:t>”</w:t>
      </w:r>
      <w:r w:rsidR="001527FB">
        <w:rPr>
          <w:rStyle w:val="FootnoteReference"/>
          <w:lang w:bidi="he-IL"/>
        </w:rPr>
        <w:footnoteReference w:id="31"/>
      </w:r>
      <w:r w:rsidR="00D477A6">
        <w:rPr>
          <w:lang w:bidi="he-IL"/>
        </w:rPr>
        <w:t xml:space="preserve"> </w:t>
      </w:r>
      <w:r w:rsidR="001527FB">
        <w:rPr>
          <w:lang w:bidi="he-IL"/>
        </w:rPr>
        <w:t>U</w:t>
      </w:r>
      <w:r w:rsidR="00D477A6">
        <w:rPr>
          <w:lang w:bidi="he-IL"/>
        </w:rPr>
        <w:t>nlike the meaning of a verse or story wh</w:t>
      </w:r>
      <w:r w:rsidR="001527FB">
        <w:rPr>
          <w:lang w:bidi="he-IL"/>
        </w:rPr>
        <w:t xml:space="preserve">ich is supported by </w:t>
      </w:r>
      <w:r w:rsidR="00D477A6">
        <w:rPr>
          <w:lang w:bidi="he-IL"/>
        </w:rPr>
        <w:t>the context</w:t>
      </w:r>
      <w:r w:rsidR="001527FB">
        <w:rPr>
          <w:lang w:bidi="he-IL"/>
        </w:rPr>
        <w:t>, the grammar,</w:t>
      </w:r>
      <w:r w:rsidR="00D477A6">
        <w:rPr>
          <w:lang w:bidi="he-IL"/>
        </w:rPr>
        <w:t xml:space="preserve"> and many other factor</w:t>
      </w:r>
      <w:r w:rsidR="00DD1786">
        <w:rPr>
          <w:lang w:bidi="he-IL"/>
        </w:rPr>
        <w:t>s, the</w:t>
      </w:r>
      <w:r w:rsidR="00D477A6">
        <w:rPr>
          <w:lang w:bidi="he-IL"/>
        </w:rPr>
        <w:t xml:space="preserve">re are few aids to the meaning </w:t>
      </w:r>
      <w:r w:rsidR="005E2A50">
        <w:rPr>
          <w:lang w:bidi="he-IL"/>
        </w:rPr>
        <w:t>of juxtaposition</w:t>
      </w:r>
      <w:r w:rsidR="007053BC">
        <w:rPr>
          <w:i/>
          <w:iCs/>
          <w:lang w:bidi="he-IL"/>
        </w:rPr>
        <w:t xml:space="preserve">. </w:t>
      </w:r>
      <w:r w:rsidR="0096646A">
        <w:rPr>
          <w:lang w:bidi="he-IL"/>
        </w:rPr>
        <w:t>Zakovitch</w:t>
      </w:r>
      <w:r w:rsidR="005F2D64">
        <w:rPr>
          <w:lang w:bidi="he-IL"/>
        </w:rPr>
        <w:t xml:space="preserve"> </w:t>
      </w:r>
      <w:r w:rsidR="005F2D64" w:rsidRPr="00192845">
        <w:rPr>
          <w:lang w:bidi="he-IL"/>
        </w:rPr>
        <w:t xml:space="preserve">attempts to distinguish between the “authentic” messages of juxtaposition and the midrashic homilies which try to explain it. </w:t>
      </w:r>
      <w:r w:rsidR="008E69B9">
        <w:rPr>
          <w:lang w:bidi="he-IL"/>
        </w:rPr>
        <w:t>It is best left to the judgment of the reader</w:t>
      </w:r>
      <w:r w:rsidR="008E69B9" w:rsidRPr="00192845">
        <w:rPr>
          <w:lang w:bidi="he-IL"/>
        </w:rPr>
        <w:t xml:space="preserve"> </w:t>
      </w:r>
      <w:r w:rsidR="008E69B9">
        <w:rPr>
          <w:lang w:bidi="he-IL"/>
        </w:rPr>
        <w:t xml:space="preserve">whether </w:t>
      </w:r>
      <w:proofErr w:type="spellStart"/>
      <w:r w:rsidR="006F366A">
        <w:rPr>
          <w:lang w:bidi="he-IL"/>
        </w:rPr>
        <w:t>Zakovitch’s</w:t>
      </w:r>
      <w:proofErr w:type="spellEnd"/>
      <w:r w:rsidR="008E69B9">
        <w:rPr>
          <w:lang w:bidi="he-IL"/>
        </w:rPr>
        <w:t xml:space="preserve"> explanations o</w:t>
      </w:r>
      <w:r w:rsidR="00292B96">
        <w:rPr>
          <w:lang w:bidi="he-IL"/>
        </w:rPr>
        <w:t>f</w:t>
      </w:r>
      <w:r w:rsidR="005F2D64" w:rsidRPr="00192845">
        <w:rPr>
          <w:lang w:bidi="he-IL"/>
        </w:rPr>
        <w:t xml:space="preserve"> juxtaposition </w:t>
      </w:r>
      <w:r w:rsidR="001709EC">
        <w:rPr>
          <w:lang w:bidi="he-IL"/>
        </w:rPr>
        <w:t xml:space="preserve">qualify as </w:t>
      </w:r>
      <w:r w:rsidR="005F2D64" w:rsidRPr="00192845">
        <w:rPr>
          <w:lang w:bidi="he-IL"/>
        </w:rPr>
        <w:t xml:space="preserve">the simple </w:t>
      </w:r>
      <w:r w:rsidR="003C7B33">
        <w:rPr>
          <w:lang w:bidi="he-IL"/>
        </w:rPr>
        <w:t>meaning or</w:t>
      </w:r>
      <w:r w:rsidR="006F366A">
        <w:rPr>
          <w:lang w:bidi="he-IL"/>
        </w:rPr>
        <w:t xml:space="preserve"> are they rather </w:t>
      </w:r>
      <w:r w:rsidR="00F01DEB">
        <w:rPr>
          <w:lang w:bidi="he-IL"/>
        </w:rPr>
        <w:t>modern Midrash</w:t>
      </w:r>
      <w:r w:rsidR="00AA20C9">
        <w:rPr>
          <w:lang w:bidi="he-IL"/>
        </w:rPr>
        <w:t>.</w:t>
      </w:r>
    </w:p>
    <w:p w14:paraId="44CD7383" w14:textId="09DA92F1" w:rsidR="00632780" w:rsidRDefault="00632780" w:rsidP="00632780">
      <w:pPr>
        <w:tabs>
          <w:tab w:val="left" w:pos="6363"/>
        </w:tabs>
      </w:pPr>
    </w:p>
    <w:p w14:paraId="2C9CC72A" w14:textId="77777777" w:rsidR="004965BD" w:rsidRPr="004965BD" w:rsidRDefault="004965BD" w:rsidP="004965BD">
      <w:pPr>
        <w:tabs>
          <w:tab w:val="left" w:pos="6363"/>
        </w:tabs>
        <w:rPr>
          <w:b/>
          <w:bCs/>
        </w:rPr>
      </w:pPr>
      <w:r>
        <w:rPr>
          <w:rFonts w:cs="Arial"/>
          <w:b/>
          <w:bCs/>
        </w:rPr>
        <w:t>H</w:t>
      </w:r>
      <w:r w:rsidRPr="004965BD">
        <w:rPr>
          <w:rFonts w:cs="Arial"/>
          <w:b/>
          <w:bCs/>
        </w:rPr>
        <w:t>istorical-</w:t>
      </w:r>
      <w:r>
        <w:rPr>
          <w:rFonts w:cs="Arial"/>
          <w:b/>
          <w:bCs/>
        </w:rPr>
        <w:t>C</w:t>
      </w:r>
      <w:r w:rsidRPr="004965BD">
        <w:rPr>
          <w:rFonts w:cs="Arial"/>
          <w:b/>
          <w:bCs/>
        </w:rPr>
        <w:t xml:space="preserve">ritical </w:t>
      </w:r>
      <w:r>
        <w:rPr>
          <w:rFonts w:cs="Arial"/>
          <w:b/>
          <w:bCs/>
        </w:rPr>
        <w:t>S</w:t>
      </w:r>
      <w:r w:rsidRPr="004965BD">
        <w:rPr>
          <w:rFonts w:cs="Arial"/>
          <w:b/>
          <w:bCs/>
        </w:rPr>
        <w:t>cholarship</w:t>
      </w:r>
    </w:p>
    <w:p w14:paraId="15916B9B" w14:textId="0F91828C" w:rsidR="003C4EA4" w:rsidRPr="00192845" w:rsidRDefault="003C4EA4" w:rsidP="00B723F5">
      <w:pPr>
        <w:spacing w:after="120"/>
        <w:rPr>
          <w:rFonts w:cs="Arial"/>
        </w:rPr>
      </w:pPr>
      <w:r w:rsidRPr="00192845">
        <w:rPr>
          <w:rFonts w:cs="Arial"/>
        </w:rPr>
        <w:t xml:space="preserve">Classic historical-critical scholarship of the Bible views instances of non-chronological order as “corruptions” that came about during the editing process and gives itself license </w:t>
      </w:r>
      <w:proofErr w:type="gramStart"/>
      <w:r w:rsidRPr="00192845">
        <w:rPr>
          <w:rFonts w:cs="Arial"/>
        </w:rPr>
        <w:t>to</w:t>
      </w:r>
      <w:proofErr w:type="gramEnd"/>
      <w:r w:rsidRPr="00192845">
        <w:rPr>
          <w:rFonts w:cs="Arial"/>
        </w:rPr>
        <w:t xml:space="preserve"> “correct” them. The intent of the Bible is to render all its events chronologically and any diversion from this rule</w:t>
      </w:r>
      <w:r w:rsidR="004965BD">
        <w:rPr>
          <w:rFonts w:cs="Arial"/>
        </w:rPr>
        <w:t xml:space="preserve"> is suspect as error. Rabbi Cha</w:t>
      </w:r>
      <w:r w:rsidRPr="00192845">
        <w:rPr>
          <w:rFonts w:cs="Arial"/>
        </w:rPr>
        <w:t>im Hirschenso</w:t>
      </w:r>
      <w:r w:rsidR="004965BD">
        <w:rPr>
          <w:rFonts w:cs="Arial"/>
        </w:rPr>
        <w:t>h</w:t>
      </w:r>
      <w:r w:rsidRPr="00192845">
        <w:rPr>
          <w:rFonts w:cs="Arial"/>
        </w:rPr>
        <w:t>n</w:t>
      </w:r>
      <w:r w:rsidR="004965BD">
        <w:rPr>
          <w:rFonts w:cs="Arial"/>
        </w:rPr>
        <w:t xml:space="preserve"> (1857-1935)</w:t>
      </w:r>
      <w:r w:rsidRPr="00192845">
        <w:rPr>
          <w:rFonts w:cs="Arial"/>
        </w:rPr>
        <w:t xml:space="preserve">, in his book </w:t>
      </w:r>
      <w:r w:rsidRPr="00192845">
        <w:rPr>
          <w:rFonts w:cs="Arial"/>
          <w:i/>
          <w:iCs/>
        </w:rPr>
        <w:t xml:space="preserve">Seder </w:t>
      </w:r>
      <w:proofErr w:type="spellStart"/>
      <w:r w:rsidRPr="00192845">
        <w:rPr>
          <w:rFonts w:cs="Arial"/>
          <w:i/>
          <w:iCs/>
        </w:rPr>
        <w:t>Lamikra</w:t>
      </w:r>
      <w:proofErr w:type="spellEnd"/>
      <w:r w:rsidRPr="00192845">
        <w:rPr>
          <w:rFonts w:cs="Arial"/>
        </w:rPr>
        <w:t xml:space="preserve"> (</w:t>
      </w:r>
      <w:r w:rsidRPr="00192845">
        <w:rPr>
          <w:rFonts w:cs="Arial"/>
          <w:i/>
          <w:iCs/>
        </w:rPr>
        <w:t>Order in the Bible</w:t>
      </w:r>
      <w:r w:rsidRPr="00192845">
        <w:rPr>
          <w:rFonts w:cs="Arial"/>
        </w:rPr>
        <w:t xml:space="preserve">) also sought to rearrange biblical events </w:t>
      </w:r>
      <w:r w:rsidR="002F4548">
        <w:rPr>
          <w:rFonts w:cs="Arial"/>
        </w:rPr>
        <w:t xml:space="preserve">and place them </w:t>
      </w:r>
      <w:r w:rsidRPr="00192845">
        <w:rPr>
          <w:rFonts w:cs="Arial"/>
        </w:rPr>
        <w:t>in chronological order.</w:t>
      </w:r>
      <w:r w:rsidRPr="00192845">
        <w:rPr>
          <w:rStyle w:val="FootnoteReference"/>
          <w:rFonts w:cs="Arial"/>
        </w:rPr>
        <w:footnoteReference w:id="32"/>
      </w:r>
      <w:r w:rsidRPr="00192845">
        <w:rPr>
          <w:rFonts w:cs="Arial"/>
        </w:rPr>
        <w:t xml:space="preserve">  </w:t>
      </w:r>
      <w:r w:rsidR="004965BD" w:rsidRPr="00192845">
        <w:rPr>
          <w:rFonts w:cs="Arial"/>
        </w:rPr>
        <w:t>Hirschensohn</w:t>
      </w:r>
      <w:r w:rsidRPr="00192845">
        <w:rPr>
          <w:rFonts w:cs="Arial"/>
        </w:rPr>
        <w:t xml:space="preserve"> believed that the Bible was originally arranged in this way, but was corrupted during the exile that followed the destruction of the </w:t>
      </w:r>
      <w:r w:rsidRPr="004F5169">
        <w:rPr>
          <w:rFonts w:cs="Arial"/>
        </w:rPr>
        <w:t>First Temple.</w:t>
      </w:r>
      <w:r w:rsidR="004965BD">
        <w:rPr>
          <w:rStyle w:val="FootnoteReference"/>
          <w:rFonts w:cs="Arial"/>
        </w:rPr>
        <w:footnoteReference w:id="33"/>
      </w:r>
      <w:r w:rsidRPr="00192845">
        <w:rPr>
          <w:rFonts w:cs="Arial"/>
        </w:rPr>
        <w:t xml:space="preserve">  Despite extreme differences in approach</w:t>
      </w:r>
      <w:r w:rsidRPr="00192845">
        <w:rPr>
          <w:rFonts w:eastAsia="Arial Unicode MS" w:cs="Arial"/>
        </w:rPr>
        <w:t>—</w:t>
      </w:r>
      <w:r w:rsidR="004965BD" w:rsidRPr="00192845">
        <w:rPr>
          <w:rFonts w:cs="Arial"/>
        </w:rPr>
        <w:t>H</w:t>
      </w:r>
      <w:r w:rsidR="00F75454">
        <w:rPr>
          <w:rFonts w:cs="Arial"/>
        </w:rPr>
        <w:t>i</w:t>
      </w:r>
      <w:r w:rsidR="004965BD" w:rsidRPr="00192845">
        <w:rPr>
          <w:rFonts w:cs="Arial"/>
        </w:rPr>
        <w:t>rschensohn</w:t>
      </w:r>
      <w:r w:rsidRPr="00192845">
        <w:rPr>
          <w:rFonts w:cs="Arial"/>
        </w:rPr>
        <w:t xml:space="preserve"> wa</w:t>
      </w:r>
      <w:r w:rsidR="004965BD">
        <w:rPr>
          <w:rFonts w:cs="Arial"/>
        </w:rPr>
        <w:t xml:space="preserve">s out </w:t>
      </w:r>
      <w:r w:rsidRPr="00192845">
        <w:rPr>
          <w:rFonts w:cs="Arial"/>
        </w:rPr>
        <w:t xml:space="preserve">to prove that the </w:t>
      </w:r>
      <w:r w:rsidR="004965BD">
        <w:rPr>
          <w:rFonts w:cs="Arial"/>
        </w:rPr>
        <w:t>historical-</w:t>
      </w:r>
      <w:r w:rsidRPr="00192845">
        <w:rPr>
          <w:rFonts w:cs="Arial"/>
        </w:rPr>
        <w:t xml:space="preserve">critical </w:t>
      </w:r>
      <w:r w:rsidR="004965BD">
        <w:rPr>
          <w:rFonts w:cs="Arial"/>
        </w:rPr>
        <w:t>method</w:t>
      </w:r>
      <w:r w:rsidRPr="00192845">
        <w:rPr>
          <w:rFonts w:cs="Arial"/>
        </w:rPr>
        <w:t xml:space="preserve"> was in error</w:t>
      </w:r>
      <w:r w:rsidRPr="00192845">
        <w:rPr>
          <w:rFonts w:eastAsia="Arial Unicode MS" w:cs="Arial"/>
        </w:rPr>
        <w:t>—</w:t>
      </w:r>
      <w:r w:rsidRPr="00192845">
        <w:rPr>
          <w:rFonts w:cs="Arial"/>
        </w:rPr>
        <w:t>both the critic</w:t>
      </w:r>
      <w:r w:rsidR="00D27E01">
        <w:rPr>
          <w:rFonts w:cs="Arial"/>
        </w:rPr>
        <w:t>s</w:t>
      </w:r>
      <w:r w:rsidRPr="00192845">
        <w:rPr>
          <w:rFonts w:cs="Arial"/>
        </w:rPr>
        <w:t xml:space="preserve"> and </w:t>
      </w:r>
      <w:r w:rsidR="004965BD" w:rsidRPr="00192845">
        <w:rPr>
          <w:rFonts w:cs="Arial"/>
        </w:rPr>
        <w:t>H</w:t>
      </w:r>
      <w:r w:rsidR="00F75454">
        <w:rPr>
          <w:rFonts w:cs="Arial"/>
        </w:rPr>
        <w:t>i</w:t>
      </w:r>
      <w:r w:rsidR="004965BD" w:rsidRPr="00192845">
        <w:rPr>
          <w:rFonts w:cs="Arial"/>
        </w:rPr>
        <w:t>rschenso</w:t>
      </w:r>
      <w:r w:rsidR="004965BD">
        <w:rPr>
          <w:rFonts w:cs="Arial"/>
        </w:rPr>
        <w:t>h</w:t>
      </w:r>
      <w:r w:rsidR="004965BD" w:rsidRPr="00192845">
        <w:rPr>
          <w:rFonts w:cs="Arial"/>
        </w:rPr>
        <w:t>n</w:t>
      </w:r>
      <w:r w:rsidRPr="00192845">
        <w:rPr>
          <w:rFonts w:cs="Arial"/>
        </w:rPr>
        <w:t xml:space="preserve"> argue</w:t>
      </w:r>
      <w:r w:rsidR="00D27E01">
        <w:rPr>
          <w:rFonts w:cs="Arial"/>
        </w:rPr>
        <w:t>d</w:t>
      </w:r>
      <w:r w:rsidRPr="00192845">
        <w:rPr>
          <w:rFonts w:cs="Arial"/>
        </w:rPr>
        <w:t xml:space="preserve"> that the Bible </w:t>
      </w:r>
      <w:r w:rsidR="00D27E01">
        <w:rPr>
          <w:rFonts w:cs="Arial"/>
        </w:rPr>
        <w:t>was</w:t>
      </w:r>
      <w:r w:rsidRPr="00192845">
        <w:rPr>
          <w:rFonts w:cs="Arial"/>
        </w:rPr>
        <w:t xml:space="preserve"> meant to reflect the order of the events it relates. Professor Moshe Greenberg criticized the</w:t>
      </w:r>
      <w:r w:rsidR="00D27E01">
        <w:rPr>
          <w:rFonts w:cs="Arial"/>
        </w:rPr>
        <w:t>ir</w:t>
      </w:r>
      <w:r w:rsidRPr="00192845">
        <w:rPr>
          <w:rFonts w:cs="Arial"/>
        </w:rPr>
        <w:t xml:space="preserve"> underlying assumption:</w:t>
      </w:r>
    </w:p>
    <w:p w14:paraId="06D9C884" w14:textId="0BBB7334" w:rsidR="003C4EA4" w:rsidRPr="00567A5F" w:rsidRDefault="003C4EA4" w:rsidP="00AA5AEF">
      <w:pPr>
        <w:tabs>
          <w:tab w:val="left" w:pos="6300"/>
        </w:tabs>
        <w:spacing w:after="120"/>
        <w:ind w:left="540" w:firstLine="3"/>
        <w:rPr>
          <w:rFonts w:cs="Arial"/>
        </w:rPr>
      </w:pPr>
      <w:r w:rsidRPr="00567A5F">
        <w:rPr>
          <w:rFonts w:cs="Arial"/>
        </w:rPr>
        <w:t>It is observed in the Midrash that ‘Scripture disregards chronological order’; modern criticism has also noted that, and proceeds to rearrange text-material according to chronology. But if native Hebrew narrative (or editing) valued historical order less than we do, such a procedure only highlights the gap in values between us and them, without shedding light on their values.</w:t>
      </w:r>
      <w:r w:rsidRPr="00567A5F">
        <w:rPr>
          <w:rStyle w:val="FootnoteReference"/>
          <w:rFonts w:cs="Arial"/>
        </w:rPr>
        <w:footnoteReference w:id="34"/>
      </w:r>
    </w:p>
    <w:p w14:paraId="76EDA9C5" w14:textId="2FDC9FF8" w:rsidR="005C6597" w:rsidRPr="00A87A98" w:rsidRDefault="005C6597" w:rsidP="005C6597">
      <w:pPr>
        <w:tabs>
          <w:tab w:val="left" w:pos="6300"/>
        </w:tabs>
        <w:spacing w:after="120"/>
        <w:rPr>
          <w:rFonts w:cs="Arial"/>
        </w:rPr>
      </w:pPr>
      <w:r w:rsidRPr="00A87A98">
        <w:rPr>
          <w:rFonts w:cs="Arial"/>
        </w:rPr>
        <w:lastRenderedPageBreak/>
        <w:t>Greenberg added that “a corollary of the above-mentioned midrashic observation</w:t>
      </w:r>
      <w:r w:rsidR="00461382" w:rsidRPr="00A87A98">
        <w:rPr>
          <w:rFonts w:cs="Arial"/>
        </w:rPr>
        <w:t>, for example, is the legitimacy of inference from juxtaposition.”</w:t>
      </w:r>
      <w:r w:rsidR="00461382" w:rsidRPr="00A87A98">
        <w:rPr>
          <w:rStyle w:val="FootnoteReference"/>
          <w:rFonts w:cs="Arial"/>
        </w:rPr>
        <w:footnoteReference w:id="35"/>
      </w:r>
    </w:p>
    <w:p w14:paraId="6BEE3410" w14:textId="77777777" w:rsidR="00D27E01" w:rsidRPr="00D27E01" w:rsidRDefault="00D27E01" w:rsidP="005F2D64">
      <w:pPr>
        <w:spacing w:after="120" w:line="360" w:lineRule="auto"/>
        <w:rPr>
          <w:rFonts w:cs="Arial"/>
          <w:b/>
          <w:bCs/>
        </w:rPr>
      </w:pPr>
      <w:r w:rsidRPr="00D27E01">
        <w:rPr>
          <w:rFonts w:cs="Arial"/>
          <w:b/>
          <w:bCs/>
        </w:rPr>
        <w:t>The Literary Approach</w:t>
      </w:r>
    </w:p>
    <w:p w14:paraId="2C5027ED" w14:textId="7BB47CB6" w:rsidR="003C4EA4" w:rsidRDefault="003C4EA4" w:rsidP="00AA5AEF">
      <w:pPr>
        <w:spacing w:after="120"/>
        <w:rPr>
          <w:rFonts w:cs="Arial"/>
        </w:rPr>
      </w:pPr>
      <w:r w:rsidRPr="00192845">
        <w:rPr>
          <w:rFonts w:cs="Arial"/>
        </w:rPr>
        <w:t xml:space="preserve">Greenberg’s contention is supported by advocates of the “Bible as literature” </w:t>
      </w:r>
      <w:r w:rsidR="00D27E01">
        <w:rPr>
          <w:rFonts w:cs="Arial"/>
        </w:rPr>
        <w:t>school</w:t>
      </w:r>
      <w:r w:rsidRPr="00192845">
        <w:rPr>
          <w:rFonts w:cs="Arial"/>
        </w:rPr>
        <w:t>, wh</w:t>
      </w:r>
      <w:r w:rsidR="00D27E01">
        <w:rPr>
          <w:rFonts w:cs="Arial"/>
        </w:rPr>
        <w:t>o</w:t>
      </w:r>
      <w:r w:rsidRPr="00192845">
        <w:rPr>
          <w:rFonts w:cs="Arial"/>
        </w:rPr>
        <w:t xml:space="preserve"> maintain that the order of the Bible is, above all, a literary issue rather than an </w:t>
      </w:r>
      <w:r w:rsidRPr="00C350BE">
        <w:rPr>
          <w:rFonts w:cs="Arial"/>
        </w:rPr>
        <w:t>historical one</w:t>
      </w:r>
      <w:r w:rsidRPr="00192845">
        <w:rPr>
          <w:rFonts w:cs="Arial"/>
        </w:rPr>
        <w:t>.</w:t>
      </w:r>
      <w:r w:rsidRPr="00192845">
        <w:rPr>
          <w:rStyle w:val="FootnoteReference"/>
          <w:rFonts w:cs="Arial"/>
        </w:rPr>
        <w:footnoteReference w:id="36"/>
      </w:r>
      <w:r w:rsidRPr="00192845">
        <w:rPr>
          <w:rFonts w:cs="Arial"/>
        </w:rPr>
        <w:t xml:space="preserve">  Even if the Bible is perceived </w:t>
      </w:r>
      <w:r w:rsidR="00D27E01">
        <w:rPr>
          <w:rFonts w:cs="Arial"/>
        </w:rPr>
        <w:t xml:space="preserve">to be </w:t>
      </w:r>
      <w:r w:rsidRPr="00192845">
        <w:rPr>
          <w:rFonts w:cs="Arial"/>
        </w:rPr>
        <w:t>histor</w:t>
      </w:r>
      <w:r w:rsidR="00D27E01">
        <w:rPr>
          <w:rFonts w:cs="Arial"/>
        </w:rPr>
        <w:t>ical</w:t>
      </w:r>
      <w:r w:rsidRPr="00192845">
        <w:rPr>
          <w:rFonts w:cs="Arial"/>
        </w:rPr>
        <w:t xml:space="preserve">, the very fact that it is a written work means that it follows its own rules of order. We have seen </w:t>
      </w:r>
      <w:r w:rsidR="00192845">
        <w:rPr>
          <w:rFonts w:cs="Arial"/>
        </w:rPr>
        <w:t xml:space="preserve">in earlier chapters </w:t>
      </w:r>
      <w:r w:rsidRPr="00192845">
        <w:rPr>
          <w:rFonts w:cs="Arial"/>
        </w:rPr>
        <w:t>that a literary interpretation of “</w:t>
      </w:r>
      <w:r w:rsidR="00BA7BE2">
        <w:rPr>
          <w:rFonts w:cs="Arial"/>
        </w:rPr>
        <w:t>T</w:t>
      </w:r>
      <w:r w:rsidRPr="00192845">
        <w:rPr>
          <w:rFonts w:cs="Arial"/>
        </w:rPr>
        <w:t xml:space="preserve">here is no ‘earlier’ and ‘later’ in the Torah” is already implied in </w:t>
      </w:r>
      <w:r w:rsidRPr="00192845">
        <w:rPr>
          <w:rFonts w:cs="Arial"/>
          <w:i/>
          <w:iCs/>
        </w:rPr>
        <w:t>Mekhilta</w:t>
      </w:r>
      <w:r w:rsidRPr="00192845">
        <w:rPr>
          <w:rFonts w:cs="Arial"/>
        </w:rPr>
        <w:t xml:space="preserve"> </w:t>
      </w:r>
      <w:r w:rsidR="00192845">
        <w:rPr>
          <w:rFonts w:cs="Arial"/>
        </w:rPr>
        <w:t>for poetic and prophetic compositions; they need not be in chronological order.</w:t>
      </w:r>
      <w:r w:rsidRPr="00192845">
        <w:rPr>
          <w:rFonts w:cs="Arial"/>
        </w:rPr>
        <w:t xml:space="preserve"> Similarly, we </w:t>
      </w:r>
      <w:r w:rsidR="005F2D64">
        <w:rPr>
          <w:rFonts w:cs="Arial"/>
        </w:rPr>
        <w:t xml:space="preserve">have seen </w:t>
      </w:r>
      <w:r w:rsidR="00D27E01">
        <w:rPr>
          <w:rFonts w:cs="Arial"/>
        </w:rPr>
        <w:t>how Ibn Ezra</w:t>
      </w:r>
      <w:r w:rsidR="00D27E01" w:rsidRPr="00192845">
        <w:rPr>
          <w:rFonts w:cs="Arial"/>
        </w:rPr>
        <w:t xml:space="preserve"> </w:t>
      </w:r>
      <w:r w:rsidR="00BA7BE2">
        <w:rPr>
          <w:rFonts w:cs="Arial"/>
        </w:rPr>
        <w:t>offered</w:t>
      </w:r>
      <w:r w:rsidR="00D27E01">
        <w:rPr>
          <w:rFonts w:cs="Arial"/>
        </w:rPr>
        <w:t xml:space="preserve"> </w:t>
      </w:r>
      <w:r w:rsidR="005F2D64">
        <w:rPr>
          <w:rFonts w:cs="Arial"/>
        </w:rPr>
        <w:t>l</w:t>
      </w:r>
      <w:r w:rsidRPr="00192845">
        <w:rPr>
          <w:rFonts w:cs="Arial"/>
        </w:rPr>
        <w:t xml:space="preserve">iterary </w:t>
      </w:r>
      <w:r w:rsidR="00D27E01">
        <w:rPr>
          <w:rFonts w:cs="Arial"/>
        </w:rPr>
        <w:t>explanations for</w:t>
      </w:r>
      <w:r w:rsidRPr="00192845">
        <w:rPr>
          <w:rFonts w:cs="Arial"/>
        </w:rPr>
        <w:t xml:space="preserve"> adjacent portions in </w:t>
      </w:r>
      <w:r w:rsidR="00D27E01">
        <w:rPr>
          <w:rFonts w:cs="Arial"/>
        </w:rPr>
        <w:t xml:space="preserve">his </w:t>
      </w:r>
      <w:r w:rsidRPr="00192845">
        <w:rPr>
          <w:rFonts w:cs="Arial"/>
        </w:rPr>
        <w:t>commentar</w:t>
      </w:r>
      <w:r w:rsidR="00D27E01">
        <w:rPr>
          <w:rFonts w:cs="Arial"/>
        </w:rPr>
        <w:t>ies</w:t>
      </w:r>
      <w:r w:rsidRPr="00192845">
        <w:rPr>
          <w:rFonts w:cs="Arial"/>
        </w:rPr>
        <w:t>.</w:t>
      </w:r>
      <w:r w:rsidR="00D27E01">
        <w:rPr>
          <w:rFonts w:cs="Arial"/>
        </w:rPr>
        <w:t xml:space="preserve"> </w:t>
      </w:r>
      <w:r w:rsidRPr="00192845">
        <w:rPr>
          <w:rFonts w:cs="Arial"/>
        </w:rPr>
        <w:t xml:space="preserve">We therefore cannot attribute only the simple understanding of this rule (that indeed there is no order to Scripture) to ancient times and relegate the “literary” use of the rule to </w:t>
      </w:r>
      <w:r w:rsidR="00BA7BE2">
        <w:rPr>
          <w:rFonts w:cs="Arial"/>
        </w:rPr>
        <w:t xml:space="preserve">modern </w:t>
      </w:r>
      <w:r w:rsidRPr="00192845">
        <w:rPr>
          <w:rFonts w:cs="Arial"/>
        </w:rPr>
        <w:t xml:space="preserve">exegesis. The straightforward meaning of the expression, as stated in </w:t>
      </w:r>
      <w:proofErr w:type="spellStart"/>
      <w:r w:rsidRPr="00192845">
        <w:rPr>
          <w:rFonts w:cs="Arial"/>
          <w:i/>
          <w:iCs/>
        </w:rPr>
        <w:t>Sifre</w:t>
      </w:r>
      <w:proofErr w:type="spellEnd"/>
      <w:r w:rsidRPr="00192845">
        <w:rPr>
          <w:rFonts w:cs="Arial"/>
        </w:rPr>
        <w:t xml:space="preserve"> </w:t>
      </w:r>
      <w:r w:rsidRPr="00192845">
        <w:rPr>
          <w:rFonts w:cs="Arial"/>
          <w:i/>
          <w:iCs/>
        </w:rPr>
        <w:t xml:space="preserve">Numbers </w:t>
      </w:r>
      <w:r w:rsidRPr="00192845">
        <w:rPr>
          <w:rFonts w:cs="Arial"/>
        </w:rPr>
        <w:t>64, is indeed a negative one</w:t>
      </w:r>
      <w:r w:rsidRPr="00192845">
        <w:rPr>
          <w:rFonts w:eastAsia="Arial Unicode MS" w:cs="Arial"/>
        </w:rPr>
        <w:t>—</w:t>
      </w:r>
      <w:r w:rsidRPr="00192845">
        <w:rPr>
          <w:rFonts w:cs="Arial"/>
        </w:rPr>
        <w:t xml:space="preserve">there is no chronological order in the Torah. However, the </w:t>
      </w:r>
      <w:r w:rsidR="00D27E01">
        <w:rPr>
          <w:rFonts w:cs="Arial"/>
        </w:rPr>
        <w:t xml:space="preserve">more complex </w:t>
      </w:r>
      <w:r w:rsidRPr="00192845">
        <w:rPr>
          <w:rFonts w:cs="Arial"/>
        </w:rPr>
        <w:t>literary understanding</w:t>
      </w:r>
      <w:r w:rsidR="00D44A5D">
        <w:rPr>
          <w:rFonts w:cs="Arial"/>
        </w:rPr>
        <w:t>s</w:t>
      </w:r>
      <w:r w:rsidRPr="00192845">
        <w:rPr>
          <w:rFonts w:cs="Arial"/>
        </w:rPr>
        <w:t xml:space="preserve"> for this principle as found in </w:t>
      </w:r>
      <w:r w:rsidRPr="00192845">
        <w:rPr>
          <w:rFonts w:cs="Arial"/>
          <w:i/>
          <w:iCs/>
        </w:rPr>
        <w:t xml:space="preserve">Mekhilta </w:t>
      </w:r>
      <w:r w:rsidRPr="00192845">
        <w:rPr>
          <w:rFonts w:cs="Arial"/>
        </w:rPr>
        <w:t>may be just as ancient.</w:t>
      </w:r>
      <w:r w:rsidRPr="00192845">
        <w:rPr>
          <w:rStyle w:val="FootnoteReference"/>
          <w:rFonts w:cs="Arial"/>
        </w:rPr>
        <w:footnoteReference w:id="37"/>
      </w:r>
    </w:p>
    <w:p w14:paraId="1A1867F9" w14:textId="509AEEDC" w:rsidR="00D65D29" w:rsidRDefault="00D65D29" w:rsidP="00D65D29">
      <w:pPr>
        <w:rPr>
          <w:b/>
          <w:bCs/>
          <w:lang w:bidi="he-IL"/>
        </w:rPr>
      </w:pPr>
      <w:r w:rsidRPr="0020343A">
        <w:rPr>
          <w:b/>
          <w:bCs/>
          <w:lang w:bidi="he-IL"/>
        </w:rPr>
        <w:t>Elhanan Samet</w:t>
      </w:r>
    </w:p>
    <w:p w14:paraId="401D80A8" w14:textId="51E137FB" w:rsidR="004863BD" w:rsidRDefault="002E79ED" w:rsidP="00D65D29">
      <w:pPr>
        <w:rPr>
          <w:lang w:bidi="he-IL"/>
        </w:rPr>
      </w:pPr>
      <w:r>
        <w:rPr>
          <w:lang w:bidi="he-IL"/>
        </w:rPr>
        <w:t xml:space="preserve">Rabbi Elhanan </w:t>
      </w:r>
      <w:r w:rsidR="001E2592">
        <w:rPr>
          <w:lang w:bidi="he-IL"/>
        </w:rPr>
        <w:t>Samet’s essays on the weekly Torah portion</w:t>
      </w:r>
      <w:r w:rsidR="002E009F">
        <w:rPr>
          <w:lang w:bidi="he-IL"/>
        </w:rPr>
        <w:t xml:space="preserve"> combine </w:t>
      </w:r>
      <w:r w:rsidR="007207BC">
        <w:rPr>
          <w:lang w:bidi="he-IL"/>
        </w:rPr>
        <w:t xml:space="preserve">rabbinic and </w:t>
      </w:r>
      <w:r w:rsidR="001E2592">
        <w:rPr>
          <w:lang w:bidi="he-IL"/>
        </w:rPr>
        <w:t>medieval interpretation</w:t>
      </w:r>
      <w:r w:rsidR="005C5400">
        <w:rPr>
          <w:lang w:bidi="he-IL"/>
        </w:rPr>
        <w:t>s</w:t>
      </w:r>
      <w:r w:rsidR="001E2592">
        <w:rPr>
          <w:lang w:bidi="he-IL"/>
        </w:rPr>
        <w:t xml:space="preserve"> together with</w:t>
      </w:r>
      <w:r w:rsidR="005611F9">
        <w:rPr>
          <w:lang w:bidi="he-IL"/>
        </w:rPr>
        <w:t xml:space="preserve"> </w:t>
      </w:r>
      <w:r w:rsidR="001E2592">
        <w:rPr>
          <w:lang w:bidi="he-IL"/>
        </w:rPr>
        <w:t>original analys</w:t>
      </w:r>
      <w:r w:rsidR="005611F9">
        <w:rPr>
          <w:lang w:bidi="he-IL"/>
        </w:rPr>
        <w:t>e</w:t>
      </w:r>
      <w:r w:rsidR="001E2592">
        <w:rPr>
          <w:lang w:bidi="he-IL"/>
        </w:rPr>
        <w:t xml:space="preserve">s of a literary nature. </w:t>
      </w:r>
      <w:r w:rsidR="002C0857">
        <w:rPr>
          <w:lang w:bidi="he-IL"/>
        </w:rPr>
        <w:t xml:space="preserve">In several </w:t>
      </w:r>
      <w:r w:rsidR="00297D00">
        <w:rPr>
          <w:lang w:bidi="he-IL"/>
        </w:rPr>
        <w:t>studies</w:t>
      </w:r>
      <w:r w:rsidR="002C0857" w:rsidRPr="0092747E">
        <w:rPr>
          <w:lang w:bidi="he-IL"/>
        </w:rPr>
        <w:t xml:space="preserve"> </w:t>
      </w:r>
      <w:r w:rsidR="0092747E" w:rsidRPr="0092747E">
        <w:rPr>
          <w:lang w:bidi="he-IL"/>
        </w:rPr>
        <w:t xml:space="preserve">Samet </w:t>
      </w:r>
      <w:r w:rsidR="001E2592">
        <w:rPr>
          <w:lang w:bidi="he-IL"/>
        </w:rPr>
        <w:t>deals</w:t>
      </w:r>
      <w:r w:rsidR="0092747E" w:rsidRPr="0092747E">
        <w:rPr>
          <w:lang w:bidi="he-IL"/>
        </w:rPr>
        <w:t xml:space="preserve"> </w:t>
      </w:r>
      <w:r w:rsidR="00E252FD">
        <w:rPr>
          <w:lang w:bidi="he-IL"/>
        </w:rPr>
        <w:t>with issue</w:t>
      </w:r>
      <w:r w:rsidR="00FA0FC9">
        <w:rPr>
          <w:lang w:bidi="he-IL"/>
        </w:rPr>
        <w:t>s</w:t>
      </w:r>
      <w:r w:rsidR="00E252FD">
        <w:rPr>
          <w:lang w:bidi="he-IL"/>
        </w:rPr>
        <w:t xml:space="preserve"> of biblical order, particular</w:t>
      </w:r>
      <w:r w:rsidR="002E009F">
        <w:rPr>
          <w:lang w:bidi="he-IL"/>
        </w:rPr>
        <w:t>ly</w:t>
      </w:r>
      <w:r w:rsidR="00E252FD">
        <w:rPr>
          <w:lang w:bidi="he-IL"/>
        </w:rPr>
        <w:t xml:space="preserve"> </w:t>
      </w:r>
      <w:r w:rsidR="00E54940">
        <w:rPr>
          <w:lang w:bidi="he-IL"/>
        </w:rPr>
        <w:t xml:space="preserve">with </w:t>
      </w:r>
      <w:r w:rsidR="0092747E">
        <w:rPr>
          <w:lang w:bidi="he-IL"/>
        </w:rPr>
        <w:t>Nahmanides’ understanding</w:t>
      </w:r>
      <w:r w:rsidR="00D855BA">
        <w:rPr>
          <w:lang w:bidi="he-IL"/>
        </w:rPr>
        <w:t xml:space="preserve"> of the principle</w:t>
      </w:r>
      <w:r w:rsidR="004D6003">
        <w:rPr>
          <w:lang w:bidi="he-IL"/>
        </w:rPr>
        <w:t>,</w:t>
      </w:r>
      <w:r w:rsidR="00D855BA">
        <w:rPr>
          <w:lang w:bidi="he-IL"/>
        </w:rPr>
        <w:t xml:space="preserve"> “</w:t>
      </w:r>
      <w:r w:rsidR="008E419B">
        <w:rPr>
          <w:lang w:bidi="he-IL"/>
        </w:rPr>
        <w:t>T</w:t>
      </w:r>
      <w:r w:rsidR="00D855BA">
        <w:rPr>
          <w:lang w:bidi="he-IL"/>
        </w:rPr>
        <w:t>here is no earlier or later</w:t>
      </w:r>
      <w:r w:rsidR="008E419B">
        <w:rPr>
          <w:lang w:bidi="he-IL"/>
        </w:rPr>
        <w:t xml:space="preserve"> in the Torah</w:t>
      </w:r>
      <w:r w:rsidR="002C0857">
        <w:rPr>
          <w:lang w:bidi="he-IL"/>
        </w:rPr>
        <w:t>.</w:t>
      </w:r>
      <w:r w:rsidR="00D855BA">
        <w:rPr>
          <w:lang w:bidi="he-IL"/>
        </w:rPr>
        <w:t>”</w:t>
      </w:r>
      <w:r w:rsidR="0092747E">
        <w:rPr>
          <w:lang w:bidi="he-IL"/>
        </w:rPr>
        <w:t xml:space="preserve"> </w:t>
      </w:r>
      <w:r w:rsidR="006319D8">
        <w:rPr>
          <w:lang w:bidi="he-IL"/>
        </w:rPr>
        <w:t>I</w:t>
      </w:r>
      <w:r w:rsidR="002C0857">
        <w:rPr>
          <w:lang w:bidi="he-IL"/>
        </w:rPr>
        <w:t xml:space="preserve"> was not familiar with </w:t>
      </w:r>
      <w:r w:rsidR="006319D8">
        <w:rPr>
          <w:lang w:bidi="he-IL"/>
        </w:rPr>
        <w:t xml:space="preserve">any of </w:t>
      </w:r>
      <w:r w:rsidR="00276A4B">
        <w:rPr>
          <w:lang w:bidi="he-IL"/>
        </w:rPr>
        <w:t xml:space="preserve">Samet’s </w:t>
      </w:r>
      <w:r w:rsidR="00863A59">
        <w:rPr>
          <w:lang w:bidi="he-IL"/>
        </w:rPr>
        <w:t>essays</w:t>
      </w:r>
      <w:r w:rsidR="006319D8">
        <w:rPr>
          <w:lang w:bidi="he-IL"/>
        </w:rPr>
        <w:t xml:space="preserve"> </w:t>
      </w:r>
      <w:r w:rsidR="00764C3D">
        <w:rPr>
          <w:lang w:bidi="he-IL"/>
        </w:rPr>
        <w:t>when</w:t>
      </w:r>
      <w:r w:rsidR="002653B8">
        <w:rPr>
          <w:lang w:bidi="he-IL"/>
        </w:rPr>
        <w:t xml:space="preserve"> first</w:t>
      </w:r>
      <w:r w:rsidR="006319D8">
        <w:rPr>
          <w:lang w:bidi="he-IL"/>
        </w:rPr>
        <w:t xml:space="preserve"> </w:t>
      </w:r>
      <w:r w:rsidR="00764C3D">
        <w:rPr>
          <w:lang w:bidi="he-IL"/>
        </w:rPr>
        <w:t>formulating</w:t>
      </w:r>
      <w:r w:rsidR="006319D8">
        <w:rPr>
          <w:lang w:bidi="he-IL"/>
        </w:rPr>
        <w:t xml:space="preserve"> my ideas about biblical chronology</w:t>
      </w:r>
      <w:r w:rsidR="003A36E2">
        <w:rPr>
          <w:lang w:bidi="he-IL"/>
        </w:rPr>
        <w:t xml:space="preserve">. I was therefore </w:t>
      </w:r>
      <w:r w:rsidR="00A36B19">
        <w:rPr>
          <w:lang w:bidi="he-IL"/>
        </w:rPr>
        <w:t xml:space="preserve">pleased </w:t>
      </w:r>
      <w:r w:rsidR="002E2256">
        <w:rPr>
          <w:lang w:bidi="he-IL"/>
        </w:rPr>
        <w:t xml:space="preserve">to </w:t>
      </w:r>
      <w:r w:rsidR="00C35465">
        <w:rPr>
          <w:lang w:bidi="he-IL"/>
        </w:rPr>
        <w:t>find</w:t>
      </w:r>
      <w:r w:rsidR="00683F47">
        <w:rPr>
          <w:lang w:bidi="he-IL"/>
        </w:rPr>
        <w:t xml:space="preserve"> </w:t>
      </w:r>
      <w:r w:rsidR="00764C3D">
        <w:rPr>
          <w:lang w:bidi="he-IL"/>
        </w:rPr>
        <w:t>th</w:t>
      </w:r>
      <w:r w:rsidR="002A2327">
        <w:rPr>
          <w:lang w:bidi="he-IL"/>
        </w:rPr>
        <w:t>a</w:t>
      </w:r>
      <w:r w:rsidR="00764C3D">
        <w:rPr>
          <w:lang w:bidi="he-IL"/>
        </w:rPr>
        <w:t xml:space="preserve">t </w:t>
      </w:r>
      <w:r w:rsidR="005611F9">
        <w:rPr>
          <w:lang w:bidi="he-IL"/>
        </w:rPr>
        <w:t xml:space="preserve">some of </w:t>
      </w:r>
      <w:r w:rsidR="00764C3D">
        <w:rPr>
          <w:lang w:bidi="he-IL"/>
        </w:rPr>
        <w:t xml:space="preserve">my </w:t>
      </w:r>
      <w:r w:rsidR="00D221C9">
        <w:rPr>
          <w:lang w:bidi="he-IL"/>
        </w:rPr>
        <w:t>observations</w:t>
      </w:r>
      <w:r w:rsidR="00764C3D">
        <w:rPr>
          <w:lang w:bidi="he-IL"/>
        </w:rPr>
        <w:t xml:space="preserve"> </w:t>
      </w:r>
      <w:r w:rsidR="00123469">
        <w:rPr>
          <w:lang w:bidi="he-IL"/>
        </w:rPr>
        <w:t xml:space="preserve">about Nahmanides </w:t>
      </w:r>
      <w:r w:rsidR="00683F47">
        <w:rPr>
          <w:lang w:bidi="he-IL"/>
        </w:rPr>
        <w:t xml:space="preserve">as expressed in </w:t>
      </w:r>
      <w:r w:rsidR="00540C2E">
        <w:rPr>
          <w:lang w:bidi="he-IL"/>
        </w:rPr>
        <w:t>Chapter Five</w:t>
      </w:r>
      <w:r w:rsidR="00DB7D97">
        <w:rPr>
          <w:lang w:bidi="he-IL"/>
        </w:rPr>
        <w:t xml:space="preserve"> </w:t>
      </w:r>
      <w:r w:rsidR="00C775B5">
        <w:rPr>
          <w:lang w:bidi="he-IL"/>
        </w:rPr>
        <w:t xml:space="preserve">of this volume </w:t>
      </w:r>
      <w:r w:rsidR="00FA0FC9">
        <w:rPr>
          <w:lang w:bidi="he-IL"/>
        </w:rPr>
        <w:t>were</w:t>
      </w:r>
      <w:r w:rsidR="00764C3D">
        <w:rPr>
          <w:lang w:bidi="he-IL"/>
        </w:rPr>
        <w:t xml:space="preserve"> quite </w:t>
      </w:r>
      <w:proofErr w:type="gramStart"/>
      <w:r w:rsidR="00D221C9">
        <w:rPr>
          <w:lang w:bidi="he-IL"/>
        </w:rPr>
        <w:t>similar</w:t>
      </w:r>
      <w:r w:rsidR="00764C3D">
        <w:rPr>
          <w:lang w:bidi="he-IL"/>
        </w:rPr>
        <w:t xml:space="preserve"> to</w:t>
      </w:r>
      <w:proofErr w:type="gramEnd"/>
      <w:r w:rsidR="00764C3D">
        <w:rPr>
          <w:lang w:bidi="he-IL"/>
        </w:rPr>
        <w:t xml:space="preserve"> his</w:t>
      </w:r>
      <w:r w:rsidR="004D6003">
        <w:rPr>
          <w:lang w:bidi="he-IL"/>
        </w:rPr>
        <w:t xml:space="preserve"> explanations</w:t>
      </w:r>
      <w:r w:rsidR="00764C3D">
        <w:rPr>
          <w:lang w:bidi="he-IL"/>
        </w:rPr>
        <w:t>.</w:t>
      </w:r>
      <w:r w:rsidR="00764C3D">
        <w:rPr>
          <w:rStyle w:val="FootnoteReference"/>
          <w:lang w:bidi="he-IL"/>
        </w:rPr>
        <w:footnoteReference w:id="38"/>
      </w:r>
      <w:r w:rsidR="00764C3D">
        <w:rPr>
          <w:lang w:bidi="he-IL"/>
        </w:rPr>
        <w:t xml:space="preserve"> </w:t>
      </w:r>
      <w:r w:rsidR="00315672">
        <w:rPr>
          <w:lang w:bidi="he-IL"/>
        </w:rPr>
        <w:t xml:space="preserve">Here is what he has to say about Nahmanides and </w:t>
      </w:r>
      <w:r w:rsidR="001A6F00">
        <w:rPr>
          <w:lang w:bidi="he-IL"/>
        </w:rPr>
        <w:t>chronology</w:t>
      </w:r>
      <w:r w:rsidR="00315672">
        <w:rPr>
          <w:lang w:bidi="he-IL"/>
        </w:rPr>
        <w:t>:</w:t>
      </w:r>
    </w:p>
    <w:p w14:paraId="345AEC6F" w14:textId="1864B451" w:rsidR="00315672" w:rsidRDefault="00315672" w:rsidP="00DA4C19">
      <w:pPr>
        <w:ind w:left="720"/>
        <w:rPr>
          <w:rtl/>
          <w:lang w:bidi="he-IL"/>
        </w:rPr>
      </w:pPr>
      <w:r>
        <w:rPr>
          <w:lang w:bidi="he-IL"/>
        </w:rPr>
        <w:lastRenderedPageBreak/>
        <w:t xml:space="preserve">Nahmanides made </w:t>
      </w:r>
      <w:r w:rsidR="00131B08">
        <w:rPr>
          <w:lang w:bidi="he-IL"/>
        </w:rPr>
        <w:t>heroic</w:t>
      </w:r>
      <w:r>
        <w:rPr>
          <w:lang w:bidi="he-IL"/>
        </w:rPr>
        <w:t xml:space="preserve"> efforts to explain </w:t>
      </w:r>
      <w:r w:rsidR="009F03CB">
        <w:rPr>
          <w:lang w:bidi="he-IL"/>
        </w:rPr>
        <w:t xml:space="preserve">all </w:t>
      </w:r>
      <w:r w:rsidR="00131B08">
        <w:rPr>
          <w:lang w:bidi="he-IL"/>
        </w:rPr>
        <w:t>of</w:t>
      </w:r>
      <w:r w:rsidR="009F03CB">
        <w:rPr>
          <w:lang w:bidi="he-IL"/>
        </w:rPr>
        <w:t xml:space="preserve"> </w:t>
      </w:r>
      <w:r w:rsidR="00131B08">
        <w:rPr>
          <w:lang w:bidi="he-IL"/>
        </w:rPr>
        <w:t>Scripture</w:t>
      </w:r>
      <w:r w:rsidR="009F03CB">
        <w:rPr>
          <w:lang w:bidi="he-IL"/>
        </w:rPr>
        <w:t xml:space="preserve"> </w:t>
      </w:r>
      <w:r w:rsidR="00131B08">
        <w:rPr>
          <w:lang w:bidi="he-IL"/>
        </w:rPr>
        <w:t xml:space="preserve">as being </w:t>
      </w:r>
      <w:r w:rsidR="009F03CB">
        <w:rPr>
          <w:lang w:bidi="he-IL"/>
        </w:rPr>
        <w:t>in chronological order</w:t>
      </w:r>
      <w:r w:rsidR="0060054B">
        <w:rPr>
          <w:lang w:bidi="he-IL"/>
        </w:rPr>
        <w:t>.</w:t>
      </w:r>
      <w:r w:rsidR="0060054B" w:rsidRPr="0060054B">
        <w:rPr>
          <w:lang w:bidi="he-IL"/>
        </w:rPr>
        <w:t xml:space="preserve"> </w:t>
      </w:r>
      <w:r w:rsidR="0060054B">
        <w:rPr>
          <w:lang w:bidi="he-IL"/>
        </w:rPr>
        <w:t>As much as possible, h</w:t>
      </w:r>
      <w:r w:rsidR="009F03CB">
        <w:rPr>
          <w:lang w:bidi="he-IL"/>
        </w:rPr>
        <w:t xml:space="preserve">e avoided </w:t>
      </w:r>
      <w:r w:rsidR="00D07AAA">
        <w:rPr>
          <w:lang w:bidi="he-IL"/>
        </w:rPr>
        <w:t>citing</w:t>
      </w:r>
      <w:r w:rsidR="00DA4C19">
        <w:rPr>
          <w:lang w:bidi="he-IL"/>
        </w:rPr>
        <w:t xml:space="preserve"> </w:t>
      </w:r>
      <w:r w:rsidR="009F03CB">
        <w:rPr>
          <w:lang w:bidi="he-IL"/>
        </w:rPr>
        <w:t>the rule that “there is no earlier or later in the Torah”</w:t>
      </w:r>
      <w:r w:rsidR="00077F87">
        <w:rPr>
          <w:lang w:bidi="he-IL"/>
        </w:rPr>
        <w:t xml:space="preserve"> and argued the point with other exegetes, </w:t>
      </w:r>
      <w:proofErr w:type="gramStart"/>
      <w:r w:rsidR="00077F87">
        <w:rPr>
          <w:lang w:bidi="he-IL"/>
        </w:rPr>
        <w:t>in particular with</w:t>
      </w:r>
      <w:proofErr w:type="gramEnd"/>
      <w:r w:rsidR="00077F87">
        <w:rPr>
          <w:lang w:bidi="he-IL"/>
        </w:rPr>
        <w:t xml:space="preserve"> Ibn Ezra,</w:t>
      </w:r>
      <w:r w:rsidR="009F03CB">
        <w:rPr>
          <w:lang w:bidi="he-IL"/>
        </w:rPr>
        <w:t xml:space="preserve"> </w:t>
      </w:r>
      <w:r w:rsidR="00077F87">
        <w:rPr>
          <w:lang w:bidi="he-IL"/>
        </w:rPr>
        <w:t xml:space="preserve">who </w:t>
      </w:r>
      <w:r w:rsidR="00DA4C19">
        <w:rPr>
          <w:lang w:bidi="he-IL"/>
        </w:rPr>
        <w:t>often cited that expression.</w:t>
      </w:r>
      <w:r w:rsidR="00ED7BAC">
        <w:rPr>
          <w:rStyle w:val="FootnoteReference"/>
          <w:lang w:bidi="he-IL"/>
        </w:rPr>
        <w:footnoteReference w:id="39"/>
      </w:r>
      <w:r w:rsidR="00DA4C19">
        <w:rPr>
          <w:lang w:bidi="he-IL"/>
        </w:rPr>
        <w:t xml:space="preserve"> </w:t>
      </w:r>
    </w:p>
    <w:p w14:paraId="518ECA68" w14:textId="71A9696F" w:rsidR="005924DC" w:rsidRDefault="00836222" w:rsidP="00403DA0">
      <w:pPr>
        <w:rPr>
          <w:lang w:bidi="he-IL"/>
        </w:rPr>
      </w:pPr>
      <w:r>
        <w:rPr>
          <w:lang w:bidi="he-IL"/>
        </w:rPr>
        <w:t xml:space="preserve">As against this brief statement of </w:t>
      </w:r>
      <w:r w:rsidR="001113B4">
        <w:rPr>
          <w:lang w:bidi="he-IL"/>
        </w:rPr>
        <w:t>Nahmanides</w:t>
      </w:r>
      <w:r>
        <w:rPr>
          <w:lang w:bidi="he-IL"/>
        </w:rPr>
        <w:t xml:space="preserve">’ </w:t>
      </w:r>
      <w:r w:rsidR="001113B4">
        <w:rPr>
          <w:lang w:bidi="he-IL"/>
        </w:rPr>
        <w:t xml:space="preserve">view, Samet was often expansive and detailed when it came to </w:t>
      </w:r>
      <w:r w:rsidR="002D24E2">
        <w:rPr>
          <w:lang w:bidi="he-IL"/>
        </w:rPr>
        <w:t>explaining</w:t>
      </w:r>
      <w:r w:rsidR="001113B4">
        <w:rPr>
          <w:lang w:bidi="he-IL"/>
        </w:rPr>
        <w:t xml:space="preserve"> individual cases. So, for example, in an essay called, </w:t>
      </w:r>
      <w:r w:rsidR="000B5A05">
        <w:rPr>
          <w:lang w:bidi="he-IL"/>
        </w:rPr>
        <w:t xml:space="preserve">“The Story of the </w:t>
      </w:r>
      <w:r w:rsidR="00BB18F6">
        <w:rPr>
          <w:lang w:bidi="he-IL"/>
        </w:rPr>
        <w:t>D</w:t>
      </w:r>
      <w:r w:rsidR="000B5A05">
        <w:rPr>
          <w:lang w:bidi="he-IL"/>
        </w:rPr>
        <w:t xml:space="preserve">eath of the </w:t>
      </w:r>
      <w:r w:rsidR="00BB18F6">
        <w:rPr>
          <w:lang w:bidi="he-IL"/>
        </w:rPr>
        <w:t>F</w:t>
      </w:r>
      <w:r w:rsidR="000B5A05">
        <w:rPr>
          <w:lang w:bidi="he-IL"/>
        </w:rPr>
        <w:t xml:space="preserve">irstborn and the </w:t>
      </w:r>
      <w:r w:rsidR="00BB18F6">
        <w:rPr>
          <w:lang w:bidi="he-IL"/>
        </w:rPr>
        <w:t>S</w:t>
      </w:r>
      <w:r w:rsidR="000B5A05">
        <w:rPr>
          <w:lang w:bidi="he-IL"/>
        </w:rPr>
        <w:t>ection ‘</w:t>
      </w:r>
      <w:r w:rsidR="00126733">
        <w:rPr>
          <w:lang w:bidi="he-IL"/>
        </w:rPr>
        <w:t>T</w:t>
      </w:r>
      <w:r w:rsidR="002C3F62">
        <w:rPr>
          <w:lang w:bidi="he-IL"/>
        </w:rPr>
        <w:t>his</w:t>
      </w:r>
      <w:r w:rsidR="000B5A05">
        <w:rPr>
          <w:lang w:bidi="he-IL"/>
        </w:rPr>
        <w:t xml:space="preserve"> Month</w:t>
      </w:r>
      <w:r w:rsidR="002C3F62">
        <w:rPr>
          <w:lang w:bidi="he-IL"/>
        </w:rPr>
        <w:t>’</w:t>
      </w:r>
      <w:r w:rsidR="000B5A05">
        <w:rPr>
          <w:lang w:bidi="he-IL"/>
        </w:rPr>
        <w:t xml:space="preserve"> </w:t>
      </w:r>
      <w:r w:rsidR="00BB18F6">
        <w:rPr>
          <w:lang w:bidi="he-IL"/>
        </w:rPr>
        <w:t>i</w:t>
      </w:r>
      <w:r w:rsidR="000B5A05">
        <w:rPr>
          <w:lang w:bidi="he-IL"/>
        </w:rPr>
        <w:t xml:space="preserve">ncluded within </w:t>
      </w:r>
      <w:r w:rsidR="00BB18F6">
        <w:rPr>
          <w:lang w:bidi="he-IL"/>
        </w:rPr>
        <w:t>I</w:t>
      </w:r>
      <w:r w:rsidR="000B5A05">
        <w:rPr>
          <w:lang w:bidi="he-IL"/>
        </w:rPr>
        <w:t>t</w:t>
      </w:r>
      <w:r w:rsidR="002C3F62">
        <w:rPr>
          <w:lang w:bidi="he-IL"/>
        </w:rPr>
        <w:t xml:space="preserve">,” he </w:t>
      </w:r>
      <w:proofErr w:type="gramStart"/>
      <w:r w:rsidR="0028500A">
        <w:rPr>
          <w:lang w:bidi="he-IL"/>
        </w:rPr>
        <w:t xml:space="preserve">actually </w:t>
      </w:r>
      <w:r w:rsidR="00A2484E">
        <w:rPr>
          <w:lang w:bidi="he-IL"/>
        </w:rPr>
        <w:t>treated</w:t>
      </w:r>
      <w:proofErr w:type="gramEnd"/>
      <w:r w:rsidR="00A2484E">
        <w:rPr>
          <w:lang w:bidi="he-IL"/>
        </w:rPr>
        <w:t xml:space="preserve"> </w:t>
      </w:r>
      <w:r w:rsidR="002C3F62">
        <w:rPr>
          <w:lang w:bidi="he-IL"/>
        </w:rPr>
        <w:t>83 verses</w:t>
      </w:r>
      <w:r w:rsidR="005924DC">
        <w:rPr>
          <w:lang w:bidi="he-IL"/>
        </w:rPr>
        <w:t xml:space="preserve">, Exodus 11:1 – </w:t>
      </w:r>
      <w:r w:rsidR="00126733">
        <w:rPr>
          <w:lang w:bidi="he-IL"/>
        </w:rPr>
        <w:t>13</w:t>
      </w:r>
      <w:r w:rsidR="005924DC">
        <w:rPr>
          <w:lang w:bidi="he-IL"/>
        </w:rPr>
        <w:t>:</w:t>
      </w:r>
      <w:r w:rsidR="00126733">
        <w:rPr>
          <w:lang w:bidi="he-IL"/>
        </w:rPr>
        <w:t>22</w:t>
      </w:r>
      <w:r w:rsidR="005924DC">
        <w:rPr>
          <w:lang w:bidi="he-IL"/>
        </w:rPr>
        <w:t xml:space="preserve">, as a </w:t>
      </w:r>
      <w:r w:rsidR="00311164">
        <w:rPr>
          <w:lang w:bidi="he-IL"/>
        </w:rPr>
        <w:t>composit</w:t>
      </w:r>
      <w:r w:rsidR="000571D7">
        <w:rPr>
          <w:lang w:bidi="he-IL"/>
        </w:rPr>
        <w:t>e</w:t>
      </w:r>
      <w:r w:rsidR="002C3F62">
        <w:rPr>
          <w:lang w:bidi="he-IL"/>
        </w:rPr>
        <w:t xml:space="preserve"> </w:t>
      </w:r>
      <w:r w:rsidR="00015FE9">
        <w:rPr>
          <w:lang w:bidi="he-IL"/>
        </w:rPr>
        <w:t xml:space="preserve">of various </w:t>
      </w:r>
      <w:r w:rsidR="005924DC">
        <w:rPr>
          <w:lang w:bidi="he-IL"/>
        </w:rPr>
        <w:t>pericopes</w:t>
      </w:r>
      <w:r w:rsidR="00CB1BD1">
        <w:rPr>
          <w:rFonts w:hint="cs"/>
          <w:rtl/>
          <w:lang w:bidi="he-IL"/>
        </w:rPr>
        <w:t xml:space="preserve"> </w:t>
      </w:r>
      <w:r w:rsidR="00CB1BD1">
        <w:rPr>
          <w:lang w:bidi="he-IL"/>
        </w:rPr>
        <w:t>or sections</w:t>
      </w:r>
      <w:r w:rsidR="00015FE9">
        <w:rPr>
          <w:lang w:bidi="he-IL"/>
        </w:rPr>
        <w:t xml:space="preserve">, </w:t>
      </w:r>
      <w:r w:rsidR="005924DC">
        <w:rPr>
          <w:lang w:bidi="he-IL"/>
        </w:rPr>
        <w:t>some</w:t>
      </w:r>
      <w:r w:rsidR="00015FE9">
        <w:rPr>
          <w:lang w:bidi="he-IL"/>
        </w:rPr>
        <w:t xml:space="preserve"> narrative in nature, others legal or halakhic</w:t>
      </w:r>
      <w:r w:rsidR="005924DC">
        <w:rPr>
          <w:lang w:bidi="he-IL"/>
        </w:rPr>
        <w:t>.</w:t>
      </w:r>
      <w:r w:rsidR="00422476">
        <w:rPr>
          <w:lang w:bidi="he-IL"/>
        </w:rPr>
        <w:t xml:space="preserve"> </w:t>
      </w:r>
      <w:r w:rsidR="002D24E2">
        <w:rPr>
          <w:lang w:bidi="he-IL"/>
        </w:rPr>
        <w:t xml:space="preserve">These </w:t>
      </w:r>
      <w:r w:rsidR="002615F0">
        <w:rPr>
          <w:lang w:bidi="he-IL"/>
        </w:rPr>
        <w:t xml:space="preserve">pericopes </w:t>
      </w:r>
      <w:r w:rsidR="002D24E2">
        <w:rPr>
          <w:lang w:bidi="he-IL"/>
        </w:rPr>
        <w:t>he divided into two subjects, the Ten</w:t>
      </w:r>
      <w:r w:rsidR="00E42575">
        <w:rPr>
          <w:lang w:bidi="he-IL"/>
        </w:rPr>
        <w:t xml:space="preserve">th </w:t>
      </w:r>
      <w:r w:rsidR="002D24E2">
        <w:rPr>
          <w:lang w:bidi="he-IL"/>
        </w:rPr>
        <w:t xml:space="preserve">Plague and the Exodus from Egypt. </w:t>
      </w:r>
      <w:r w:rsidR="00CB1BD1">
        <w:rPr>
          <w:lang w:bidi="he-IL"/>
        </w:rPr>
        <w:t xml:space="preserve">The difference between narrative </w:t>
      </w:r>
      <w:r w:rsidR="002615F0">
        <w:rPr>
          <w:lang w:bidi="he-IL"/>
        </w:rPr>
        <w:t>units</w:t>
      </w:r>
      <w:r w:rsidR="00CB1BD1">
        <w:rPr>
          <w:lang w:bidi="he-IL"/>
        </w:rPr>
        <w:t xml:space="preserve"> and legal-</w:t>
      </w:r>
      <w:r w:rsidR="000571D7">
        <w:rPr>
          <w:lang w:bidi="he-IL"/>
        </w:rPr>
        <w:t>halakhic</w:t>
      </w:r>
      <w:r w:rsidR="00CB1BD1">
        <w:rPr>
          <w:lang w:bidi="he-IL"/>
        </w:rPr>
        <w:t xml:space="preserve"> ones </w:t>
      </w:r>
      <w:r w:rsidR="00FE4FA9">
        <w:rPr>
          <w:lang w:bidi="he-IL"/>
        </w:rPr>
        <w:t>was</w:t>
      </w:r>
      <w:r w:rsidR="00CB1BD1">
        <w:rPr>
          <w:lang w:bidi="he-IL"/>
        </w:rPr>
        <w:t xml:space="preserve"> of </w:t>
      </w:r>
      <w:r w:rsidR="000571D7">
        <w:rPr>
          <w:lang w:bidi="he-IL"/>
        </w:rPr>
        <w:t>major</w:t>
      </w:r>
      <w:r w:rsidR="00CB1BD1">
        <w:rPr>
          <w:lang w:bidi="he-IL"/>
        </w:rPr>
        <w:t xml:space="preserve"> significance for Samet</w:t>
      </w:r>
      <w:r w:rsidR="00403DA0">
        <w:rPr>
          <w:lang w:bidi="he-IL"/>
        </w:rPr>
        <w:t xml:space="preserve">. </w:t>
      </w:r>
      <w:r w:rsidR="00C75B95">
        <w:rPr>
          <w:lang w:bidi="he-IL"/>
        </w:rPr>
        <w:t>He also shows concern for when and whe</w:t>
      </w:r>
      <w:r w:rsidR="00EB1493">
        <w:rPr>
          <w:lang w:bidi="he-IL"/>
        </w:rPr>
        <w:t>r</w:t>
      </w:r>
      <w:r w:rsidR="00C75B95">
        <w:rPr>
          <w:lang w:bidi="he-IL"/>
        </w:rPr>
        <w:t xml:space="preserve">e each pericope was </w:t>
      </w:r>
      <w:r w:rsidR="00EB1493">
        <w:rPr>
          <w:lang w:bidi="he-IL"/>
        </w:rPr>
        <w:t>transmitted</w:t>
      </w:r>
      <w:r w:rsidR="00C75B95">
        <w:rPr>
          <w:lang w:bidi="he-IL"/>
        </w:rPr>
        <w:t xml:space="preserve">, and whether by the Lord to </w:t>
      </w:r>
      <w:r w:rsidR="00EB1493">
        <w:rPr>
          <w:lang w:bidi="he-IL"/>
        </w:rPr>
        <w:t>M</w:t>
      </w:r>
      <w:r w:rsidR="00C75B95">
        <w:rPr>
          <w:lang w:bidi="he-IL"/>
        </w:rPr>
        <w:t>oses or</w:t>
      </w:r>
      <w:r w:rsidR="00EB1493">
        <w:rPr>
          <w:lang w:bidi="he-IL"/>
        </w:rPr>
        <w:t xml:space="preserve"> by </w:t>
      </w:r>
      <w:r w:rsidR="00C75B95">
        <w:rPr>
          <w:lang w:bidi="he-IL"/>
        </w:rPr>
        <w:t xml:space="preserve">Moses to the people. </w:t>
      </w:r>
      <w:r w:rsidR="00403DA0">
        <w:rPr>
          <w:lang w:bidi="he-IL"/>
        </w:rPr>
        <w:t xml:space="preserve">The entire essay </w:t>
      </w:r>
      <w:r w:rsidR="00EB1493">
        <w:rPr>
          <w:lang w:bidi="he-IL"/>
        </w:rPr>
        <w:t>is</w:t>
      </w:r>
      <w:r w:rsidR="00422476">
        <w:rPr>
          <w:lang w:bidi="he-IL"/>
        </w:rPr>
        <w:t xml:space="preserve"> twenty pages </w:t>
      </w:r>
      <w:r w:rsidR="00C305F5">
        <w:rPr>
          <w:lang w:bidi="he-IL"/>
        </w:rPr>
        <w:t xml:space="preserve">long </w:t>
      </w:r>
      <w:r w:rsidR="00422476">
        <w:rPr>
          <w:lang w:bidi="he-IL"/>
        </w:rPr>
        <w:t xml:space="preserve">and </w:t>
      </w:r>
      <w:r w:rsidR="000571D7">
        <w:rPr>
          <w:lang w:bidi="he-IL"/>
        </w:rPr>
        <w:t>include</w:t>
      </w:r>
      <w:r w:rsidR="00EB1493">
        <w:rPr>
          <w:lang w:bidi="he-IL"/>
        </w:rPr>
        <w:t>s</w:t>
      </w:r>
      <w:r w:rsidR="000571D7">
        <w:rPr>
          <w:lang w:bidi="he-IL"/>
        </w:rPr>
        <w:t xml:space="preserve"> Samet’s </w:t>
      </w:r>
      <w:r w:rsidR="00422476">
        <w:rPr>
          <w:lang w:bidi="he-IL"/>
        </w:rPr>
        <w:t>understanding of Ramban</w:t>
      </w:r>
      <w:r w:rsidR="006E19BF">
        <w:rPr>
          <w:lang w:bidi="he-IL"/>
        </w:rPr>
        <w:t xml:space="preserve"> regarding chronology. </w:t>
      </w:r>
    </w:p>
    <w:p w14:paraId="06395C66" w14:textId="0B676E84" w:rsidR="003271F1" w:rsidRDefault="006E19BF" w:rsidP="00D65D29">
      <w:pPr>
        <w:rPr>
          <w:lang w:bidi="he-IL"/>
        </w:rPr>
      </w:pPr>
      <w:r>
        <w:rPr>
          <w:lang w:bidi="he-IL"/>
        </w:rPr>
        <w:t xml:space="preserve">I have chosen a less complicated </w:t>
      </w:r>
      <w:r w:rsidR="001E1254">
        <w:rPr>
          <w:lang w:bidi="he-IL"/>
        </w:rPr>
        <w:t>essay</w:t>
      </w:r>
      <w:r>
        <w:rPr>
          <w:lang w:bidi="he-IL"/>
        </w:rPr>
        <w:t xml:space="preserve"> </w:t>
      </w:r>
      <w:r w:rsidR="004363C7">
        <w:rPr>
          <w:lang w:bidi="he-IL"/>
        </w:rPr>
        <w:t xml:space="preserve">which illustrates Samet’s </w:t>
      </w:r>
      <w:r w:rsidR="00644ED0">
        <w:rPr>
          <w:lang w:bidi="he-IL"/>
        </w:rPr>
        <w:t>understanding of biblical order</w:t>
      </w:r>
      <w:r w:rsidR="00644ED0">
        <w:rPr>
          <w:lang w:bidi="he-IL"/>
        </w:rPr>
        <w:t xml:space="preserve"> according to Nahmanides. </w:t>
      </w:r>
      <w:r w:rsidR="004363C7">
        <w:rPr>
          <w:lang w:bidi="he-IL"/>
        </w:rPr>
        <w:t>command of rabbinic</w:t>
      </w:r>
      <w:r w:rsidR="003178EE">
        <w:rPr>
          <w:lang w:bidi="he-IL"/>
        </w:rPr>
        <w:t xml:space="preserve"> and</w:t>
      </w:r>
      <w:r w:rsidR="004363C7">
        <w:rPr>
          <w:lang w:bidi="he-IL"/>
        </w:rPr>
        <w:t xml:space="preserve"> medieval</w:t>
      </w:r>
      <w:r w:rsidR="003178EE">
        <w:rPr>
          <w:lang w:bidi="he-IL"/>
        </w:rPr>
        <w:t xml:space="preserve"> interpretation</w:t>
      </w:r>
      <w:r w:rsidR="00311164">
        <w:rPr>
          <w:lang w:bidi="he-IL"/>
        </w:rPr>
        <w:t xml:space="preserve"> as regards a question of biblical or</w:t>
      </w:r>
      <w:r w:rsidR="00F37960">
        <w:rPr>
          <w:lang w:bidi="he-IL"/>
        </w:rPr>
        <w:t>d</w:t>
      </w:r>
      <w:r w:rsidR="00311164">
        <w:rPr>
          <w:lang w:bidi="he-IL"/>
        </w:rPr>
        <w:t>er</w:t>
      </w:r>
      <w:r w:rsidR="001E1254">
        <w:rPr>
          <w:lang w:bidi="he-IL"/>
        </w:rPr>
        <w:t xml:space="preserve"> </w:t>
      </w:r>
      <w:r w:rsidR="009A3A73">
        <w:rPr>
          <w:lang w:bidi="he-IL"/>
        </w:rPr>
        <w:t>and his own</w:t>
      </w:r>
      <w:r w:rsidR="00F37960">
        <w:rPr>
          <w:lang w:bidi="he-IL"/>
        </w:rPr>
        <w:t xml:space="preserve">. </w:t>
      </w:r>
      <w:r w:rsidR="003271F1">
        <w:rPr>
          <w:lang w:bidi="he-IL"/>
        </w:rPr>
        <w:t>Israel arriv</w:t>
      </w:r>
      <w:r w:rsidR="003178EE">
        <w:rPr>
          <w:lang w:bidi="he-IL"/>
        </w:rPr>
        <w:t>ed</w:t>
      </w:r>
      <w:r w:rsidR="003271F1">
        <w:rPr>
          <w:lang w:bidi="he-IL"/>
        </w:rPr>
        <w:t xml:space="preserve"> at </w:t>
      </w:r>
      <w:r w:rsidR="00B45FA3">
        <w:rPr>
          <w:lang w:bidi="he-IL"/>
        </w:rPr>
        <w:t>a</w:t>
      </w:r>
      <w:r w:rsidR="003271F1">
        <w:rPr>
          <w:lang w:bidi="he-IL"/>
        </w:rPr>
        <w:t xml:space="preserve"> place called Marah</w:t>
      </w:r>
      <w:r w:rsidR="00954319">
        <w:rPr>
          <w:lang w:bidi="he-IL"/>
        </w:rPr>
        <w:t xml:space="preserve"> </w:t>
      </w:r>
      <w:r w:rsidR="00C90B89">
        <w:rPr>
          <w:lang w:bidi="he-IL"/>
        </w:rPr>
        <w:t xml:space="preserve">after the Exodus </w:t>
      </w:r>
      <w:r w:rsidR="00B0243F">
        <w:rPr>
          <w:lang w:bidi="he-IL"/>
        </w:rPr>
        <w:t>from Egypt</w:t>
      </w:r>
      <w:r w:rsidR="00090CE0">
        <w:rPr>
          <w:lang w:bidi="he-IL"/>
        </w:rPr>
        <w:t>,</w:t>
      </w:r>
      <w:r w:rsidR="00553760">
        <w:rPr>
          <w:lang w:bidi="he-IL"/>
        </w:rPr>
        <w:t xml:space="preserve"> thirsting for water</w:t>
      </w:r>
      <w:r w:rsidR="00514BB2">
        <w:rPr>
          <w:lang w:bidi="he-IL"/>
        </w:rPr>
        <w:t xml:space="preserve"> that was</w:t>
      </w:r>
      <w:r w:rsidR="006D5C48">
        <w:rPr>
          <w:lang w:bidi="he-IL"/>
        </w:rPr>
        <w:t>,</w:t>
      </w:r>
      <w:r w:rsidR="00514BB2">
        <w:rPr>
          <w:lang w:bidi="he-IL"/>
        </w:rPr>
        <w:t xml:space="preserve"> </w:t>
      </w:r>
      <w:r w:rsidR="000A42A8">
        <w:rPr>
          <w:lang w:bidi="he-IL"/>
        </w:rPr>
        <w:t>alas</w:t>
      </w:r>
      <w:r w:rsidR="006D5C48">
        <w:rPr>
          <w:lang w:bidi="he-IL"/>
        </w:rPr>
        <w:t>,</w:t>
      </w:r>
      <w:r w:rsidR="000A42A8">
        <w:rPr>
          <w:lang w:bidi="he-IL"/>
        </w:rPr>
        <w:t xml:space="preserve"> </w:t>
      </w:r>
      <w:r w:rsidR="00514BB2">
        <w:rPr>
          <w:lang w:bidi="he-IL"/>
        </w:rPr>
        <w:t>not potable</w:t>
      </w:r>
      <w:r w:rsidR="002A5A2C">
        <w:rPr>
          <w:lang w:bidi="he-IL"/>
        </w:rPr>
        <w:t xml:space="preserve"> (Ex15:22 – 26)</w:t>
      </w:r>
      <w:r w:rsidR="00B45FA3">
        <w:rPr>
          <w:lang w:bidi="he-IL"/>
        </w:rPr>
        <w:t xml:space="preserve">. </w:t>
      </w:r>
      <w:r w:rsidR="00553760">
        <w:rPr>
          <w:lang w:bidi="he-IL"/>
        </w:rPr>
        <w:t xml:space="preserve"> </w:t>
      </w:r>
      <w:r w:rsidR="00980311">
        <w:rPr>
          <w:lang w:bidi="he-IL"/>
        </w:rPr>
        <w:t>Once</w:t>
      </w:r>
      <w:r w:rsidR="00090CE0">
        <w:rPr>
          <w:lang w:bidi="he-IL"/>
        </w:rPr>
        <w:t xml:space="preserve"> the bitter waters at Marah were sweetened</w:t>
      </w:r>
      <w:r w:rsidR="00DD343C">
        <w:rPr>
          <w:lang w:bidi="he-IL"/>
        </w:rPr>
        <w:t xml:space="preserve"> by Moses as per the Lord’s instruction</w:t>
      </w:r>
      <w:r w:rsidR="00090CE0">
        <w:rPr>
          <w:lang w:bidi="he-IL"/>
        </w:rPr>
        <w:t xml:space="preserve">, </w:t>
      </w:r>
      <w:r w:rsidR="00514BB2">
        <w:rPr>
          <w:lang w:bidi="he-IL"/>
        </w:rPr>
        <w:t>we</w:t>
      </w:r>
      <w:r w:rsidR="000641FA">
        <w:rPr>
          <w:lang w:bidi="he-IL"/>
        </w:rPr>
        <w:t xml:space="preserve"> read</w:t>
      </w:r>
      <w:r w:rsidR="0080556B">
        <w:rPr>
          <w:lang w:bidi="he-IL"/>
        </w:rPr>
        <w:t>:</w:t>
      </w:r>
      <w:r w:rsidR="000641FA">
        <w:rPr>
          <w:lang w:bidi="he-IL"/>
        </w:rPr>
        <w:t xml:space="preserve"> “</w:t>
      </w:r>
      <w:r w:rsidR="00F7176D">
        <w:rPr>
          <w:lang w:bidi="he-IL"/>
        </w:rPr>
        <w:t>T</w:t>
      </w:r>
      <w:r w:rsidR="000641FA">
        <w:rPr>
          <w:lang w:bidi="he-IL"/>
        </w:rPr>
        <w:t>here He made for them a fixed rule and there He put them to the test</w:t>
      </w:r>
      <w:r w:rsidR="00F7176D">
        <w:rPr>
          <w:lang w:bidi="he-IL"/>
        </w:rPr>
        <w:t>”</w:t>
      </w:r>
      <w:r w:rsidR="000641FA">
        <w:rPr>
          <w:lang w:bidi="he-IL"/>
        </w:rPr>
        <w:t xml:space="preserve"> (Ex 15:</w:t>
      </w:r>
      <w:r w:rsidR="00F12F47">
        <w:rPr>
          <w:lang w:bidi="he-IL"/>
        </w:rPr>
        <w:t xml:space="preserve">25). The Hebrew </w:t>
      </w:r>
      <w:r w:rsidR="0012242A">
        <w:rPr>
          <w:lang w:bidi="he-IL"/>
        </w:rPr>
        <w:t>for</w:t>
      </w:r>
      <w:r w:rsidR="006D5C48">
        <w:rPr>
          <w:lang w:bidi="he-IL"/>
        </w:rPr>
        <w:t xml:space="preserve"> </w:t>
      </w:r>
      <w:r w:rsidR="00F12F47">
        <w:rPr>
          <w:lang w:bidi="he-IL"/>
        </w:rPr>
        <w:t xml:space="preserve">“fixed rule” is the hendiadys </w:t>
      </w:r>
      <w:proofErr w:type="spellStart"/>
      <w:r w:rsidR="00F12F47" w:rsidRPr="00F12F47">
        <w:rPr>
          <w:i/>
          <w:iCs/>
          <w:lang w:bidi="he-IL"/>
        </w:rPr>
        <w:t>hok</w:t>
      </w:r>
      <w:proofErr w:type="spellEnd"/>
      <w:r w:rsidR="00F12F47" w:rsidRPr="00F12F47">
        <w:rPr>
          <w:i/>
          <w:iCs/>
          <w:lang w:bidi="he-IL"/>
        </w:rPr>
        <w:t xml:space="preserve"> </w:t>
      </w:r>
      <w:proofErr w:type="spellStart"/>
      <w:r w:rsidR="00F12F47" w:rsidRPr="00F12F47">
        <w:rPr>
          <w:i/>
          <w:iCs/>
          <w:lang w:bidi="he-IL"/>
        </w:rPr>
        <w:t>umishpat</w:t>
      </w:r>
      <w:proofErr w:type="spellEnd"/>
      <w:r w:rsidR="00F12F47">
        <w:rPr>
          <w:lang w:bidi="he-IL"/>
        </w:rPr>
        <w:t>.</w:t>
      </w:r>
      <w:r w:rsidR="007E3B69">
        <w:rPr>
          <w:rStyle w:val="FootnoteReference"/>
          <w:lang w:bidi="he-IL"/>
        </w:rPr>
        <w:footnoteReference w:id="40"/>
      </w:r>
      <w:r w:rsidR="006D5C48">
        <w:rPr>
          <w:lang w:bidi="he-IL"/>
        </w:rPr>
        <w:t xml:space="preserve"> It is the way of</w:t>
      </w:r>
      <w:r w:rsidR="002046F0">
        <w:rPr>
          <w:lang w:bidi="he-IL"/>
        </w:rPr>
        <w:t xml:space="preserve"> </w:t>
      </w:r>
      <w:r w:rsidR="00053EFB">
        <w:rPr>
          <w:lang w:bidi="he-IL"/>
        </w:rPr>
        <w:t xml:space="preserve">Midrash </w:t>
      </w:r>
      <w:r w:rsidR="006D5C48">
        <w:rPr>
          <w:lang w:bidi="he-IL"/>
        </w:rPr>
        <w:t>to</w:t>
      </w:r>
      <w:r w:rsidR="005D3DF9">
        <w:rPr>
          <w:lang w:bidi="he-IL"/>
        </w:rPr>
        <w:t xml:space="preserve"> br</w:t>
      </w:r>
      <w:r w:rsidR="00681928">
        <w:rPr>
          <w:lang w:bidi="he-IL"/>
        </w:rPr>
        <w:t>eak</w:t>
      </w:r>
      <w:r w:rsidR="006D5C48">
        <w:rPr>
          <w:lang w:bidi="he-IL"/>
        </w:rPr>
        <w:t xml:space="preserve"> </w:t>
      </w:r>
      <w:r w:rsidR="005D3DF9">
        <w:rPr>
          <w:lang w:bidi="he-IL"/>
        </w:rPr>
        <w:t xml:space="preserve">up </w:t>
      </w:r>
      <w:r w:rsidR="000842DB">
        <w:rPr>
          <w:lang w:bidi="he-IL"/>
        </w:rPr>
        <w:t>such a phrase:</w:t>
      </w:r>
      <w:r w:rsidR="005D3DF9">
        <w:rPr>
          <w:lang w:bidi="he-IL"/>
        </w:rPr>
        <w:t xml:space="preserve"> </w:t>
      </w:r>
      <w:proofErr w:type="spellStart"/>
      <w:r w:rsidR="002046F0" w:rsidRPr="002046F0">
        <w:rPr>
          <w:i/>
          <w:iCs/>
          <w:lang w:bidi="he-IL"/>
        </w:rPr>
        <w:t>hok</w:t>
      </w:r>
      <w:proofErr w:type="spellEnd"/>
      <w:r w:rsidR="002046F0">
        <w:rPr>
          <w:lang w:bidi="he-IL"/>
        </w:rPr>
        <w:t xml:space="preserve"> refer</w:t>
      </w:r>
      <w:r w:rsidR="0012242A">
        <w:rPr>
          <w:lang w:bidi="he-IL"/>
        </w:rPr>
        <w:t>s</w:t>
      </w:r>
      <w:r w:rsidR="002046F0">
        <w:rPr>
          <w:lang w:bidi="he-IL"/>
        </w:rPr>
        <w:t xml:space="preserve"> to laws</w:t>
      </w:r>
      <w:r w:rsidR="00B97000">
        <w:rPr>
          <w:lang w:bidi="he-IL"/>
        </w:rPr>
        <w:t xml:space="preserve"> </w:t>
      </w:r>
      <w:r w:rsidR="002046F0">
        <w:rPr>
          <w:lang w:bidi="he-IL"/>
        </w:rPr>
        <w:t xml:space="preserve">with </w:t>
      </w:r>
      <w:r w:rsidR="00AA6A3D">
        <w:rPr>
          <w:lang w:bidi="he-IL"/>
        </w:rPr>
        <w:t>n</w:t>
      </w:r>
      <w:r w:rsidR="002046F0">
        <w:rPr>
          <w:lang w:bidi="he-IL"/>
        </w:rPr>
        <w:t>o stated reason</w:t>
      </w:r>
      <w:r w:rsidR="0012242A">
        <w:rPr>
          <w:lang w:bidi="he-IL"/>
        </w:rPr>
        <w:t>,</w:t>
      </w:r>
      <w:r w:rsidR="002046F0">
        <w:rPr>
          <w:lang w:bidi="he-IL"/>
        </w:rPr>
        <w:t xml:space="preserve"> </w:t>
      </w:r>
      <w:proofErr w:type="spellStart"/>
      <w:r w:rsidR="002046F0" w:rsidRPr="00AA6A3D">
        <w:rPr>
          <w:i/>
          <w:iCs/>
          <w:lang w:bidi="he-IL"/>
        </w:rPr>
        <w:t>mishpat</w:t>
      </w:r>
      <w:proofErr w:type="spellEnd"/>
      <w:r w:rsidR="002046F0">
        <w:rPr>
          <w:lang w:bidi="he-IL"/>
        </w:rPr>
        <w:t xml:space="preserve"> refer</w:t>
      </w:r>
      <w:r w:rsidR="0012242A">
        <w:rPr>
          <w:lang w:bidi="he-IL"/>
        </w:rPr>
        <w:t>s</w:t>
      </w:r>
      <w:r w:rsidR="002046F0">
        <w:rPr>
          <w:lang w:bidi="he-IL"/>
        </w:rPr>
        <w:t xml:space="preserve"> to rational command</w:t>
      </w:r>
      <w:r w:rsidR="000B786B">
        <w:rPr>
          <w:lang w:bidi="he-IL"/>
        </w:rPr>
        <w:t>ment</w:t>
      </w:r>
      <w:r w:rsidR="002046F0">
        <w:rPr>
          <w:lang w:bidi="he-IL"/>
        </w:rPr>
        <w:t xml:space="preserve">s. </w:t>
      </w:r>
      <w:r w:rsidR="00DF2AD3">
        <w:rPr>
          <w:lang w:bidi="he-IL"/>
        </w:rPr>
        <w:t>A</w:t>
      </w:r>
      <w:r w:rsidR="005E2C97">
        <w:rPr>
          <w:lang w:bidi="he-IL"/>
        </w:rPr>
        <w:t xml:space="preserve">ccording to the Midrash, </w:t>
      </w:r>
      <w:r w:rsidR="004C78AF">
        <w:rPr>
          <w:lang w:bidi="he-IL"/>
        </w:rPr>
        <w:t xml:space="preserve">Israel </w:t>
      </w:r>
      <w:r w:rsidR="00C90B89">
        <w:rPr>
          <w:lang w:bidi="he-IL"/>
        </w:rPr>
        <w:t>received</w:t>
      </w:r>
      <w:r w:rsidR="009331E3">
        <w:rPr>
          <w:lang w:bidi="he-IL"/>
        </w:rPr>
        <w:t xml:space="preserve"> at Marah</w:t>
      </w:r>
      <w:r w:rsidR="00F7176D">
        <w:rPr>
          <w:lang w:bidi="he-IL"/>
        </w:rPr>
        <w:t xml:space="preserve">, in advance of </w:t>
      </w:r>
      <w:r w:rsidR="00C90B89">
        <w:rPr>
          <w:lang w:bidi="he-IL"/>
        </w:rPr>
        <w:t xml:space="preserve">the Torah given at </w:t>
      </w:r>
      <w:r w:rsidR="00F7176D">
        <w:rPr>
          <w:lang w:bidi="he-IL"/>
        </w:rPr>
        <w:t xml:space="preserve">Sinai, </w:t>
      </w:r>
      <w:r w:rsidR="004A23A4">
        <w:rPr>
          <w:lang w:bidi="he-IL"/>
        </w:rPr>
        <w:t xml:space="preserve">three commandments </w:t>
      </w:r>
      <w:r w:rsidR="00E91AE3">
        <w:rPr>
          <w:lang w:bidi="he-IL"/>
        </w:rPr>
        <w:t>(</w:t>
      </w:r>
      <w:r w:rsidR="00E91AE3" w:rsidRPr="00E91AE3">
        <w:rPr>
          <w:i/>
          <w:iCs/>
          <w:lang w:bidi="he-IL"/>
        </w:rPr>
        <w:t>mitzvot</w:t>
      </w:r>
      <w:r w:rsidR="00E91AE3">
        <w:rPr>
          <w:lang w:bidi="he-IL"/>
        </w:rPr>
        <w:t>)</w:t>
      </w:r>
      <w:r w:rsidR="009331E3">
        <w:rPr>
          <w:lang w:bidi="he-IL"/>
        </w:rPr>
        <w:t>,</w:t>
      </w:r>
      <w:r w:rsidR="00E91AE3">
        <w:rPr>
          <w:lang w:bidi="he-IL"/>
        </w:rPr>
        <w:t xml:space="preserve"> </w:t>
      </w:r>
      <w:r w:rsidR="00DF2AD3">
        <w:rPr>
          <w:lang w:bidi="he-IL"/>
        </w:rPr>
        <w:t>part</w:t>
      </w:r>
      <w:r w:rsidR="00E91AE3">
        <w:rPr>
          <w:lang w:bidi="he-IL"/>
        </w:rPr>
        <w:t xml:space="preserve"> ritual and</w:t>
      </w:r>
      <w:r w:rsidR="00DF2AD3">
        <w:rPr>
          <w:lang w:bidi="he-IL"/>
        </w:rPr>
        <w:t xml:space="preserve"> part</w:t>
      </w:r>
      <w:r w:rsidR="00E91AE3">
        <w:rPr>
          <w:lang w:bidi="he-IL"/>
        </w:rPr>
        <w:t xml:space="preserve"> rational</w:t>
      </w:r>
      <w:r w:rsidR="004A23A4">
        <w:rPr>
          <w:lang w:bidi="he-IL"/>
        </w:rPr>
        <w:t xml:space="preserve">: the Sabbath, the Red Heifer, and </w:t>
      </w:r>
      <w:r w:rsidR="00AE2896">
        <w:rPr>
          <w:lang w:bidi="he-IL"/>
        </w:rPr>
        <w:t>C</w:t>
      </w:r>
      <w:r w:rsidR="004A23A4">
        <w:rPr>
          <w:lang w:bidi="he-IL"/>
        </w:rPr>
        <w:t>ivil law</w:t>
      </w:r>
      <w:r w:rsidR="00053EFB">
        <w:rPr>
          <w:lang w:bidi="he-IL"/>
        </w:rPr>
        <w:t xml:space="preserve"> </w:t>
      </w:r>
      <w:r w:rsidR="007313DA">
        <w:rPr>
          <w:lang w:bidi="he-IL"/>
        </w:rPr>
        <w:t xml:space="preserve">or torts </w:t>
      </w:r>
      <w:r w:rsidR="00053EFB">
        <w:rPr>
          <w:lang w:bidi="he-IL"/>
        </w:rPr>
        <w:t>(BT Sanhedrin 56b)</w:t>
      </w:r>
      <w:r w:rsidR="004A23A4">
        <w:rPr>
          <w:lang w:bidi="he-IL"/>
        </w:rPr>
        <w:t>.</w:t>
      </w:r>
      <w:r w:rsidR="000104BC">
        <w:rPr>
          <w:rStyle w:val="FootnoteReference"/>
          <w:rFonts w:cs="Arial"/>
        </w:rPr>
        <w:footnoteReference w:id="41"/>
      </w:r>
    </w:p>
    <w:p w14:paraId="5F8BC2A4" w14:textId="5A0B46F5" w:rsidR="004A23A4" w:rsidRDefault="004A23A4" w:rsidP="00D65D29">
      <w:pPr>
        <w:rPr>
          <w:lang w:bidi="he-IL"/>
        </w:rPr>
      </w:pPr>
      <w:r>
        <w:rPr>
          <w:lang w:bidi="he-IL"/>
        </w:rPr>
        <w:t xml:space="preserve">Rashi adopted this </w:t>
      </w:r>
      <w:r w:rsidR="006F23F4">
        <w:rPr>
          <w:lang w:bidi="he-IL"/>
        </w:rPr>
        <w:t xml:space="preserve">interpretation </w:t>
      </w:r>
      <w:r w:rsidR="008B178C">
        <w:rPr>
          <w:lang w:bidi="he-IL"/>
        </w:rPr>
        <w:t>in his comment on the verse</w:t>
      </w:r>
      <w:r w:rsidR="002D735A">
        <w:rPr>
          <w:lang w:bidi="he-IL"/>
        </w:rPr>
        <w:t xml:space="preserve"> (15:25)</w:t>
      </w:r>
      <w:r w:rsidR="006F23F4">
        <w:rPr>
          <w:lang w:bidi="he-IL"/>
        </w:rPr>
        <w:t>:</w:t>
      </w:r>
    </w:p>
    <w:p w14:paraId="31DF4F2E" w14:textId="06A3234F" w:rsidR="006F23F4" w:rsidRDefault="006F23F4" w:rsidP="006F23F4">
      <w:pPr>
        <w:ind w:left="1440"/>
        <w:rPr>
          <w:rFonts w:cs="Arial"/>
        </w:rPr>
      </w:pPr>
      <w:r>
        <w:rPr>
          <w:rFonts w:cs="Arial"/>
        </w:rPr>
        <w:t xml:space="preserve">Here He made for them a statute and an ordinance”—At Marah He gave them a few sections of the Torah in order that they might engage in the study thereof; </w:t>
      </w:r>
      <w:r w:rsidRPr="00F0530E">
        <w:rPr>
          <w:rFonts w:cs="Arial"/>
          <w:i/>
          <w:iCs/>
        </w:rPr>
        <w:t>viz</w:t>
      </w:r>
      <w:r>
        <w:rPr>
          <w:rFonts w:cs="Arial"/>
        </w:rPr>
        <w:t>., the sections containing the command regarding the Sabbath, the red heifer and the administration of justice (BT Sanhedrin 56b).</w:t>
      </w:r>
      <w:r w:rsidR="00281A1D">
        <w:rPr>
          <w:rStyle w:val="FootnoteReference"/>
          <w:rFonts w:cs="Arial"/>
        </w:rPr>
        <w:footnoteReference w:id="42"/>
      </w:r>
    </w:p>
    <w:p w14:paraId="6BE698E7" w14:textId="3AFAFE34" w:rsidR="006F23F4" w:rsidRPr="0092747E" w:rsidRDefault="007C06ED" w:rsidP="0089212C">
      <w:pPr>
        <w:rPr>
          <w:lang w:bidi="he-IL"/>
        </w:rPr>
      </w:pPr>
      <w:r>
        <w:rPr>
          <w:rFonts w:cs="Arial"/>
        </w:rPr>
        <w:t>Ramban rejected this line of interpretation.</w:t>
      </w:r>
      <w:r w:rsidR="00C11419">
        <w:rPr>
          <w:rFonts w:cs="Arial"/>
        </w:rPr>
        <w:t xml:space="preserve"> </w:t>
      </w:r>
      <w:r w:rsidR="002D735A">
        <w:rPr>
          <w:rFonts w:cs="Arial"/>
        </w:rPr>
        <w:t>For him, t</w:t>
      </w:r>
      <w:r w:rsidR="00C11419">
        <w:rPr>
          <w:rFonts w:cs="Arial"/>
        </w:rPr>
        <w:t xml:space="preserve">he phrase </w:t>
      </w:r>
      <w:proofErr w:type="spellStart"/>
      <w:r w:rsidR="00C11419" w:rsidRPr="00F12F47">
        <w:rPr>
          <w:i/>
          <w:iCs/>
          <w:lang w:bidi="he-IL"/>
        </w:rPr>
        <w:t>hok</w:t>
      </w:r>
      <w:proofErr w:type="spellEnd"/>
      <w:r w:rsidR="00C11419" w:rsidRPr="00F12F47">
        <w:rPr>
          <w:i/>
          <w:iCs/>
          <w:lang w:bidi="he-IL"/>
        </w:rPr>
        <w:t xml:space="preserve"> </w:t>
      </w:r>
      <w:proofErr w:type="spellStart"/>
      <w:r w:rsidR="00C11419" w:rsidRPr="00F12F47">
        <w:rPr>
          <w:i/>
          <w:iCs/>
          <w:lang w:bidi="he-IL"/>
        </w:rPr>
        <w:t>umishpat</w:t>
      </w:r>
      <w:proofErr w:type="spellEnd"/>
      <w:r w:rsidR="00C11419">
        <w:rPr>
          <w:i/>
          <w:iCs/>
          <w:lang w:bidi="he-IL"/>
        </w:rPr>
        <w:t xml:space="preserve"> </w:t>
      </w:r>
      <w:r w:rsidR="00C11419">
        <w:rPr>
          <w:rFonts w:cs="Arial"/>
        </w:rPr>
        <w:t xml:space="preserve">was not a reference to </w:t>
      </w:r>
      <w:r w:rsidR="00481E5B">
        <w:rPr>
          <w:rFonts w:cs="Arial"/>
        </w:rPr>
        <w:t xml:space="preserve">three </w:t>
      </w:r>
      <w:r w:rsidR="00C11419">
        <w:rPr>
          <w:rFonts w:cs="Arial"/>
        </w:rPr>
        <w:t xml:space="preserve">specific commandments to be found </w:t>
      </w:r>
      <w:proofErr w:type="gramStart"/>
      <w:r w:rsidR="00481E5B">
        <w:rPr>
          <w:rFonts w:cs="Arial"/>
        </w:rPr>
        <w:t>later on</w:t>
      </w:r>
      <w:proofErr w:type="gramEnd"/>
      <w:r w:rsidR="00481E5B">
        <w:rPr>
          <w:rFonts w:cs="Arial"/>
        </w:rPr>
        <w:t xml:space="preserve"> </w:t>
      </w:r>
      <w:r w:rsidR="00C11419">
        <w:rPr>
          <w:rFonts w:cs="Arial"/>
        </w:rPr>
        <w:t xml:space="preserve">in the Torah. </w:t>
      </w:r>
      <w:r>
        <w:rPr>
          <w:rFonts w:cs="Arial"/>
        </w:rPr>
        <w:t xml:space="preserve"> He understood the term</w:t>
      </w:r>
      <w:r w:rsidR="00E52CE9">
        <w:rPr>
          <w:rFonts w:cs="Arial"/>
        </w:rPr>
        <w:t xml:space="preserve"> </w:t>
      </w:r>
      <w:r w:rsidR="00020983">
        <w:rPr>
          <w:rFonts w:cs="Arial"/>
        </w:rPr>
        <w:t xml:space="preserve">in its present context </w:t>
      </w:r>
      <w:r w:rsidR="007864DE">
        <w:rPr>
          <w:lang w:bidi="he-IL"/>
        </w:rPr>
        <w:t>to mean</w:t>
      </w:r>
      <w:r w:rsidR="0054511E">
        <w:rPr>
          <w:rFonts w:cs="Arial"/>
        </w:rPr>
        <w:t xml:space="preserve"> customs and practices </w:t>
      </w:r>
      <w:r w:rsidR="00DA1D7F">
        <w:rPr>
          <w:rFonts w:cs="Arial"/>
        </w:rPr>
        <w:t xml:space="preserve">necessary </w:t>
      </w:r>
      <w:r w:rsidR="00FB7F03">
        <w:rPr>
          <w:rFonts w:cs="Arial"/>
        </w:rPr>
        <w:t>for people about to embark on a journey through the desert</w:t>
      </w:r>
      <w:r w:rsidR="002E7E1A">
        <w:rPr>
          <w:rFonts w:cs="Arial"/>
        </w:rPr>
        <w:t xml:space="preserve">. </w:t>
      </w:r>
      <w:r w:rsidR="00FB2E30">
        <w:rPr>
          <w:rFonts w:cs="Arial"/>
        </w:rPr>
        <w:t>T</w:t>
      </w:r>
      <w:r w:rsidR="000104BC">
        <w:rPr>
          <w:rFonts w:cs="Arial"/>
        </w:rPr>
        <w:t>he</w:t>
      </w:r>
      <w:r w:rsidR="00C47096">
        <w:rPr>
          <w:rFonts w:cs="Arial"/>
        </w:rPr>
        <w:t xml:space="preserve"> sojourners </w:t>
      </w:r>
      <w:r w:rsidR="000104BC">
        <w:rPr>
          <w:rFonts w:cs="Arial"/>
        </w:rPr>
        <w:t xml:space="preserve">must </w:t>
      </w:r>
      <w:r w:rsidR="001B17FB">
        <w:rPr>
          <w:rFonts w:cs="Arial"/>
        </w:rPr>
        <w:t xml:space="preserve">learn </w:t>
      </w:r>
      <w:r w:rsidR="00225081">
        <w:rPr>
          <w:rFonts w:cs="Arial"/>
        </w:rPr>
        <w:t>to withstand hunger and thirst</w:t>
      </w:r>
      <w:r w:rsidR="002E7E1A">
        <w:rPr>
          <w:rFonts w:cs="Arial"/>
        </w:rPr>
        <w:t>;</w:t>
      </w:r>
      <w:r w:rsidR="00225081">
        <w:rPr>
          <w:rFonts w:cs="Arial"/>
        </w:rPr>
        <w:t xml:space="preserve"> to appeal to the Lord</w:t>
      </w:r>
      <w:r w:rsidR="00FB2E30">
        <w:rPr>
          <w:rFonts w:cs="Arial"/>
        </w:rPr>
        <w:t xml:space="preserve"> for their needs</w:t>
      </w:r>
      <w:r w:rsidR="00225081">
        <w:rPr>
          <w:rFonts w:cs="Arial"/>
        </w:rPr>
        <w:t xml:space="preserve">, </w:t>
      </w:r>
      <w:r w:rsidR="00225081">
        <w:rPr>
          <w:rFonts w:cs="Arial"/>
        </w:rPr>
        <w:lastRenderedPageBreak/>
        <w:t>rath</w:t>
      </w:r>
      <w:r w:rsidR="00396CAD">
        <w:rPr>
          <w:rFonts w:cs="Arial"/>
        </w:rPr>
        <w:t>e</w:t>
      </w:r>
      <w:r w:rsidR="00225081">
        <w:rPr>
          <w:rFonts w:cs="Arial"/>
        </w:rPr>
        <w:t xml:space="preserve">r than </w:t>
      </w:r>
      <w:r w:rsidR="00C47096">
        <w:rPr>
          <w:rFonts w:cs="Arial"/>
        </w:rPr>
        <w:t xml:space="preserve">to </w:t>
      </w:r>
      <w:r w:rsidR="00225081">
        <w:rPr>
          <w:rFonts w:cs="Arial"/>
        </w:rPr>
        <w:t xml:space="preserve">complain; to </w:t>
      </w:r>
      <w:r w:rsidR="00396CAD">
        <w:rPr>
          <w:rFonts w:cs="Arial"/>
        </w:rPr>
        <w:t>love their fellow man</w:t>
      </w:r>
      <w:r w:rsidR="004B39D1">
        <w:rPr>
          <w:rFonts w:cs="Arial"/>
        </w:rPr>
        <w:t>;</w:t>
      </w:r>
      <w:r w:rsidR="00396CAD">
        <w:rPr>
          <w:rFonts w:cs="Arial"/>
        </w:rPr>
        <w:t xml:space="preserve"> to </w:t>
      </w:r>
      <w:r w:rsidR="003403FB">
        <w:rPr>
          <w:rFonts w:cs="Arial"/>
        </w:rPr>
        <w:t xml:space="preserve">take advice from </w:t>
      </w:r>
      <w:r w:rsidR="00396CAD">
        <w:rPr>
          <w:rFonts w:cs="Arial"/>
        </w:rPr>
        <w:t>the elders</w:t>
      </w:r>
      <w:r w:rsidR="004B39D1">
        <w:rPr>
          <w:rFonts w:cs="Arial"/>
        </w:rPr>
        <w:t>;</w:t>
      </w:r>
      <w:r w:rsidR="00396CAD">
        <w:rPr>
          <w:rFonts w:cs="Arial"/>
        </w:rPr>
        <w:t xml:space="preserve"> to conduct themselves with modesty within </w:t>
      </w:r>
      <w:r w:rsidR="003403FB">
        <w:rPr>
          <w:rFonts w:cs="Arial"/>
        </w:rPr>
        <w:t>their tents</w:t>
      </w:r>
      <w:r w:rsidR="00396CAD">
        <w:rPr>
          <w:rFonts w:cs="Arial"/>
        </w:rPr>
        <w:t xml:space="preserve">. </w:t>
      </w:r>
      <w:r w:rsidR="003E459C">
        <w:rPr>
          <w:rFonts w:cs="Arial"/>
        </w:rPr>
        <w:t xml:space="preserve">This behavior was termed </w:t>
      </w:r>
      <w:proofErr w:type="spellStart"/>
      <w:r w:rsidR="003E459C" w:rsidRPr="003E459C">
        <w:rPr>
          <w:rFonts w:cs="Arial"/>
          <w:i/>
          <w:iCs/>
        </w:rPr>
        <w:t>hok</w:t>
      </w:r>
      <w:proofErr w:type="spellEnd"/>
      <w:r w:rsidR="003E459C" w:rsidRPr="003E459C">
        <w:rPr>
          <w:rFonts w:cs="Arial"/>
          <w:i/>
          <w:iCs/>
        </w:rPr>
        <w:t xml:space="preserve"> </w:t>
      </w:r>
      <w:proofErr w:type="spellStart"/>
      <w:r w:rsidR="003E459C" w:rsidRPr="003E459C">
        <w:rPr>
          <w:rFonts w:cs="Arial"/>
          <w:i/>
          <w:iCs/>
        </w:rPr>
        <w:t>umishpat</w:t>
      </w:r>
      <w:proofErr w:type="spellEnd"/>
      <w:r w:rsidR="003E459C">
        <w:rPr>
          <w:rFonts w:cs="Arial"/>
        </w:rPr>
        <w:t>.</w:t>
      </w:r>
      <w:r w:rsidR="00E57A86">
        <w:rPr>
          <w:rStyle w:val="FootnoteReference"/>
          <w:rFonts w:cs="Arial"/>
        </w:rPr>
        <w:footnoteReference w:id="43"/>
      </w:r>
      <w:r w:rsidR="003E459C">
        <w:rPr>
          <w:rFonts w:cs="Arial"/>
        </w:rPr>
        <w:t xml:space="preserve"> </w:t>
      </w:r>
    </w:p>
    <w:p w14:paraId="76498F11" w14:textId="42263BE3" w:rsidR="00D65D29" w:rsidRDefault="00DA1D7F" w:rsidP="0089212C">
      <w:pPr>
        <w:rPr>
          <w:lang w:bidi="he-IL"/>
        </w:rPr>
      </w:pPr>
      <w:r>
        <w:rPr>
          <w:rFonts w:cs="Arial"/>
        </w:rPr>
        <w:t>W</w:t>
      </w:r>
      <w:r w:rsidR="00D65D29" w:rsidRPr="00E16738">
        <w:rPr>
          <w:rFonts w:cs="Arial"/>
        </w:rPr>
        <w:t xml:space="preserve">hy </w:t>
      </w:r>
      <w:r>
        <w:rPr>
          <w:rFonts w:cs="Arial"/>
        </w:rPr>
        <w:t xml:space="preserve">did </w:t>
      </w:r>
      <w:r w:rsidR="00D65D29" w:rsidRPr="00E16738">
        <w:rPr>
          <w:rFonts w:cs="Arial"/>
        </w:rPr>
        <w:t xml:space="preserve">Nahmanides </w:t>
      </w:r>
      <w:r w:rsidR="00FE2805">
        <w:rPr>
          <w:rFonts w:cs="Arial"/>
        </w:rPr>
        <w:t xml:space="preserve">disagree with </w:t>
      </w:r>
      <w:r>
        <w:rPr>
          <w:rFonts w:cs="Arial"/>
        </w:rPr>
        <w:t>both</w:t>
      </w:r>
      <w:r w:rsidR="004805BB">
        <w:rPr>
          <w:rFonts w:cs="Arial"/>
        </w:rPr>
        <w:t xml:space="preserve"> </w:t>
      </w:r>
      <w:r w:rsidR="0069362F">
        <w:rPr>
          <w:rFonts w:cs="Arial"/>
        </w:rPr>
        <w:t>M</w:t>
      </w:r>
      <w:r w:rsidR="004805BB">
        <w:rPr>
          <w:rFonts w:cs="Arial"/>
        </w:rPr>
        <w:t>idrash and Rashi</w:t>
      </w:r>
      <w:r>
        <w:rPr>
          <w:rFonts w:cs="Arial"/>
        </w:rPr>
        <w:t xml:space="preserve">? </w:t>
      </w:r>
      <w:r w:rsidR="000A01FF">
        <w:rPr>
          <w:rFonts w:cs="Arial"/>
        </w:rPr>
        <w:t xml:space="preserve">Ramban </w:t>
      </w:r>
      <w:r>
        <w:rPr>
          <w:rFonts w:cs="Arial"/>
        </w:rPr>
        <w:t>d</w:t>
      </w:r>
      <w:r w:rsidR="00B661E3">
        <w:rPr>
          <w:rFonts w:cs="Arial"/>
        </w:rPr>
        <w:t>id</w:t>
      </w:r>
      <w:r>
        <w:rPr>
          <w:rFonts w:cs="Arial"/>
        </w:rPr>
        <w:t xml:space="preserve"> not explain </w:t>
      </w:r>
      <w:r w:rsidR="00C47096">
        <w:rPr>
          <w:rFonts w:cs="Arial"/>
        </w:rPr>
        <w:t>himself</w:t>
      </w:r>
      <w:r>
        <w:rPr>
          <w:rFonts w:cs="Arial"/>
        </w:rPr>
        <w:t xml:space="preserve">, </w:t>
      </w:r>
      <w:r w:rsidR="0058596E">
        <w:rPr>
          <w:rFonts w:cs="Arial"/>
        </w:rPr>
        <w:t xml:space="preserve">but </w:t>
      </w:r>
      <w:r w:rsidR="00D65D29" w:rsidRPr="00E16738">
        <w:rPr>
          <w:rFonts w:cs="Arial"/>
        </w:rPr>
        <w:t xml:space="preserve">Samet </w:t>
      </w:r>
      <w:r w:rsidR="007957A0">
        <w:rPr>
          <w:rFonts w:cs="Arial"/>
        </w:rPr>
        <w:t xml:space="preserve">did. He </w:t>
      </w:r>
      <w:r w:rsidR="00D65D29" w:rsidRPr="00E16738">
        <w:rPr>
          <w:rFonts w:cs="Arial"/>
        </w:rPr>
        <w:t>note</w:t>
      </w:r>
      <w:r w:rsidR="007957A0">
        <w:rPr>
          <w:rFonts w:cs="Arial"/>
        </w:rPr>
        <w:t>d</w:t>
      </w:r>
      <w:r w:rsidR="00D65D29" w:rsidRPr="00E16738">
        <w:rPr>
          <w:rFonts w:cs="Arial"/>
        </w:rPr>
        <w:t xml:space="preserve"> that the </w:t>
      </w:r>
      <w:r w:rsidR="008A7B34">
        <w:rPr>
          <w:rFonts w:cs="Arial"/>
        </w:rPr>
        <w:t xml:space="preserve">three </w:t>
      </w:r>
      <w:r w:rsidR="00D65D29" w:rsidRPr="00E16738">
        <w:rPr>
          <w:rFonts w:cs="Arial"/>
        </w:rPr>
        <w:t>laws given at Marah-- the Sabbath, the Red Heifer</w:t>
      </w:r>
      <w:r w:rsidR="00D65D29">
        <w:rPr>
          <w:lang w:bidi="he-IL"/>
        </w:rPr>
        <w:t>, and tort</w:t>
      </w:r>
      <w:r w:rsidR="00A43604">
        <w:rPr>
          <w:lang w:bidi="he-IL"/>
        </w:rPr>
        <w:t xml:space="preserve"> law</w:t>
      </w:r>
      <w:r w:rsidR="00D65D29">
        <w:rPr>
          <w:lang w:bidi="he-IL"/>
        </w:rPr>
        <w:t>-- were all to be found in different places within the Pentateuch.</w:t>
      </w:r>
      <w:r w:rsidR="000B138C">
        <w:rPr>
          <w:rStyle w:val="FootnoteReference"/>
          <w:lang w:bidi="he-IL"/>
        </w:rPr>
        <w:footnoteReference w:id="44"/>
      </w:r>
      <w:r w:rsidR="00D65D29">
        <w:rPr>
          <w:lang w:bidi="he-IL"/>
        </w:rPr>
        <w:t xml:space="preserve"> T</w:t>
      </w:r>
      <w:r w:rsidR="00197C4A">
        <w:rPr>
          <w:lang w:bidi="he-IL"/>
        </w:rPr>
        <w:t>herefore, t</w:t>
      </w:r>
      <w:r w:rsidR="00D65D29">
        <w:rPr>
          <w:lang w:bidi="he-IL"/>
        </w:rPr>
        <w:t xml:space="preserve">o </w:t>
      </w:r>
      <w:r w:rsidR="00F37B5E">
        <w:rPr>
          <w:lang w:bidi="he-IL"/>
        </w:rPr>
        <w:t>maintain</w:t>
      </w:r>
      <w:r w:rsidR="00D65D29">
        <w:rPr>
          <w:lang w:bidi="he-IL"/>
        </w:rPr>
        <w:t xml:space="preserve"> that they were given at Marah meant that they were not recorded in the Torah in their proper place, </w:t>
      </w:r>
      <w:r w:rsidR="008A7B34">
        <w:rPr>
          <w:lang w:bidi="he-IL"/>
        </w:rPr>
        <w:t xml:space="preserve">for there is no mention of them </w:t>
      </w:r>
      <w:r w:rsidR="00D2157E">
        <w:rPr>
          <w:lang w:bidi="he-IL"/>
        </w:rPr>
        <w:t>in the narrative about</w:t>
      </w:r>
      <w:r w:rsidR="008A7B34">
        <w:rPr>
          <w:lang w:bidi="he-IL"/>
        </w:rPr>
        <w:t xml:space="preserve"> Marah</w:t>
      </w:r>
      <w:r w:rsidR="00F37B5E">
        <w:rPr>
          <w:lang w:bidi="he-IL"/>
        </w:rPr>
        <w:t>. This</w:t>
      </w:r>
      <w:r w:rsidR="00271C99">
        <w:rPr>
          <w:lang w:bidi="he-IL"/>
        </w:rPr>
        <w:t xml:space="preserve"> would </w:t>
      </w:r>
      <w:r w:rsidR="00243E62">
        <w:rPr>
          <w:lang w:bidi="he-IL"/>
        </w:rPr>
        <w:t xml:space="preserve">have </w:t>
      </w:r>
      <w:r w:rsidR="003B50E9">
        <w:rPr>
          <w:lang w:bidi="he-IL"/>
        </w:rPr>
        <w:t>compel</w:t>
      </w:r>
      <w:r w:rsidR="00243E62">
        <w:rPr>
          <w:lang w:bidi="he-IL"/>
        </w:rPr>
        <w:t>led</w:t>
      </w:r>
      <w:r w:rsidR="00D65D29">
        <w:rPr>
          <w:lang w:bidi="he-IL"/>
        </w:rPr>
        <w:t xml:space="preserve"> </w:t>
      </w:r>
      <w:r w:rsidR="00C330E0">
        <w:rPr>
          <w:lang w:bidi="he-IL"/>
        </w:rPr>
        <w:t xml:space="preserve">Nahmanides </w:t>
      </w:r>
      <w:r w:rsidR="00D65D29">
        <w:rPr>
          <w:lang w:bidi="he-IL"/>
        </w:rPr>
        <w:t xml:space="preserve">to </w:t>
      </w:r>
      <w:r w:rsidR="009E6185">
        <w:rPr>
          <w:lang w:bidi="he-IL"/>
        </w:rPr>
        <w:t xml:space="preserve">say that the three laws were </w:t>
      </w:r>
      <w:r w:rsidR="00F75B8D">
        <w:rPr>
          <w:lang w:bidi="he-IL"/>
        </w:rPr>
        <w:t>to be found</w:t>
      </w:r>
      <w:r w:rsidR="009E6185">
        <w:rPr>
          <w:lang w:bidi="he-IL"/>
        </w:rPr>
        <w:t xml:space="preserve"> </w:t>
      </w:r>
      <w:r w:rsidR="0020313C">
        <w:rPr>
          <w:lang w:bidi="he-IL"/>
        </w:rPr>
        <w:t xml:space="preserve">in the Torah </w:t>
      </w:r>
      <w:r w:rsidR="009E6185">
        <w:rPr>
          <w:lang w:bidi="he-IL"/>
        </w:rPr>
        <w:t xml:space="preserve">far from their </w:t>
      </w:r>
      <w:r w:rsidR="00461FB4">
        <w:rPr>
          <w:lang w:bidi="he-IL"/>
        </w:rPr>
        <w:t>chronologically</w:t>
      </w:r>
      <w:r w:rsidR="009E6185">
        <w:rPr>
          <w:lang w:bidi="he-IL"/>
        </w:rPr>
        <w:t xml:space="preserve"> correct place</w:t>
      </w:r>
      <w:r w:rsidR="00E27EFA">
        <w:rPr>
          <w:lang w:bidi="he-IL"/>
        </w:rPr>
        <w:t xml:space="preserve"> at Marah</w:t>
      </w:r>
      <w:r w:rsidR="000B3A48">
        <w:rPr>
          <w:lang w:bidi="he-IL"/>
        </w:rPr>
        <w:t xml:space="preserve">. </w:t>
      </w:r>
      <w:r w:rsidR="009E726A">
        <w:rPr>
          <w:lang w:bidi="he-IL"/>
        </w:rPr>
        <w:t xml:space="preserve"> </w:t>
      </w:r>
      <w:r w:rsidR="000B3A48">
        <w:rPr>
          <w:lang w:bidi="he-IL"/>
        </w:rPr>
        <w:t>T</w:t>
      </w:r>
      <w:r w:rsidR="00C52A2F">
        <w:rPr>
          <w:lang w:bidi="he-IL"/>
        </w:rPr>
        <w:t xml:space="preserve">o do so </w:t>
      </w:r>
      <w:r w:rsidR="00461FB4">
        <w:rPr>
          <w:lang w:bidi="he-IL"/>
        </w:rPr>
        <w:t xml:space="preserve">would mean that Nahmanides </w:t>
      </w:r>
      <w:r w:rsidR="006A17DD">
        <w:rPr>
          <w:lang w:bidi="he-IL"/>
        </w:rPr>
        <w:t xml:space="preserve">was </w:t>
      </w:r>
      <w:r w:rsidR="001A7CF4">
        <w:rPr>
          <w:lang w:bidi="he-IL"/>
        </w:rPr>
        <w:t xml:space="preserve">admitting </w:t>
      </w:r>
      <w:r w:rsidR="00D65D29">
        <w:rPr>
          <w:lang w:bidi="he-IL"/>
        </w:rPr>
        <w:t xml:space="preserve">that </w:t>
      </w:r>
      <w:r w:rsidR="008F3A5F">
        <w:rPr>
          <w:lang w:bidi="he-IL"/>
        </w:rPr>
        <w:t>“</w:t>
      </w:r>
      <w:r w:rsidR="00D65D29">
        <w:rPr>
          <w:lang w:bidi="he-IL"/>
        </w:rPr>
        <w:t xml:space="preserve">there </w:t>
      </w:r>
      <w:r w:rsidR="002473CE">
        <w:rPr>
          <w:lang w:bidi="he-IL"/>
        </w:rPr>
        <w:t>is</w:t>
      </w:r>
      <w:r w:rsidR="00D65D29">
        <w:rPr>
          <w:lang w:bidi="he-IL"/>
        </w:rPr>
        <w:t xml:space="preserve"> no earlier or later in the Torah</w:t>
      </w:r>
      <w:r w:rsidR="001A7CF4">
        <w:rPr>
          <w:lang w:bidi="he-IL"/>
        </w:rPr>
        <w:t>,</w:t>
      </w:r>
      <w:r w:rsidR="008F3A5F">
        <w:rPr>
          <w:lang w:bidi="he-IL"/>
        </w:rPr>
        <w:t>”</w:t>
      </w:r>
      <w:r w:rsidR="001A7CF4">
        <w:rPr>
          <w:lang w:bidi="he-IL"/>
        </w:rPr>
        <w:t xml:space="preserve"> meaning no</w:t>
      </w:r>
      <w:r w:rsidR="000B3A48">
        <w:rPr>
          <w:lang w:bidi="he-IL"/>
        </w:rPr>
        <w:t xml:space="preserve"> proper chronology. This is something, s</w:t>
      </w:r>
      <w:r w:rsidR="001A7CF4">
        <w:rPr>
          <w:lang w:bidi="he-IL"/>
        </w:rPr>
        <w:t>ays Samet</w:t>
      </w:r>
      <w:r w:rsidR="005E5115">
        <w:rPr>
          <w:lang w:bidi="he-IL"/>
        </w:rPr>
        <w:t xml:space="preserve">, that Ramban </w:t>
      </w:r>
      <w:r w:rsidR="00D65D29">
        <w:rPr>
          <w:lang w:bidi="he-IL"/>
        </w:rPr>
        <w:t>studiously avoided.</w:t>
      </w:r>
      <w:r w:rsidR="00C52A2F">
        <w:rPr>
          <w:rStyle w:val="FootnoteReference"/>
          <w:lang w:bidi="he-IL"/>
        </w:rPr>
        <w:footnoteReference w:id="45"/>
      </w:r>
      <w:r w:rsidR="00D65D29">
        <w:rPr>
          <w:lang w:bidi="he-IL"/>
        </w:rPr>
        <w:t xml:space="preserve"> </w:t>
      </w:r>
    </w:p>
    <w:p w14:paraId="7F028046" w14:textId="66FBD13F" w:rsidR="00D65D29" w:rsidRDefault="0014004C" w:rsidP="005035FC">
      <w:pPr>
        <w:rPr>
          <w:lang w:bidi="he-IL"/>
        </w:rPr>
      </w:pPr>
      <w:r>
        <w:rPr>
          <w:lang w:bidi="he-IL"/>
        </w:rPr>
        <w:t>However, r</w:t>
      </w:r>
      <w:r w:rsidR="00B80085">
        <w:rPr>
          <w:lang w:bidi="he-IL"/>
        </w:rPr>
        <w:t>ather than objecting outright to the approach</w:t>
      </w:r>
      <w:r w:rsidR="00603734">
        <w:rPr>
          <w:lang w:bidi="he-IL"/>
        </w:rPr>
        <w:t xml:space="preserve"> of Midrash and Rashi</w:t>
      </w:r>
      <w:r w:rsidR="00B80085">
        <w:rPr>
          <w:lang w:bidi="he-IL"/>
        </w:rPr>
        <w:t>,</w:t>
      </w:r>
      <w:r w:rsidR="00ED371E">
        <w:rPr>
          <w:lang w:bidi="he-IL"/>
        </w:rPr>
        <w:t xml:space="preserve"> </w:t>
      </w:r>
      <w:r w:rsidR="008A5DC4">
        <w:rPr>
          <w:lang w:bidi="he-IL"/>
        </w:rPr>
        <w:t xml:space="preserve">and </w:t>
      </w:r>
      <w:r w:rsidR="007D398D">
        <w:rPr>
          <w:lang w:bidi="he-IL"/>
        </w:rPr>
        <w:t xml:space="preserve">out of respect for </w:t>
      </w:r>
      <w:r w:rsidR="00527836">
        <w:rPr>
          <w:lang w:bidi="he-IL"/>
        </w:rPr>
        <w:t xml:space="preserve">these </w:t>
      </w:r>
      <w:r w:rsidR="007D398D">
        <w:rPr>
          <w:lang w:bidi="he-IL"/>
        </w:rPr>
        <w:t xml:space="preserve">earlier </w:t>
      </w:r>
      <w:r w:rsidR="006A17DD">
        <w:rPr>
          <w:lang w:bidi="he-IL"/>
        </w:rPr>
        <w:t>authorities</w:t>
      </w:r>
      <w:r w:rsidR="007D398D">
        <w:rPr>
          <w:lang w:bidi="he-IL"/>
        </w:rPr>
        <w:t>,</w:t>
      </w:r>
      <w:r w:rsidR="00851239">
        <w:rPr>
          <w:rStyle w:val="FootnoteReference"/>
          <w:lang w:bidi="he-IL"/>
        </w:rPr>
        <w:footnoteReference w:id="46"/>
      </w:r>
      <w:r w:rsidR="007D398D">
        <w:rPr>
          <w:lang w:bidi="he-IL"/>
        </w:rPr>
        <w:t xml:space="preserve"> </w:t>
      </w:r>
      <w:r w:rsidR="00B80085">
        <w:rPr>
          <w:lang w:bidi="he-IL"/>
        </w:rPr>
        <w:t xml:space="preserve">Ramban </w:t>
      </w:r>
      <w:r w:rsidR="00C148FF">
        <w:rPr>
          <w:lang w:bidi="he-IL"/>
        </w:rPr>
        <w:t xml:space="preserve">offered a </w:t>
      </w:r>
      <w:r w:rsidR="00527836">
        <w:rPr>
          <w:lang w:bidi="he-IL"/>
        </w:rPr>
        <w:t>modified</w:t>
      </w:r>
      <w:r w:rsidR="00C148FF">
        <w:rPr>
          <w:lang w:bidi="he-IL"/>
        </w:rPr>
        <w:t xml:space="preserve"> version of the </w:t>
      </w:r>
      <w:r w:rsidR="00EE142C">
        <w:rPr>
          <w:lang w:bidi="he-IL"/>
        </w:rPr>
        <w:t>M</w:t>
      </w:r>
      <w:r w:rsidR="00C148FF">
        <w:rPr>
          <w:lang w:bidi="he-IL"/>
        </w:rPr>
        <w:t>idrash</w:t>
      </w:r>
      <w:r w:rsidR="008A5DC4">
        <w:rPr>
          <w:lang w:bidi="he-IL"/>
        </w:rPr>
        <w:t xml:space="preserve"> to make it palatable</w:t>
      </w:r>
      <w:r w:rsidR="00C148FF">
        <w:rPr>
          <w:lang w:bidi="he-IL"/>
        </w:rPr>
        <w:t>.  T</w:t>
      </w:r>
      <w:r w:rsidR="00D65D29">
        <w:rPr>
          <w:lang w:bidi="he-IL"/>
        </w:rPr>
        <w:t xml:space="preserve">he </w:t>
      </w:r>
      <w:r w:rsidR="00DD6A73">
        <w:rPr>
          <w:lang w:bidi="he-IL"/>
        </w:rPr>
        <w:t xml:space="preserve">three </w:t>
      </w:r>
      <w:r w:rsidR="00D65D29">
        <w:rPr>
          <w:lang w:bidi="he-IL"/>
        </w:rPr>
        <w:t xml:space="preserve">enumerated </w:t>
      </w:r>
      <w:r w:rsidR="00992DC1">
        <w:rPr>
          <w:lang w:bidi="he-IL"/>
        </w:rPr>
        <w:t>subjects</w:t>
      </w:r>
      <w:r w:rsidR="00EE142C">
        <w:rPr>
          <w:lang w:bidi="he-IL"/>
        </w:rPr>
        <w:t>--</w:t>
      </w:r>
      <w:r w:rsidR="00992DC1">
        <w:rPr>
          <w:lang w:bidi="he-IL"/>
        </w:rPr>
        <w:t xml:space="preserve"> </w:t>
      </w:r>
      <w:r w:rsidR="00EE142C">
        <w:rPr>
          <w:lang w:bidi="he-IL"/>
        </w:rPr>
        <w:t xml:space="preserve">Sabbath, Red Heifer, and torts-- </w:t>
      </w:r>
      <w:r w:rsidR="003B50E9">
        <w:rPr>
          <w:lang w:bidi="he-IL"/>
        </w:rPr>
        <w:t xml:space="preserve">were </w:t>
      </w:r>
      <w:r w:rsidR="00992DC1">
        <w:rPr>
          <w:lang w:bidi="he-IL"/>
        </w:rPr>
        <w:t>not</w:t>
      </w:r>
      <w:r w:rsidR="00EF5A29">
        <w:rPr>
          <w:lang w:bidi="he-IL"/>
        </w:rPr>
        <w:t xml:space="preserve"> really</w:t>
      </w:r>
      <w:r w:rsidR="00992DC1">
        <w:rPr>
          <w:lang w:bidi="he-IL"/>
        </w:rPr>
        <w:t xml:space="preserve"> </w:t>
      </w:r>
      <w:r w:rsidR="00B901CD">
        <w:rPr>
          <w:lang w:bidi="he-IL"/>
        </w:rPr>
        <w:t>“</w:t>
      </w:r>
      <w:r w:rsidR="00992DC1">
        <w:rPr>
          <w:lang w:bidi="he-IL"/>
        </w:rPr>
        <w:t>commanded</w:t>
      </w:r>
      <w:r w:rsidR="00B901CD">
        <w:rPr>
          <w:lang w:bidi="he-IL"/>
        </w:rPr>
        <w:t>”</w:t>
      </w:r>
      <w:r w:rsidR="00992DC1">
        <w:rPr>
          <w:lang w:bidi="he-IL"/>
        </w:rPr>
        <w:t xml:space="preserve"> at Marah; they were </w:t>
      </w:r>
      <w:r w:rsidR="003B50E9">
        <w:rPr>
          <w:lang w:bidi="he-IL"/>
        </w:rPr>
        <w:t xml:space="preserve">merely </w:t>
      </w:r>
      <w:r w:rsidR="00EE142C">
        <w:rPr>
          <w:lang w:bidi="he-IL"/>
        </w:rPr>
        <w:t>told</w:t>
      </w:r>
      <w:r w:rsidR="003B50E9">
        <w:rPr>
          <w:lang w:bidi="he-IL"/>
        </w:rPr>
        <w:t xml:space="preserve"> </w:t>
      </w:r>
      <w:r w:rsidR="00E726F0">
        <w:rPr>
          <w:lang w:bidi="he-IL"/>
        </w:rPr>
        <w:t>to the people</w:t>
      </w:r>
      <w:r w:rsidR="00C35CCF">
        <w:rPr>
          <w:lang w:bidi="he-IL"/>
        </w:rPr>
        <w:t xml:space="preserve"> at that spot in order to </w:t>
      </w:r>
      <w:r w:rsidR="00E66EC5">
        <w:rPr>
          <w:lang w:bidi="he-IL"/>
        </w:rPr>
        <w:t>s</w:t>
      </w:r>
      <w:r w:rsidR="00C35CCF">
        <w:rPr>
          <w:lang w:bidi="he-IL"/>
        </w:rPr>
        <w:t>erve as</w:t>
      </w:r>
      <w:r w:rsidR="00E66EC5">
        <w:rPr>
          <w:lang w:bidi="he-IL"/>
        </w:rPr>
        <w:t xml:space="preserve"> an introduction </w:t>
      </w:r>
      <w:r w:rsidR="003B50E9">
        <w:rPr>
          <w:lang w:bidi="he-IL"/>
        </w:rPr>
        <w:t>to the system of positive and negative commandments</w:t>
      </w:r>
      <w:r w:rsidR="00A97BB6">
        <w:rPr>
          <w:lang w:bidi="he-IL"/>
        </w:rPr>
        <w:t xml:space="preserve"> </w:t>
      </w:r>
      <w:r w:rsidR="00E726F0">
        <w:rPr>
          <w:lang w:bidi="he-IL"/>
        </w:rPr>
        <w:t>(</w:t>
      </w:r>
      <w:r w:rsidR="00A97BB6" w:rsidRPr="00A97BB6">
        <w:rPr>
          <w:i/>
          <w:iCs/>
          <w:lang w:bidi="he-IL"/>
        </w:rPr>
        <w:t>mitzvot</w:t>
      </w:r>
      <w:r w:rsidR="00E726F0">
        <w:rPr>
          <w:lang w:bidi="he-IL"/>
        </w:rPr>
        <w:t>)</w:t>
      </w:r>
      <w:r w:rsidR="00EF5A29">
        <w:rPr>
          <w:lang w:bidi="he-IL"/>
        </w:rPr>
        <w:t>.</w:t>
      </w:r>
      <w:r w:rsidR="00E5147B">
        <w:rPr>
          <w:rStyle w:val="FootnoteReference"/>
          <w:lang w:bidi="he-IL"/>
        </w:rPr>
        <w:footnoteReference w:id="47"/>
      </w:r>
      <w:r w:rsidR="00EF5A29">
        <w:rPr>
          <w:lang w:bidi="he-IL"/>
        </w:rPr>
        <w:t xml:space="preserve"> These </w:t>
      </w:r>
      <w:r w:rsidR="003B50E9">
        <w:rPr>
          <w:lang w:bidi="he-IL"/>
        </w:rPr>
        <w:t xml:space="preserve">would soon be given at </w:t>
      </w:r>
      <w:r w:rsidR="00992DC1">
        <w:rPr>
          <w:lang w:bidi="he-IL"/>
        </w:rPr>
        <w:t xml:space="preserve">Mount </w:t>
      </w:r>
      <w:r w:rsidR="003B50E9">
        <w:rPr>
          <w:lang w:bidi="he-IL"/>
        </w:rPr>
        <w:t>Sinai</w:t>
      </w:r>
      <w:r w:rsidR="00A97BB6">
        <w:rPr>
          <w:lang w:bidi="he-IL"/>
        </w:rPr>
        <w:t xml:space="preserve"> and at</w:t>
      </w:r>
      <w:r w:rsidR="00527836">
        <w:rPr>
          <w:lang w:bidi="he-IL"/>
        </w:rPr>
        <w:t xml:space="preserve"> several</w:t>
      </w:r>
      <w:r w:rsidR="00A97BB6">
        <w:rPr>
          <w:lang w:bidi="he-IL"/>
        </w:rPr>
        <w:t xml:space="preserve"> later points in history</w:t>
      </w:r>
      <w:r w:rsidR="008C5760">
        <w:rPr>
          <w:lang w:bidi="he-IL"/>
        </w:rPr>
        <w:t>.</w:t>
      </w:r>
      <w:r w:rsidR="00D8305A">
        <w:rPr>
          <w:rStyle w:val="FootnoteReference"/>
          <w:lang w:bidi="he-IL"/>
        </w:rPr>
        <w:footnoteReference w:id="48"/>
      </w:r>
      <w:r w:rsidR="00E3169E">
        <w:rPr>
          <w:lang w:bidi="he-IL"/>
        </w:rPr>
        <w:t xml:space="preserve"> Here is </w:t>
      </w:r>
      <w:r w:rsidR="005035FC">
        <w:rPr>
          <w:lang w:bidi="he-IL"/>
        </w:rPr>
        <w:t>Samet’s understanding of Ramban’s position:</w:t>
      </w:r>
    </w:p>
    <w:p w14:paraId="1DFFFC70" w14:textId="2F472290" w:rsidR="00D65D29" w:rsidRDefault="00D65D29" w:rsidP="00D65D29">
      <w:pPr>
        <w:ind w:left="1440"/>
        <w:rPr>
          <w:lang w:bidi="he-IL"/>
        </w:rPr>
      </w:pPr>
      <w:r>
        <w:rPr>
          <w:lang w:bidi="he-IL"/>
        </w:rPr>
        <w:t xml:space="preserve">The main reason Ramban explained the midrash and Rashi as he did was his constant attempt to maintain the chronological framework of the Torah. In his view, this framework included the halakhic pericopae as well, whose placement within the ongoing narrative reflects the time these pericopae were given. If we take the words of the rabbis [midrash and Rashi] literally, to mean that </w:t>
      </w:r>
      <w:r w:rsidR="002473CE">
        <w:rPr>
          <w:lang w:bidi="he-IL"/>
        </w:rPr>
        <w:t>several</w:t>
      </w:r>
      <w:r>
        <w:rPr>
          <w:lang w:bidi="he-IL"/>
        </w:rPr>
        <w:t xml:space="preserve"> commandments were given to Israel at Marah, we must admit an exception to the chronological frame</w:t>
      </w:r>
      <w:r w:rsidR="009B7BB1">
        <w:rPr>
          <w:lang w:bidi="he-IL"/>
        </w:rPr>
        <w:t xml:space="preserve"> of the Torah</w:t>
      </w:r>
      <w:r>
        <w:rPr>
          <w:lang w:bidi="he-IL"/>
        </w:rPr>
        <w:t>: the</w:t>
      </w:r>
      <w:r w:rsidR="00CA7D9B">
        <w:rPr>
          <w:lang w:bidi="he-IL"/>
        </w:rPr>
        <w:t>se</w:t>
      </w:r>
      <w:r>
        <w:rPr>
          <w:lang w:bidi="he-IL"/>
        </w:rPr>
        <w:t xml:space="preserve"> </w:t>
      </w:r>
      <w:r w:rsidR="00C82E79">
        <w:rPr>
          <w:lang w:bidi="he-IL"/>
        </w:rPr>
        <w:t xml:space="preserve">three </w:t>
      </w:r>
      <w:r>
        <w:rPr>
          <w:lang w:bidi="he-IL"/>
        </w:rPr>
        <w:t xml:space="preserve">commandments that were </w:t>
      </w:r>
      <w:r w:rsidR="00710179">
        <w:rPr>
          <w:lang w:bidi="he-IL"/>
        </w:rPr>
        <w:t xml:space="preserve">given to </w:t>
      </w:r>
      <w:r>
        <w:rPr>
          <w:lang w:bidi="he-IL"/>
        </w:rPr>
        <w:t xml:space="preserve">Israel at </w:t>
      </w:r>
      <w:r w:rsidR="00710179">
        <w:rPr>
          <w:lang w:bidi="he-IL"/>
        </w:rPr>
        <w:t xml:space="preserve">this early stage in </w:t>
      </w:r>
      <w:r w:rsidR="006939D3">
        <w:rPr>
          <w:lang w:bidi="he-IL"/>
        </w:rPr>
        <w:t>its</w:t>
      </w:r>
      <w:r w:rsidR="00710179">
        <w:rPr>
          <w:lang w:bidi="he-IL"/>
        </w:rPr>
        <w:t xml:space="preserve"> history </w:t>
      </w:r>
      <w:r>
        <w:rPr>
          <w:lang w:bidi="he-IL"/>
        </w:rPr>
        <w:t xml:space="preserve">were </w:t>
      </w:r>
      <w:r w:rsidR="00710179">
        <w:rPr>
          <w:lang w:bidi="he-IL"/>
        </w:rPr>
        <w:t xml:space="preserve">destined to be </w:t>
      </w:r>
      <w:r>
        <w:rPr>
          <w:lang w:bidi="he-IL"/>
        </w:rPr>
        <w:t xml:space="preserve">recorded in the Torah </w:t>
      </w:r>
      <w:r w:rsidR="00710179">
        <w:rPr>
          <w:lang w:bidi="he-IL"/>
        </w:rPr>
        <w:t>in different pla</w:t>
      </w:r>
      <w:r w:rsidR="008927FF">
        <w:rPr>
          <w:lang w:bidi="he-IL"/>
        </w:rPr>
        <w:t xml:space="preserve">ces </w:t>
      </w:r>
      <w:r>
        <w:rPr>
          <w:lang w:bidi="he-IL"/>
        </w:rPr>
        <w:t>much later within the biblical story</w:t>
      </w:r>
      <w:r w:rsidR="00C82E79">
        <w:rPr>
          <w:lang w:bidi="he-IL"/>
        </w:rPr>
        <w:t xml:space="preserve">, </w:t>
      </w:r>
      <w:r w:rsidR="009B7BB1">
        <w:rPr>
          <w:lang w:bidi="he-IL"/>
        </w:rPr>
        <w:t xml:space="preserve">at </w:t>
      </w:r>
      <w:r w:rsidR="002976D0">
        <w:rPr>
          <w:lang w:bidi="he-IL"/>
        </w:rPr>
        <w:t xml:space="preserve">a point </w:t>
      </w:r>
      <w:r w:rsidR="00C82E79">
        <w:rPr>
          <w:lang w:bidi="he-IL"/>
        </w:rPr>
        <w:t xml:space="preserve">which was not their </w:t>
      </w:r>
      <w:r w:rsidR="000A5195">
        <w:rPr>
          <w:lang w:bidi="he-IL"/>
        </w:rPr>
        <w:t>true</w:t>
      </w:r>
      <w:r w:rsidR="00C82E79">
        <w:rPr>
          <w:lang w:bidi="he-IL"/>
        </w:rPr>
        <w:t xml:space="preserve"> place</w:t>
      </w:r>
      <w:r>
        <w:rPr>
          <w:lang w:bidi="he-IL"/>
        </w:rPr>
        <w:t xml:space="preserve">. </w:t>
      </w:r>
      <w:r w:rsidR="00FD6109">
        <w:rPr>
          <w:lang w:bidi="he-IL"/>
        </w:rPr>
        <w:t xml:space="preserve">It was such an understanding that </w:t>
      </w:r>
      <w:r>
        <w:rPr>
          <w:lang w:bidi="he-IL"/>
        </w:rPr>
        <w:t>Ramban wanted to avoid.</w:t>
      </w:r>
      <w:r w:rsidR="004F5558">
        <w:rPr>
          <w:rStyle w:val="FootnoteReference"/>
          <w:lang w:bidi="he-IL"/>
        </w:rPr>
        <w:footnoteReference w:id="49"/>
      </w:r>
    </w:p>
    <w:p w14:paraId="638D8CB0" w14:textId="3595F5A0" w:rsidR="00D65D29" w:rsidRPr="009E2DFC" w:rsidRDefault="0067653A" w:rsidP="00E14E3F">
      <w:pPr>
        <w:rPr>
          <w:rFonts w:cstheme="minorHAnsi"/>
          <w:rtl/>
          <w:lang w:bidi="he-IL"/>
        </w:rPr>
      </w:pPr>
      <w:r>
        <w:rPr>
          <w:lang w:bidi="he-IL"/>
        </w:rPr>
        <w:t>However, Samet distinguishes between narrative and law (</w:t>
      </w:r>
      <w:r w:rsidRPr="0067653A">
        <w:rPr>
          <w:i/>
          <w:iCs/>
          <w:lang w:bidi="he-IL"/>
        </w:rPr>
        <w:t>halakha</w:t>
      </w:r>
      <w:r>
        <w:rPr>
          <w:lang w:bidi="he-IL"/>
        </w:rPr>
        <w:t>)</w:t>
      </w:r>
      <w:r w:rsidR="00E14E3F">
        <w:rPr>
          <w:lang w:bidi="he-IL"/>
        </w:rPr>
        <w:t xml:space="preserve"> in Ramban’s comment</w:t>
      </w:r>
      <w:r w:rsidR="00D86181">
        <w:rPr>
          <w:lang w:bidi="he-IL"/>
        </w:rPr>
        <w:t>s</w:t>
      </w:r>
      <w:r w:rsidR="00E14E3F">
        <w:rPr>
          <w:lang w:bidi="he-IL"/>
        </w:rPr>
        <w:t>.</w:t>
      </w:r>
      <w:r w:rsidR="003716CF">
        <w:rPr>
          <w:lang w:bidi="he-IL"/>
        </w:rPr>
        <w:t xml:space="preserve"> </w:t>
      </w:r>
      <w:r w:rsidR="003716CF">
        <w:rPr>
          <w:rFonts w:cstheme="minorHAnsi"/>
          <w:lang w:bidi="he-IL"/>
        </w:rPr>
        <w:t>W</w:t>
      </w:r>
      <w:r w:rsidR="00D65D29" w:rsidRPr="009E2DFC">
        <w:rPr>
          <w:rFonts w:cstheme="minorHAnsi"/>
          <w:lang w:bidi="he-IL"/>
        </w:rPr>
        <w:t>hen speak</w:t>
      </w:r>
      <w:r w:rsidR="00D86181">
        <w:rPr>
          <w:rFonts w:cstheme="minorHAnsi"/>
          <w:lang w:bidi="he-IL"/>
        </w:rPr>
        <w:t>ing</w:t>
      </w:r>
      <w:r w:rsidR="00D65D29" w:rsidRPr="009E2DFC">
        <w:rPr>
          <w:rFonts w:cstheme="minorHAnsi"/>
          <w:lang w:bidi="he-IL"/>
        </w:rPr>
        <w:t xml:space="preserve"> of </w:t>
      </w:r>
      <w:r w:rsidR="004E6AA5" w:rsidRPr="009E2DFC">
        <w:rPr>
          <w:rFonts w:cstheme="minorHAnsi"/>
          <w:lang w:bidi="he-IL"/>
        </w:rPr>
        <w:t>story</w:t>
      </w:r>
      <w:r w:rsidR="00024A8A">
        <w:rPr>
          <w:rFonts w:cstheme="minorHAnsi"/>
          <w:lang w:bidi="he-IL"/>
        </w:rPr>
        <w:t xml:space="preserve"> sections</w:t>
      </w:r>
      <w:r w:rsidR="00D65D29" w:rsidRPr="009E2DFC">
        <w:rPr>
          <w:rFonts w:cstheme="minorHAnsi"/>
          <w:lang w:bidi="he-IL"/>
        </w:rPr>
        <w:t xml:space="preserve">, it is </w:t>
      </w:r>
      <w:r w:rsidR="004E6AA5" w:rsidRPr="009E2DFC">
        <w:rPr>
          <w:rFonts w:cstheme="minorHAnsi"/>
          <w:lang w:bidi="he-IL"/>
        </w:rPr>
        <w:t>Ramban’s</w:t>
      </w:r>
      <w:r w:rsidR="00D65D29" w:rsidRPr="009E2DFC">
        <w:rPr>
          <w:rFonts w:cstheme="minorHAnsi"/>
          <w:lang w:bidi="he-IL"/>
        </w:rPr>
        <w:t xml:space="preserve"> </w:t>
      </w:r>
      <w:r w:rsidR="004E6AA5" w:rsidRPr="009E2DFC">
        <w:rPr>
          <w:rFonts w:cstheme="minorHAnsi"/>
          <w:lang w:bidi="he-IL"/>
        </w:rPr>
        <w:t>way</w:t>
      </w:r>
      <w:r w:rsidR="00D65D29" w:rsidRPr="009E2DFC">
        <w:rPr>
          <w:rFonts w:cstheme="minorHAnsi"/>
          <w:lang w:bidi="he-IL"/>
        </w:rPr>
        <w:t xml:space="preserve"> to re</w:t>
      </w:r>
      <w:r w:rsidR="004E6AA5" w:rsidRPr="009E2DFC">
        <w:rPr>
          <w:rFonts w:cstheme="minorHAnsi"/>
          <w:lang w:bidi="he-IL"/>
        </w:rPr>
        <w:t>f</w:t>
      </w:r>
      <w:r w:rsidR="00D65D29" w:rsidRPr="009E2DFC">
        <w:rPr>
          <w:rFonts w:cstheme="minorHAnsi"/>
          <w:lang w:bidi="he-IL"/>
        </w:rPr>
        <w:t>rain from using the rule “There is no earlier o</w:t>
      </w:r>
      <w:r w:rsidR="004E6AA5" w:rsidRPr="009E2DFC">
        <w:rPr>
          <w:rFonts w:cstheme="minorHAnsi"/>
          <w:lang w:bidi="he-IL"/>
        </w:rPr>
        <w:t>r</w:t>
      </w:r>
      <w:r w:rsidR="00D65D29" w:rsidRPr="009E2DFC">
        <w:rPr>
          <w:rFonts w:cstheme="minorHAnsi"/>
          <w:lang w:bidi="he-IL"/>
        </w:rPr>
        <w:t xml:space="preserve"> later in the Torah”</w:t>
      </w:r>
      <w:r w:rsidR="004B6FCA">
        <w:rPr>
          <w:rFonts w:cstheme="minorHAnsi"/>
          <w:lang w:bidi="he-IL"/>
        </w:rPr>
        <w:t xml:space="preserve"> as much as possible.</w:t>
      </w:r>
      <w:r w:rsidR="00D65D29" w:rsidRPr="009E2DFC">
        <w:rPr>
          <w:rFonts w:cstheme="minorHAnsi"/>
          <w:lang w:bidi="he-IL"/>
        </w:rPr>
        <w:t xml:space="preserve"> </w:t>
      </w:r>
      <w:r w:rsidR="004E6AA5" w:rsidRPr="009E2DFC">
        <w:rPr>
          <w:rFonts w:cstheme="minorHAnsi"/>
          <w:lang w:bidi="he-IL"/>
        </w:rPr>
        <w:t>However,</w:t>
      </w:r>
      <w:r w:rsidR="00D65D29" w:rsidRPr="009E2DFC">
        <w:rPr>
          <w:rFonts w:cstheme="minorHAnsi"/>
          <w:lang w:bidi="he-IL"/>
        </w:rPr>
        <w:t xml:space="preserve"> </w:t>
      </w:r>
      <w:r w:rsidR="004B6FCA">
        <w:rPr>
          <w:rFonts w:cstheme="minorHAnsi"/>
          <w:lang w:bidi="he-IL"/>
        </w:rPr>
        <w:t>when it comes to determin</w:t>
      </w:r>
      <w:r w:rsidR="00BC5944">
        <w:rPr>
          <w:rFonts w:cstheme="minorHAnsi"/>
          <w:lang w:bidi="he-IL"/>
        </w:rPr>
        <w:t>ing</w:t>
      </w:r>
      <w:r w:rsidR="004B6FCA">
        <w:rPr>
          <w:rFonts w:cstheme="minorHAnsi"/>
          <w:lang w:bidi="he-IL"/>
        </w:rPr>
        <w:t xml:space="preserve"> when a</w:t>
      </w:r>
      <w:r w:rsidR="00E84F1A">
        <w:rPr>
          <w:rFonts w:cstheme="minorHAnsi"/>
          <w:lang w:bidi="he-IL"/>
        </w:rPr>
        <w:t>n independent</w:t>
      </w:r>
      <w:r w:rsidR="004B6FCA">
        <w:rPr>
          <w:rFonts w:cstheme="minorHAnsi"/>
          <w:lang w:bidi="he-IL"/>
        </w:rPr>
        <w:t xml:space="preserve"> legal or halakhic section </w:t>
      </w:r>
      <w:r w:rsidR="00D65D29" w:rsidRPr="009E2DFC">
        <w:rPr>
          <w:rFonts w:cstheme="minorHAnsi"/>
          <w:lang w:bidi="he-IL"/>
        </w:rPr>
        <w:t>was said,</w:t>
      </w:r>
      <w:r w:rsidR="004E6AA5" w:rsidRPr="009E2DFC">
        <w:rPr>
          <w:rFonts w:cstheme="minorHAnsi"/>
          <w:lang w:bidi="he-IL"/>
        </w:rPr>
        <w:t xml:space="preserve"> he has </w:t>
      </w:r>
      <w:r w:rsidR="00D65D29" w:rsidRPr="009E2DFC">
        <w:rPr>
          <w:rFonts w:cstheme="minorHAnsi"/>
          <w:lang w:bidi="he-IL"/>
        </w:rPr>
        <w:t xml:space="preserve">no </w:t>
      </w:r>
      <w:r w:rsidR="004E6AA5" w:rsidRPr="009E2DFC">
        <w:rPr>
          <w:rFonts w:cstheme="minorHAnsi"/>
          <w:lang w:bidi="he-IL"/>
        </w:rPr>
        <w:t>difficulty</w:t>
      </w:r>
      <w:r w:rsidR="00D65D29" w:rsidRPr="009E2DFC">
        <w:rPr>
          <w:rFonts w:cstheme="minorHAnsi"/>
          <w:lang w:bidi="he-IL"/>
        </w:rPr>
        <w:t xml:space="preserve"> </w:t>
      </w:r>
      <w:r w:rsidR="004E6AA5" w:rsidRPr="009E2DFC">
        <w:rPr>
          <w:rFonts w:cstheme="minorHAnsi"/>
          <w:lang w:bidi="he-IL"/>
        </w:rPr>
        <w:t>apply</w:t>
      </w:r>
      <w:r w:rsidR="003716CF">
        <w:rPr>
          <w:rFonts w:cstheme="minorHAnsi"/>
          <w:lang w:bidi="he-IL"/>
        </w:rPr>
        <w:t xml:space="preserve">ing </w:t>
      </w:r>
      <w:r w:rsidR="004E6AA5" w:rsidRPr="009E2DFC">
        <w:rPr>
          <w:rFonts w:cstheme="minorHAnsi"/>
          <w:lang w:bidi="he-IL"/>
        </w:rPr>
        <w:t xml:space="preserve">this rule more flexibly. </w:t>
      </w:r>
      <w:r w:rsidR="00F97F30">
        <w:rPr>
          <w:rFonts w:cstheme="minorHAnsi"/>
          <w:lang w:bidi="he-IL"/>
        </w:rPr>
        <w:t>T</w:t>
      </w:r>
      <w:r w:rsidR="004E6AA5" w:rsidRPr="009E2DFC">
        <w:rPr>
          <w:rFonts w:cstheme="minorHAnsi"/>
          <w:lang w:bidi="he-IL"/>
        </w:rPr>
        <w:t xml:space="preserve">here are many factors </w:t>
      </w:r>
      <w:r w:rsidR="004E6AA5" w:rsidRPr="009E2DFC">
        <w:rPr>
          <w:rFonts w:cstheme="minorHAnsi"/>
          <w:lang w:bidi="he-IL"/>
        </w:rPr>
        <w:lastRenderedPageBreak/>
        <w:t>which dete</w:t>
      </w:r>
      <w:r w:rsidR="004F5558" w:rsidRPr="009E2DFC">
        <w:rPr>
          <w:rFonts w:cstheme="minorHAnsi"/>
          <w:lang w:bidi="he-IL"/>
        </w:rPr>
        <w:t>rmine the</w:t>
      </w:r>
      <w:r w:rsidR="004E6AA5" w:rsidRPr="009E2DFC">
        <w:rPr>
          <w:rFonts w:cstheme="minorHAnsi"/>
          <w:lang w:bidi="he-IL"/>
        </w:rPr>
        <w:t xml:space="preserve"> placement</w:t>
      </w:r>
      <w:r w:rsidR="004F5558" w:rsidRPr="009E2DFC">
        <w:rPr>
          <w:rFonts w:cstheme="minorHAnsi"/>
          <w:lang w:bidi="he-IL"/>
        </w:rPr>
        <w:t xml:space="preserve"> of </w:t>
      </w:r>
      <w:proofErr w:type="gramStart"/>
      <w:r w:rsidR="004F5558" w:rsidRPr="009E2DFC">
        <w:rPr>
          <w:rFonts w:cstheme="minorHAnsi"/>
          <w:lang w:bidi="he-IL"/>
        </w:rPr>
        <w:t>an</w:t>
      </w:r>
      <w:proofErr w:type="gramEnd"/>
      <w:r w:rsidR="004F5558" w:rsidRPr="009E2DFC">
        <w:rPr>
          <w:rFonts w:cstheme="minorHAnsi"/>
          <w:lang w:bidi="he-IL"/>
        </w:rPr>
        <w:t xml:space="preserve"> halakhic paragraph</w:t>
      </w:r>
      <w:r w:rsidR="009F0C05">
        <w:rPr>
          <w:rFonts w:cstheme="minorHAnsi"/>
          <w:lang w:bidi="he-IL"/>
        </w:rPr>
        <w:t xml:space="preserve"> in the Torah</w:t>
      </w:r>
      <w:r w:rsidR="004F2577" w:rsidRPr="009E2DFC">
        <w:rPr>
          <w:rFonts w:cstheme="minorHAnsi"/>
          <w:lang w:bidi="he-IL"/>
        </w:rPr>
        <w:t>;</w:t>
      </w:r>
      <w:r w:rsidR="004E6AA5" w:rsidRPr="009E2DFC">
        <w:rPr>
          <w:rFonts w:cstheme="minorHAnsi"/>
          <w:lang w:bidi="he-IL"/>
        </w:rPr>
        <w:t xml:space="preserve"> </w:t>
      </w:r>
      <w:r w:rsidR="001A22B5">
        <w:rPr>
          <w:rFonts w:cstheme="minorHAnsi"/>
          <w:lang w:bidi="he-IL"/>
        </w:rPr>
        <w:t xml:space="preserve">the time </w:t>
      </w:r>
      <w:r w:rsidR="004E6AA5" w:rsidRPr="009E2DFC">
        <w:rPr>
          <w:rFonts w:cstheme="minorHAnsi"/>
          <w:lang w:bidi="he-IL"/>
        </w:rPr>
        <w:t>when</w:t>
      </w:r>
      <w:r w:rsidR="005975B0">
        <w:rPr>
          <w:rFonts w:cstheme="minorHAnsi"/>
          <w:lang w:bidi="he-IL"/>
        </w:rPr>
        <w:t xml:space="preserve"> such a </w:t>
      </w:r>
      <w:r w:rsidR="004E6AA5" w:rsidRPr="009E2DFC">
        <w:rPr>
          <w:rFonts w:cstheme="minorHAnsi"/>
          <w:lang w:bidi="he-IL"/>
        </w:rPr>
        <w:t xml:space="preserve">paragraph was </w:t>
      </w:r>
      <w:r w:rsidR="004F5558" w:rsidRPr="009E2DFC">
        <w:rPr>
          <w:rFonts w:cstheme="minorHAnsi"/>
          <w:lang w:bidi="he-IL"/>
        </w:rPr>
        <w:t>announced</w:t>
      </w:r>
      <w:r w:rsidR="004E6AA5" w:rsidRPr="009E2DFC">
        <w:rPr>
          <w:rFonts w:cstheme="minorHAnsi"/>
          <w:lang w:bidi="he-IL"/>
        </w:rPr>
        <w:t xml:space="preserve"> to the people </w:t>
      </w:r>
      <w:r w:rsidR="001A22B5">
        <w:rPr>
          <w:rFonts w:cstheme="minorHAnsi"/>
          <w:lang w:bidi="he-IL"/>
        </w:rPr>
        <w:t>was</w:t>
      </w:r>
      <w:r w:rsidR="004E6AA5" w:rsidRPr="009E2DFC">
        <w:rPr>
          <w:rFonts w:cstheme="minorHAnsi"/>
          <w:lang w:bidi="he-IL"/>
        </w:rPr>
        <w:t xml:space="preserve"> not the most important consideration.</w:t>
      </w:r>
      <w:r w:rsidR="002473CE" w:rsidRPr="009E2DFC">
        <w:rPr>
          <w:rStyle w:val="FootnoteReference"/>
          <w:rFonts w:cstheme="minorHAnsi"/>
          <w:lang w:bidi="he-IL"/>
        </w:rPr>
        <w:footnoteReference w:id="50"/>
      </w:r>
    </w:p>
    <w:p w14:paraId="4F053105" w14:textId="77777777" w:rsidR="001757BB" w:rsidRDefault="001757BB" w:rsidP="00DE0765">
      <w:pPr>
        <w:rPr>
          <w:lang w:bidi="he-IL"/>
        </w:rPr>
      </w:pPr>
    </w:p>
    <w:p w14:paraId="264FCBD5" w14:textId="70279084" w:rsidR="00DE0765" w:rsidRDefault="004A5ADA" w:rsidP="00DE0765">
      <w:pPr>
        <w:rPr>
          <w:lang w:bidi="he-IL"/>
        </w:rPr>
      </w:pPr>
      <w:r>
        <w:rPr>
          <w:lang w:bidi="he-IL"/>
        </w:rPr>
        <w:t>An example of a freer attitude towards le</w:t>
      </w:r>
      <w:r w:rsidR="009656D7">
        <w:rPr>
          <w:lang w:bidi="he-IL"/>
        </w:rPr>
        <w:t>g</w:t>
      </w:r>
      <w:r>
        <w:rPr>
          <w:lang w:bidi="he-IL"/>
        </w:rPr>
        <w:t xml:space="preserve">al pericopae </w:t>
      </w:r>
      <w:r w:rsidR="009656D7">
        <w:rPr>
          <w:lang w:bidi="he-IL"/>
        </w:rPr>
        <w:t xml:space="preserve">and their place in the Torah can be seen in the rabbinic treatment of the biblical </w:t>
      </w:r>
      <w:r w:rsidR="00FB5A4D">
        <w:rPr>
          <w:lang w:bidi="he-IL"/>
        </w:rPr>
        <w:t>prohibition against eating the sciatic nerve of an animal</w:t>
      </w:r>
      <w:r w:rsidR="00D63D77">
        <w:rPr>
          <w:lang w:bidi="he-IL"/>
        </w:rPr>
        <w:t xml:space="preserve">, Hebrew </w:t>
      </w:r>
      <w:r w:rsidR="00D63D77" w:rsidRPr="00D63D77">
        <w:rPr>
          <w:i/>
          <w:iCs/>
          <w:lang w:bidi="he-IL"/>
        </w:rPr>
        <w:t xml:space="preserve">gid </w:t>
      </w:r>
      <w:proofErr w:type="spellStart"/>
      <w:r w:rsidR="00D63D77" w:rsidRPr="00D63D77">
        <w:rPr>
          <w:i/>
          <w:iCs/>
          <w:lang w:bidi="he-IL"/>
        </w:rPr>
        <w:t>hanasheh</w:t>
      </w:r>
      <w:proofErr w:type="spellEnd"/>
      <w:r w:rsidR="00B354AF">
        <w:rPr>
          <w:lang w:bidi="he-IL"/>
        </w:rPr>
        <w:t>. According to both Mishna and Talmud in tractate Hu</w:t>
      </w:r>
      <w:r w:rsidR="00F37014">
        <w:rPr>
          <w:lang w:bidi="he-IL"/>
        </w:rPr>
        <w:t>l</w:t>
      </w:r>
      <w:r w:rsidR="00B354AF">
        <w:rPr>
          <w:lang w:bidi="he-IL"/>
        </w:rPr>
        <w:t xml:space="preserve">lin, the prohibition or negative commandment </w:t>
      </w:r>
      <w:r w:rsidR="00FB5A4D">
        <w:rPr>
          <w:lang w:bidi="he-IL"/>
        </w:rPr>
        <w:t xml:space="preserve">was </w:t>
      </w:r>
      <w:r w:rsidR="00865F10">
        <w:rPr>
          <w:lang w:bidi="he-IL"/>
        </w:rPr>
        <w:t>taught</w:t>
      </w:r>
      <w:r w:rsidR="00FB5A4D">
        <w:rPr>
          <w:lang w:bidi="he-IL"/>
        </w:rPr>
        <w:t xml:space="preserve"> at Sinai, </w:t>
      </w:r>
      <w:r w:rsidR="00D63D77">
        <w:rPr>
          <w:lang w:bidi="he-IL"/>
        </w:rPr>
        <w:t>together</w:t>
      </w:r>
      <w:r w:rsidR="00FB5A4D">
        <w:rPr>
          <w:lang w:bidi="he-IL"/>
        </w:rPr>
        <w:t xml:space="preserve"> wi</w:t>
      </w:r>
      <w:r w:rsidR="00590AA4">
        <w:rPr>
          <w:lang w:bidi="he-IL"/>
        </w:rPr>
        <w:t>th</w:t>
      </w:r>
      <w:r w:rsidR="00FB5A4D">
        <w:rPr>
          <w:lang w:bidi="he-IL"/>
        </w:rPr>
        <w:t xml:space="preserve"> all the other commandments</w:t>
      </w:r>
      <w:r w:rsidR="00F37014">
        <w:rPr>
          <w:lang w:bidi="he-IL"/>
        </w:rPr>
        <w:t>.</w:t>
      </w:r>
      <w:r w:rsidR="00D63D77">
        <w:rPr>
          <w:lang w:bidi="he-IL"/>
        </w:rPr>
        <w:t xml:space="preserve"> </w:t>
      </w:r>
      <w:r w:rsidR="00F37014">
        <w:rPr>
          <w:lang w:bidi="he-IL"/>
        </w:rPr>
        <w:t xml:space="preserve">However, it </w:t>
      </w:r>
      <w:r w:rsidR="00D63D77">
        <w:rPr>
          <w:lang w:bidi="he-IL"/>
        </w:rPr>
        <w:t xml:space="preserve">was </w:t>
      </w:r>
      <w:r w:rsidR="00033270">
        <w:rPr>
          <w:lang w:bidi="he-IL"/>
        </w:rPr>
        <w:t xml:space="preserve">inscribed </w:t>
      </w:r>
      <w:r w:rsidR="00D63D77">
        <w:rPr>
          <w:lang w:bidi="he-IL"/>
        </w:rPr>
        <w:t xml:space="preserve">in the Torah in Genesis </w:t>
      </w:r>
      <w:r w:rsidR="00590AA4">
        <w:rPr>
          <w:lang w:bidi="he-IL"/>
        </w:rPr>
        <w:t xml:space="preserve">as part of </w:t>
      </w:r>
      <w:r w:rsidR="00D63D77">
        <w:rPr>
          <w:lang w:bidi="he-IL"/>
        </w:rPr>
        <w:t xml:space="preserve">the narrative of Jacob </w:t>
      </w:r>
      <w:r w:rsidR="00590AA4">
        <w:rPr>
          <w:lang w:bidi="he-IL"/>
        </w:rPr>
        <w:t xml:space="preserve">struggling with </w:t>
      </w:r>
      <w:r w:rsidR="00D63D77">
        <w:rPr>
          <w:lang w:bidi="he-IL"/>
        </w:rPr>
        <w:t>the Angel,</w:t>
      </w:r>
      <w:r w:rsidR="00A77EA2">
        <w:rPr>
          <w:lang w:bidi="he-IL"/>
        </w:rPr>
        <w:t xml:space="preserve"> who crippled Jacob by injuring his sciatic nerve.</w:t>
      </w:r>
      <w:r w:rsidR="000406DF">
        <w:rPr>
          <w:rStyle w:val="FootnoteReference"/>
          <w:lang w:bidi="he-IL"/>
        </w:rPr>
        <w:footnoteReference w:id="51"/>
      </w:r>
      <w:r w:rsidR="00A77EA2">
        <w:rPr>
          <w:lang w:bidi="he-IL"/>
        </w:rPr>
        <w:t xml:space="preserve"> </w:t>
      </w:r>
      <w:r w:rsidR="002E2F39">
        <w:rPr>
          <w:lang w:bidi="he-IL"/>
        </w:rPr>
        <w:t>Since</w:t>
      </w:r>
      <w:r w:rsidR="00A77EA2">
        <w:rPr>
          <w:lang w:bidi="he-IL"/>
        </w:rPr>
        <w:t xml:space="preserve"> this story was </w:t>
      </w:r>
      <w:r w:rsidR="00590AA4">
        <w:rPr>
          <w:lang w:bidi="he-IL"/>
        </w:rPr>
        <w:t xml:space="preserve">the reason for the </w:t>
      </w:r>
      <w:r w:rsidR="004E333D">
        <w:rPr>
          <w:lang w:bidi="he-IL"/>
        </w:rPr>
        <w:t>prohibit</w:t>
      </w:r>
      <w:r w:rsidR="00590AA4">
        <w:rPr>
          <w:lang w:bidi="he-IL"/>
        </w:rPr>
        <w:t>ion</w:t>
      </w:r>
      <w:r w:rsidR="00A77EA2">
        <w:rPr>
          <w:lang w:bidi="he-IL"/>
        </w:rPr>
        <w:t>,</w:t>
      </w:r>
      <w:r w:rsidR="00600F4A">
        <w:rPr>
          <w:lang w:bidi="he-IL"/>
        </w:rPr>
        <w:t xml:space="preserve"> </w:t>
      </w:r>
      <w:r w:rsidR="0075604B">
        <w:rPr>
          <w:lang w:bidi="he-IL"/>
        </w:rPr>
        <w:t xml:space="preserve">the prohibition </w:t>
      </w:r>
      <w:r w:rsidR="00A77EA2">
        <w:rPr>
          <w:lang w:bidi="he-IL"/>
        </w:rPr>
        <w:t xml:space="preserve">was </w:t>
      </w:r>
      <w:r w:rsidR="0075604B">
        <w:rPr>
          <w:lang w:bidi="he-IL"/>
        </w:rPr>
        <w:t>incorporated into the story.</w:t>
      </w:r>
      <w:r w:rsidR="00310207">
        <w:rPr>
          <w:lang w:bidi="he-IL"/>
        </w:rPr>
        <w:t xml:space="preserve"> Of interest is Rashi’s explanation of the </w:t>
      </w:r>
      <w:r w:rsidR="00E54157">
        <w:rPr>
          <w:lang w:bidi="he-IL"/>
        </w:rPr>
        <w:t>Mishnaic</w:t>
      </w:r>
      <w:r w:rsidR="00310207">
        <w:rPr>
          <w:lang w:bidi="he-IL"/>
        </w:rPr>
        <w:t xml:space="preserve"> phrase</w:t>
      </w:r>
      <w:r w:rsidR="009118DF">
        <w:rPr>
          <w:lang w:bidi="he-IL"/>
        </w:rPr>
        <w:t>,</w:t>
      </w:r>
      <w:r w:rsidR="00310207">
        <w:rPr>
          <w:lang w:bidi="he-IL"/>
        </w:rPr>
        <w:t xml:space="preserve"> “it was</w:t>
      </w:r>
      <w:r w:rsidR="00B82BBE">
        <w:rPr>
          <w:lang w:bidi="he-IL"/>
        </w:rPr>
        <w:t xml:space="preserve"> said at Sinai but was</w:t>
      </w:r>
      <w:r w:rsidR="00310207">
        <w:rPr>
          <w:lang w:bidi="he-IL"/>
        </w:rPr>
        <w:t xml:space="preserve"> written in its place</w:t>
      </w:r>
      <w:r w:rsidR="002B5108">
        <w:rPr>
          <w:lang w:bidi="he-IL"/>
        </w:rPr>
        <w:t>.</w:t>
      </w:r>
      <w:r w:rsidR="00310207">
        <w:rPr>
          <w:lang w:bidi="he-IL"/>
        </w:rPr>
        <w:t xml:space="preserve">” </w:t>
      </w:r>
      <w:r w:rsidR="005E40D2">
        <w:rPr>
          <w:lang w:bidi="he-IL"/>
        </w:rPr>
        <w:t>A</w:t>
      </w:r>
      <w:r w:rsidR="00310207">
        <w:rPr>
          <w:lang w:bidi="he-IL"/>
        </w:rPr>
        <w:t xml:space="preserve">fter the </w:t>
      </w:r>
      <w:r w:rsidR="008F56A8">
        <w:rPr>
          <w:lang w:bidi="he-IL"/>
        </w:rPr>
        <w:t>commandments were</w:t>
      </w:r>
      <w:r w:rsidR="00310207">
        <w:rPr>
          <w:lang w:bidi="he-IL"/>
        </w:rPr>
        <w:t xml:space="preserve"> given at Sinai, Moses wrote down th</w:t>
      </w:r>
      <w:r w:rsidR="00B63CA4">
        <w:rPr>
          <w:lang w:bidi="he-IL"/>
        </w:rPr>
        <w:t>is</w:t>
      </w:r>
      <w:r w:rsidR="00310207">
        <w:rPr>
          <w:lang w:bidi="he-IL"/>
        </w:rPr>
        <w:t xml:space="preserve"> law</w:t>
      </w:r>
      <w:r w:rsidR="00590AA4">
        <w:rPr>
          <w:lang w:bidi="he-IL"/>
        </w:rPr>
        <w:t xml:space="preserve"> </w:t>
      </w:r>
      <w:r w:rsidR="00B63CA4">
        <w:rPr>
          <w:lang w:bidi="he-IL"/>
        </w:rPr>
        <w:t>within the narrative</w:t>
      </w:r>
      <w:r w:rsidR="006B52BC">
        <w:rPr>
          <w:lang w:bidi="he-IL"/>
        </w:rPr>
        <w:t xml:space="preserve"> about Jacob</w:t>
      </w:r>
      <w:r w:rsidR="00B63CA4">
        <w:rPr>
          <w:lang w:bidi="he-IL"/>
        </w:rPr>
        <w:t>, for the sa</w:t>
      </w:r>
      <w:r w:rsidR="001210B6">
        <w:rPr>
          <w:lang w:bidi="he-IL"/>
        </w:rPr>
        <w:t>k</w:t>
      </w:r>
      <w:r w:rsidR="00B63CA4">
        <w:rPr>
          <w:lang w:bidi="he-IL"/>
        </w:rPr>
        <w:t>e of future</w:t>
      </w:r>
      <w:r w:rsidR="00156BC4">
        <w:rPr>
          <w:lang w:bidi="he-IL"/>
        </w:rPr>
        <w:t xml:space="preserve"> generations, </w:t>
      </w:r>
      <w:r w:rsidR="00B63CA4">
        <w:rPr>
          <w:lang w:bidi="he-IL"/>
        </w:rPr>
        <w:t xml:space="preserve">so that they </w:t>
      </w:r>
      <w:r w:rsidR="00156BC4">
        <w:rPr>
          <w:lang w:bidi="he-IL"/>
        </w:rPr>
        <w:t xml:space="preserve">might </w:t>
      </w:r>
      <w:r w:rsidR="00B63CA4">
        <w:rPr>
          <w:lang w:bidi="he-IL"/>
        </w:rPr>
        <w:t xml:space="preserve">know what </w:t>
      </w:r>
      <w:r w:rsidR="00E54157">
        <w:rPr>
          <w:lang w:bidi="he-IL"/>
        </w:rPr>
        <w:t xml:space="preserve">the reason for the </w:t>
      </w:r>
      <w:r w:rsidR="00156BC4">
        <w:rPr>
          <w:lang w:bidi="he-IL"/>
        </w:rPr>
        <w:t xml:space="preserve">prohibition of </w:t>
      </w:r>
      <w:r w:rsidR="00156BC4" w:rsidRPr="00156BC4">
        <w:rPr>
          <w:i/>
          <w:iCs/>
          <w:lang w:bidi="he-IL"/>
        </w:rPr>
        <w:t xml:space="preserve">gid </w:t>
      </w:r>
      <w:proofErr w:type="spellStart"/>
      <w:r w:rsidR="00156BC4" w:rsidRPr="00156BC4">
        <w:rPr>
          <w:i/>
          <w:iCs/>
          <w:lang w:bidi="he-IL"/>
        </w:rPr>
        <w:t>hanasheh</w:t>
      </w:r>
      <w:proofErr w:type="spellEnd"/>
      <w:r w:rsidR="00156BC4">
        <w:rPr>
          <w:lang w:bidi="he-IL"/>
        </w:rPr>
        <w:t xml:space="preserve"> </w:t>
      </w:r>
      <w:r w:rsidR="002214F8">
        <w:rPr>
          <w:lang w:bidi="he-IL"/>
        </w:rPr>
        <w:t>was.</w:t>
      </w:r>
    </w:p>
    <w:p w14:paraId="485B2669" w14:textId="77777777" w:rsidR="005F2D64" w:rsidRPr="005F2D64" w:rsidRDefault="005F2D64" w:rsidP="003C4EA4">
      <w:pPr>
        <w:spacing w:after="120" w:line="360" w:lineRule="auto"/>
        <w:rPr>
          <w:rFonts w:cs="Arial"/>
          <w:b/>
          <w:bCs/>
        </w:rPr>
      </w:pPr>
      <w:r w:rsidRPr="005F2D64">
        <w:rPr>
          <w:b/>
          <w:bCs/>
        </w:rPr>
        <w:t>Hermann Gunkel</w:t>
      </w:r>
    </w:p>
    <w:p w14:paraId="6BDD73B7" w14:textId="10AC7EAB" w:rsidR="003C4EA4" w:rsidRDefault="003C4EA4" w:rsidP="005F2D64">
      <w:pPr>
        <w:ind w:left="720"/>
      </w:pPr>
      <w:r w:rsidRPr="00192845">
        <w:rPr>
          <w:i/>
          <w:iCs/>
        </w:rPr>
        <w:t>No internal ordering principle for the individual psalms has been transmitted for the whole</w:t>
      </w:r>
      <w:r w:rsidRPr="00192845">
        <w:t>. To be sure, sometimes related psalms stand together in the collection of the psalter: ‘complaints of the individual’, ‘hymns’ (103-105), ‘thanksgiving psalms’ (40f), ‘royal psalms’ (20f)</w:t>
      </w:r>
      <w:r w:rsidR="00416E09">
        <w:t xml:space="preserve"> </w:t>
      </w:r>
      <w:r w:rsidRPr="00192845">
        <w:t>… thus no certainty exists in questionable cases, whether a psalm should be understood with its neighbor. …</w:t>
      </w:r>
      <w:r w:rsidRPr="00192845">
        <w:rPr>
          <w:i/>
          <w:iCs/>
        </w:rPr>
        <w:t xml:space="preserve">The </w:t>
      </w:r>
      <w:proofErr w:type="gramStart"/>
      <w:r w:rsidRPr="00192845">
        <w:rPr>
          <w:i/>
          <w:iCs/>
        </w:rPr>
        <w:t>particular task</w:t>
      </w:r>
      <w:proofErr w:type="gramEnd"/>
      <w:r w:rsidRPr="00192845">
        <w:rPr>
          <w:i/>
          <w:iCs/>
        </w:rPr>
        <w:t xml:space="preserve"> of psalm studies should be to rediscover the relationships between the individual songs</w:t>
      </w:r>
      <w:r w:rsidRPr="00192845">
        <w:t xml:space="preserve"> that did not occur with the transmission, or that occurred only in part.</w:t>
      </w:r>
      <w:r w:rsidR="005F2D64">
        <w:rPr>
          <w:rStyle w:val="FootnoteReference"/>
        </w:rPr>
        <w:footnoteReference w:id="52"/>
      </w:r>
      <w:r w:rsidRPr="00192845">
        <w:t xml:space="preserve"> </w:t>
      </w:r>
    </w:p>
    <w:p w14:paraId="29AD3110" w14:textId="77777777" w:rsidR="00D753FD" w:rsidRDefault="00D753FD" w:rsidP="00D753FD">
      <w:pPr>
        <w:bidi/>
        <w:ind w:left="720"/>
        <w:rPr>
          <w:rtl/>
          <w:lang w:bidi="he-IL"/>
        </w:rPr>
      </w:pPr>
    </w:p>
    <w:p w14:paraId="743FF6C5" w14:textId="7F96B386" w:rsidR="002E0E89" w:rsidRPr="00BC1227" w:rsidRDefault="002E0E89" w:rsidP="002E0E89">
      <w:pPr>
        <w:ind w:left="720"/>
        <w:rPr>
          <w:b/>
          <w:bCs/>
          <w:lang w:bidi="he-IL"/>
        </w:rPr>
      </w:pPr>
      <w:r w:rsidRPr="00BC1227">
        <w:rPr>
          <w:b/>
          <w:bCs/>
          <w:lang w:bidi="he-IL"/>
        </w:rPr>
        <w:t>Morde</w:t>
      </w:r>
      <w:r w:rsidR="00AE68BB" w:rsidRPr="00BC1227">
        <w:rPr>
          <w:b/>
          <w:bCs/>
          <w:lang w:bidi="he-IL"/>
        </w:rPr>
        <w:t>c</w:t>
      </w:r>
      <w:r w:rsidRPr="00BC1227">
        <w:rPr>
          <w:b/>
          <w:bCs/>
          <w:lang w:bidi="he-IL"/>
        </w:rPr>
        <w:t xml:space="preserve">ai </w:t>
      </w:r>
      <w:proofErr w:type="spellStart"/>
      <w:r w:rsidRPr="00BC1227">
        <w:rPr>
          <w:b/>
          <w:bCs/>
          <w:lang w:bidi="he-IL"/>
        </w:rPr>
        <w:t>Zer</w:t>
      </w:r>
      <w:proofErr w:type="spellEnd"/>
      <w:r w:rsidRPr="00BC1227">
        <w:rPr>
          <w:b/>
          <w:bCs/>
          <w:lang w:bidi="he-IL"/>
        </w:rPr>
        <w:t xml:space="preserve"> </w:t>
      </w:r>
      <w:proofErr w:type="spellStart"/>
      <w:r w:rsidRPr="00BC1227">
        <w:rPr>
          <w:b/>
          <w:bCs/>
          <w:lang w:bidi="he-IL"/>
        </w:rPr>
        <w:t>Kav</w:t>
      </w:r>
      <w:r w:rsidR="00BC1227" w:rsidRPr="00BC1227">
        <w:rPr>
          <w:b/>
          <w:bCs/>
          <w:lang w:bidi="he-IL"/>
        </w:rPr>
        <w:t>od</w:t>
      </w:r>
      <w:proofErr w:type="spellEnd"/>
      <w:r w:rsidR="00BC1227" w:rsidRPr="00BC1227">
        <w:rPr>
          <w:b/>
          <w:bCs/>
          <w:lang w:bidi="he-IL"/>
        </w:rPr>
        <w:t xml:space="preserve">: </w:t>
      </w:r>
      <w:proofErr w:type="spellStart"/>
      <w:r w:rsidR="00BC1227" w:rsidRPr="00BC1227">
        <w:rPr>
          <w:b/>
          <w:bCs/>
          <w:lang w:bidi="he-IL"/>
        </w:rPr>
        <w:t>Da’at</w:t>
      </w:r>
      <w:proofErr w:type="spellEnd"/>
      <w:r w:rsidR="00BC1227" w:rsidRPr="00BC1227">
        <w:rPr>
          <w:b/>
          <w:bCs/>
          <w:lang w:bidi="he-IL"/>
        </w:rPr>
        <w:t xml:space="preserve"> Miqra</w:t>
      </w:r>
      <w:r w:rsidR="00BC1227" w:rsidRPr="00BC1227">
        <w:rPr>
          <w:rFonts w:hint="cs"/>
          <w:b/>
          <w:bCs/>
          <w:rtl/>
          <w:lang w:bidi="he-IL"/>
        </w:rPr>
        <w:t xml:space="preserve">  </w:t>
      </w:r>
      <w:r w:rsidR="00BC1227" w:rsidRPr="00BC1227">
        <w:rPr>
          <w:b/>
          <w:bCs/>
          <w:lang w:bidi="he-IL"/>
        </w:rPr>
        <w:t xml:space="preserve"> </w:t>
      </w:r>
    </w:p>
    <w:p w14:paraId="54EADA1A" w14:textId="57B136B9" w:rsidR="002E0E89" w:rsidRPr="00A57116" w:rsidRDefault="002E0E89" w:rsidP="000B107F">
      <w:pPr>
        <w:ind w:left="720"/>
        <w:rPr>
          <w:lang w:bidi="he-IL"/>
        </w:rPr>
      </w:pPr>
      <w:r>
        <w:rPr>
          <w:lang w:bidi="he-IL"/>
        </w:rPr>
        <w:t xml:space="preserve">As we have seen above, the book [of </w:t>
      </w:r>
      <w:r w:rsidR="00AE68BB">
        <w:rPr>
          <w:lang w:bidi="he-IL"/>
        </w:rPr>
        <w:t>Z</w:t>
      </w:r>
      <w:r w:rsidR="00852894">
        <w:rPr>
          <w:lang w:bidi="he-IL"/>
        </w:rPr>
        <w:t>echari</w:t>
      </w:r>
      <w:r w:rsidR="00AE68BB">
        <w:rPr>
          <w:lang w:bidi="he-IL"/>
        </w:rPr>
        <w:t>ah</w:t>
      </w:r>
      <w:r>
        <w:rPr>
          <w:lang w:bidi="he-IL"/>
        </w:rPr>
        <w:t>] is</w:t>
      </w:r>
      <w:r w:rsidR="00AE68BB">
        <w:rPr>
          <w:lang w:bidi="he-IL"/>
        </w:rPr>
        <w:t xml:space="preserve"> c</w:t>
      </w:r>
      <w:r>
        <w:rPr>
          <w:lang w:bidi="he-IL"/>
        </w:rPr>
        <w:t>omposed of five parts . . . these units are tied to ea</w:t>
      </w:r>
      <w:r w:rsidR="00AE68BB">
        <w:rPr>
          <w:lang w:bidi="he-IL"/>
        </w:rPr>
        <w:t>c</w:t>
      </w:r>
      <w:r>
        <w:rPr>
          <w:lang w:bidi="he-IL"/>
        </w:rPr>
        <w:t>h</w:t>
      </w:r>
      <w:r w:rsidR="00AE68BB">
        <w:rPr>
          <w:lang w:bidi="he-IL"/>
        </w:rPr>
        <w:t xml:space="preserve"> </w:t>
      </w:r>
      <w:r>
        <w:rPr>
          <w:lang w:bidi="he-IL"/>
        </w:rPr>
        <w:t xml:space="preserve">other </w:t>
      </w:r>
      <w:r w:rsidR="00303502">
        <w:rPr>
          <w:lang w:bidi="he-IL"/>
        </w:rPr>
        <w:t>through</w:t>
      </w:r>
      <w:r>
        <w:rPr>
          <w:lang w:bidi="he-IL"/>
        </w:rPr>
        <w:t xml:space="preserve"> </w:t>
      </w:r>
      <w:r w:rsidR="00AE68BB">
        <w:rPr>
          <w:lang w:bidi="he-IL"/>
        </w:rPr>
        <w:t>juxtaposition</w:t>
      </w:r>
      <w:r w:rsidR="000B107F">
        <w:rPr>
          <w:lang w:bidi="he-IL"/>
        </w:rPr>
        <w:t xml:space="preserve"> of motif</w:t>
      </w:r>
      <w:r>
        <w:rPr>
          <w:lang w:bidi="he-IL"/>
        </w:rPr>
        <w:t xml:space="preserve"> and subject. </w:t>
      </w:r>
      <w:r w:rsidR="00AE68BB">
        <w:rPr>
          <w:lang w:bidi="he-IL"/>
        </w:rPr>
        <w:t>W</w:t>
      </w:r>
      <w:r>
        <w:rPr>
          <w:lang w:bidi="he-IL"/>
        </w:rPr>
        <w:t xml:space="preserve">ith all that, chapter 9 teaches us that chronological order is not </w:t>
      </w:r>
      <w:r w:rsidR="000B107F">
        <w:rPr>
          <w:lang w:bidi="he-IL"/>
        </w:rPr>
        <w:t>maintained</w:t>
      </w:r>
      <w:r>
        <w:rPr>
          <w:lang w:bidi="he-IL"/>
        </w:rPr>
        <w:t xml:space="preserve"> here, and </w:t>
      </w:r>
      <w:r w:rsidR="00AE68BB">
        <w:rPr>
          <w:lang w:bidi="he-IL"/>
        </w:rPr>
        <w:t>it</w:t>
      </w:r>
      <w:r>
        <w:rPr>
          <w:lang w:bidi="he-IL"/>
        </w:rPr>
        <w:t xml:space="preserve"> is quite possible that </w:t>
      </w:r>
      <w:r w:rsidR="00AE68BB">
        <w:rPr>
          <w:lang w:bidi="he-IL"/>
        </w:rPr>
        <w:t>the</w:t>
      </w:r>
      <w:r>
        <w:rPr>
          <w:lang w:bidi="he-IL"/>
        </w:rPr>
        <w:t xml:space="preserve"> unit </w:t>
      </w:r>
      <w:r w:rsidR="000B107F">
        <w:rPr>
          <w:lang w:bidi="he-IL"/>
        </w:rPr>
        <w:t>12-14 or part of it was said before chapter 11 or even earlier, because “there is no earlier or later in the Torah.”</w:t>
      </w:r>
      <w:r w:rsidR="00303502">
        <w:rPr>
          <w:rStyle w:val="FootnoteReference"/>
          <w:lang w:bidi="he-IL"/>
        </w:rPr>
        <w:footnoteReference w:id="53"/>
      </w:r>
    </w:p>
    <w:p w14:paraId="50BDFF12" w14:textId="77777777" w:rsidR="003C4EA4" w:rsidRPr="00192845" w:rsidRDefault="003C4EA4" w:rsidP="003C4EA4"/>
    <w:p w14:paraId="23EF3766" w14:textId="77777777" w:rsidR="003C4EA4" w:rsidRDefault="00545EFB" w:rsidP="00545EFB">
      <w:pPr>
        <w:tabs>
          <w:tab w:val="left" w:pos="6363"/>
        </w:tabs>
        <w:bidi/>
        <w:rPr>
          <w:lang w:bidi="he-IL"/>
        </w:rPr>
      </w:pPr>
      <w:r>
        <w:rPr>
          <w:rFonts w:hint="cs"/>
          <w:rtl/>
          <w:lang w:bidi="he-IL"/>
        </w:rPr>
        <w:t xml:space="preserve">מרדכי ברויאר, לימוד התורה בשיטת הבחינות, הוצאת קרן המסורה, ירושלים תשס"ה. יחס האמונה למדע המקרא,9  - 29; שיטת הבחינות, 31 </w:t>
      </w:r>
      <w:r>
        <w:rPr>
          <w:rtl/>
          <w:lang w:bidi="he-IL"/>
        </w:rPr>
        <w:t>–</w:t>
      </w:r>
      <w:r>
        <w:rPr>
          <w:rFonts w:hint="cs"/>
          <w:rtl/>
          <w:lang w:bidi="he-IL"/>
        </w:rPr>
        <w:t xml:space="preserve"> 71.</w:t>
      </w:r>
    </w:p>
    <w:p w14:paraId="2B2D0013" w14:textId="77777777" w:rsidR="000B362C" w:rsidRDefault="000B362C" w:rsidP="000B362C">
      <w:pPr>
        <w:tabs>
          <w:tab w:val="left" w:pos="6363"/>
        </w:tabs>
        <w:rPr>
          <w:lang w:bidi="he-IL"/>
        </w:rPr>
      </w:pPr>
      <w:r>
        <w:rPr>
          <w:lang w:bidi="he-IL"/>
        </w:rPr>
        <w:lastRenderedPageBreak/>
        <w:t xml:space="preserve">“Ancient Libraries and the Ordering of the Biblical Books”, </w:t>
      </w:r>
      <w:r w:rsidRPr="000B362C">
        <w:rPr>
          <w:i/>
          <w:iCs/>
          <w:lang w:bidi="he-IL"/>
        </w:rPr>
        <w:t>Studies in Biblical Interpretation</w:t>
      </w:r>
      <w:r>
        <w:rPr>
          <w:lang w:bidi="he-IL"/>
        </w:rPr>
        <w:t>, JPS: Philadelphia, 2000, 53-66.</w:t>
      </w:r>
    </w:p>
    <w:p w14:paraId="78689F55" w14:textId="77777777" w:rsidR="000B362C" w:rsidRDefault="000B362C" w:rsidP="000B362C">
      <w:pPr>
        <w:tabs>
          <w:tab w:val="left" w:pos="6363"/>
        </w:tabs>
        <w:rPr>
          <w:lang w:bidi="he-IL"/>
        </w:rPr>
      </w:pPr>
      <w:r>
        <w:rPr>
          <w:lang w:bidi="he-IL"/>
        </w:rPr>
        <w:t xml:space="preserve">Psalm 89: A Study in Inner Biblical Exegesis, </w:t>
      </w:r>
      <w:r w:rsidRPr="000B362C">
        <w:rPr>
          <w:i/>
          <w:iCs/>
          <w:lang w:bidi="he-IL"/>
        </w:rPr>
        <w:t>Studies</w:t>
      </w:r>
      <w:r>
        <w:rPr>
          <w:lang w:bidi="he-IL"/>
        </w:rPr>
        <w:t>, 377-394.</w:t>
      </w:r>
    </w:p>
    <w:p w14:paraId="60B57630" w14:textId="77777777" w:rsidR="002214B5" w:rsidRPr="00C7567E" w:rsidRDefault="002214B5" w:rsidP="002214B5">
      <w:pPr>
        <w:rPr>
          <w:rFonts w:ascii="Calibri" w:hAnsi="Calibri"/>
          <w:iCs/>
          <w:lang w:bidi="he-IL"/>
        </w:rPr>
      </w:pPr>
      <w:r w:rsidRPr="00C7567E">
        <w:rPr>
          <w:rFonts w:ascii="Calibri" w:hAnsi="Calibri"/>
          <w:iCs/>
          <w:lang w:bidi="he-IL"/>
        </w:rPr>
        <w:t xml:space="preserve">U. Cassuto, </w:t>
      </w:r>
      <w:r w:rsidRPr="00C7567E">
        <w:rPr>
          <w:rFonts w:ascii="Calibri" w:hAnsi="Calibri"/>
          <w:i/>
          <w:lang w:bidi="he-IL"/>
        </w:rPr>
        <w:t>Biblical and Oriental Studies</w:t>
      </w:r>
      <w:r w:rsidRPr="00C7567E">
        <w:rPr>
          <w:rFonts w:ascii="Calibri" w:hAnsi="Calibri"/>
          <w:iCs/>
          <w:lang w:bidi="he-IL"/>
        </w:rPr>
        <w:t>, trans. Israel Abrahams, vol. I: Bible, Jerusalem: Magnes, 1973.</w:t>
      </w:r>
    </w:p>
    <w:p w14:paraId="2C840873" w14:textId="77777777" w:rsidR="002214B5" w:rsidRPr="00C7567E" w:rsidRDefault="002214B5" w:rsidP="002214B5">
      <w:pPr>
        <w:rPr>
          <w:rFonts w:ascii="Calibri" w:hAnsi="Calibri"/>
          <w:iCs/>
          <w:lang w:bidi="he-IL"/>
        </w:rPr>
      </w:pPr>
      <w:r w:rsidRPr="00C7567E">
        <w:rPr>
          <w:rFonts w:ascii="Calibri" w:hAnsi="Calibri"/>
          <w:iCs/>
          <w:lang w:bidi="he-IL"/>
        </w:rPr>
        <w:t xml:space="preserve">U. Cassuto, </w:t>
      </w:r>
      <w:r w:rsidRPr="00C7567E">
        <w:rPr>
          <w:rFonts w:ascii="Calibri" w:hAnsi="Calibri"/>
          <w:i/>
          <w:lang w:bidi="he-IL"/>
        </w:rPr>
        <w:t>Biblical and Oriental Studies</w:t>
      </w:r>
      <w:r w:rsidRPr="00C7567E">
        <w:rPr>
          <w:rFonts w:ascii="Calibri" w:hAnsi="Calibri"/>
          <w:iCs/>
          <w:lang w:bidi="he-IL"/>
        </w:rPr>
        <w:t>, trans. Israel Abrahams, vol. II: Bible and Ancient Oriental Texts, Jerusalem: Magnes, 1975.</w:t>
      </w:r>
    </w:p>
    <w:p w14:paraId="6044E4AA" w14:textId="77777777" w:rsidR="002214B5" w:rsidRPr="00C7567E" w:rsidRDefault="002214B5" w:rsidP="002214B5">
      <w:pPr>
        <w:rPr>
          <w:rFonts w:ascii="Calibri" w:hAnsi="Calibri"/>
          <w:iCs/>
          <w:lang w:bidi="he-IL"/>
        </w:rPr>
      </w:pPr>
      <w:r w:rsidRPr="00C7567E">
        <w:rPr>
          <w:rFonts w:ascii="Calibri" w:hAnsi="Calibri"/>
          <w:iCs/>
          <w:lang w:bidi="he-IL"/>
        </w:rPr>
        <w:t xml:space="preserve">Alter, </w:t>
      </w:r>
      <w:r w:rsidRPr="00C7567E">
        <w:rPr>
          <w:rFonts w:ascii="Calibri" w:hAnsi="Calibri"/>
          <w:i/>
          <w:lang w:bidi="he-IL"/>
        </w:rPr>
        <w:t>Art of Biblical Narrative</w:t>
      </w:r>
      <w:r w:rsidRPr="00C7567E">
        <w:rPr>
          <w:rFonts w:ascii="Calibri" w:hAnsi="Calibri"/>
          <w:iCs/>
          <w:lang w:bidi="he-IL"/>
        </w:rPr>
        <w:t>, pp. 1-22.</w:t>
      </w:r>
    </w:p>
    <w:p w14:paraId="4E053323" w14:textId="77777777" w:rsidR="002214B5" w:rsidRPr="00C7567E" w:rsidRDefault="002214B5" w:rsidP="002214B5">
      <w:pPr>
        <w:rPr>
          <w:rFonts w:ascii="Calibri" w:hAnsi="Calibri"/>
          <w:iCs/>
          <w:lang w:bidi="he-IL"/>
        </w:rPr>
      </w:pPr>
      <w:r w:rsidRPr="00C7567E">
        <w:rPr>
          <w:rFonts w:ascii="Calibri" w:hAnsi="Calibri"/>
          <w:iCs/>
          <w:lang w:bidi="he-IL"/>
        </w:rPr>
        <w:t xml:space="preserve">Judah story is interpolated into the Joseph story. There are intimate connections of theme and motif (4). For Speiser, it is an entirely independent unit having no connection with the drama of Joseph, which it interrupts. </w:t>
      </w:r>
    </w:p>
    <w:p w14:paraId="38879657" w14:textId="77777777" w:rsidR="002214B5" w:rsidRPr="00C7567E" w:rsidRDefault="002214B5" w:rsidP="002214B5">
      <w:pPr>
        <w:rPr>
          <w:rFonts w:ascii="Calibri" w:hAnsi="Calibri"/>
          <w:iCs/>
          <w:lang w:bidi="he-IL"/>
        </w:rPr>
      </w:pPr>
      <w:r w:rsidRPr="00C7567E">
        <w:rPr>
          <w:rFonts w:ascii="Calibri" w:hAnsi="Calibri"/>
          <w:iCs/>
          <w:lang w:bidi="he-IL"/>
        </w:rPr>
        <w:t>Verbal clues that connect pericopes.</w:t>
      </w:r>
    </w:p>
    <w:p w14:paraId="449F4C2A" w14:textId="77777777" w:rsidR="002214B5" w:rsidRDefault="002214B5" w:rsidP="002214B5">
      <w:pPr>
        <w:rPr>
          <w:rFonts w:ascii="Calibri" w:hAnsi="Calibri"/>
          <w:iCs/>
          <w:lang w:bidi="he-IL"/>
        </w:rPr>
      </w:pPr>
      <w:r w:rsidRPr="00C7567E">
        <w:rPr>
          <w:rFonts w:ascii="Calibri" w:hAnsi="Calibri"/>
          <w:iCs/>
          <w:lang w:bidi="he-IL"/>
        </w:rPr>
        <w:t>What is the difference between the literary approach and Midrash interpretation? Kugel thinks that there is none.</w:t>
      </w:r>
    </w:p>
    <w:p w14:paraId="2E39C8D1" w14:textId="77777777" w:rsidR="002214B5" w:rsidRDefault="002214B5" w:rsidP="002214B5">
      <w:pPr>
        <w:bidi/>
        <w:rPr>
          <w:rFonts w:ascii="Calibri" w:hAnsi="Calibri"/>
          <w:i/>
          <w:rtl/>
          <w:lang w:bidi="he-IL"/>
        </w:rPr>
      </w:pPr>
      <w:r w:rsidRPr="006841BE">
        <w:rPr>
          <w:rFonts w:ascii="Calibri" w:hAnsi="Calibri" w:hint="cs"/>
          <w:i/>
          <w:rtl/>
          <w:lang w:bidi="he-IL"/>
        </w:rPr>
        <w:t>אלכסנדר רופא</w:t>
      </w:r>
      <w:r>
        <w:rPr>
          <w:rFonts w:ascii="Calibri" w:hAnsi="Calibri" w:hint="cs"/>
          <w:iCs/>
          <w:rtl/>
          <w:lang w:bidi="he-IL"/>
        </w:rPr>
        <w:t xml:space="preserve">, </w:t>
      </w:r>
      <w:r w:rsidRPr="006841BE">
        <w:rPr>
          <w:rFonts w:ascii="Calibri" w:hAnsi="Calibri" w:hint="cs"/>
          <w:iCs/>
          <w:rtl/>
          <w:lang w:bidi="he-IL"/>
        </w:rPr>
        <w:t>מבוא לספר דברים: חלק ראשון ופרקי המשך</w:t>
      </w:r>
      <w:r>
        <w:rPr>
          <w:rFonts w:ascii="Calibri" w:hAnsi="Calibri" w:hint="cs"/>
          <w:i/>
          <w:rtl/>
          <w:lang w:bidi="he-IL"/>
        </w:rPr>
        <w:t>, ירושלים, אקדמון, תשמ"ח. 1988.</w:t>
      </w:r>
    </w:p>
    <w:p w14:paraId="79D9C06E" w14:textId="77777777" w:rsidR="002214B5" w:rsidRDefault="002214B5" w:rsidP="002214B5">
      <w:pPr>
        <w:bidi/>
        <w:rPr>
          <w:rFonts w:ascii="Calibri" w:hAnsi="Calibri"/>
          <w:i/>
          <w:rtl/>
          <w:lang w:bidi="he-IL"/>
        </w:rPr>
      </w:pPr>
      <w:r>
        <w:rPr>
          <w:rFonts w:ascii="Calibri" w:hAnsi="Calibri" w:hint="cs"/>
          <w:i/>
          <w:rtl/>
          <w:lang w:bidi="he-IL"/>
        </w:rPr>
        <w:t>פרק י"ז = "סידורם של החוקים בספר דברים", ספר זיכרון למ"ד קאסוטו, ירושלים, מאגנס, תשמ"ו, 217-235.</w:t>
      </w:r>
    </w:p>
    <w:p w14:paraId="31B8393E" w14:textId="70C23792" w:rsidR="002214B5" w:rsidRPr="002214B5" w:rsidRDefault="002214B5" w:rsidP="002214B5">
      <w:pPr>
        <w:tabs>
          <w:tab w:val="left" w:pos="6363"/>
        </w:tabs>
        <w:rPr>
          <w:sz w:val="24"/>
          <w:szCs w:val="24"/>
          <w:rtl/>
          <w:lang w:bidi="he-IL"/>
        </w:rPr>
      </w:pPr>
      <w:r w:rsidRPr="002214B5">
        <w:rPr>
          <w:sz w:val="24"/>
          <w:szCs w:val="24"/>
          <w:lang w:bidi="he-IL"/>
        </w:rPr>
        <w:t xml:space="preserve">Nahum Sarna, ‘Psalm 89’, </w:t>
      </w:r>
      <w:r w:rsidRPr="002214B5">
        <w:rPr>
          <w:i/>
          <w:iCs/>
          <w:sz w:val="24"/>
          <w:szCs w:val="24"/>
          <w:lang w:bidi="he-IL"/>
        </w:rPr>
        <w:t>Biblical and Other Studies</w:t>
      </w:r>
      <w:r w:rsidRPr="002214B5">
        <w:rPr>
          <w:sz w:val="24"/>
          <w:szCs w:val="24"/>
          <w:lang w:bidi="he-IL"/>
        </w:rPr>
        <w:t>, Alexander</w:t>
      </w:r>
      <w:r w:rsidR="00E71002">
        <w:rPr>
          <w:sz w:val="24"/>
          <w:szCs w:val="24"/>
          <w:lang w:bidi="he-IL"/>
        </w:rPr>
        <w:t xml:space="preserve"> </w:t>
      </w:r>
    </w:p>
    <w:sectPr w:rsidR="002214B5" w:rsidRPr="002214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CBE6C" w14:textId="77777777" w:rsidR="006A55C4" w:rsidRDefault="006A55C4" w:rsidP="00A063D8">
      <w:pPr>
        <w:spacing w:after="0" w:line="240" w:lineRule="auto"/>
      </w:pPr>
      <w:r>
        <w:separator/>
      </w:r>
    </w:p>
  </w:endnote>
  <w:endnote w:type="continuationSeparator" w:id="0">
    <w:p w14:paraId="6BC09B1D" w14:textId="77777777" w:rsidR="006A55C4" w:rsidRDefault="006A55C4" w:rsidP="00A0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43649"/>
      <w:docPartObj>
        <w:docPartGallery w:val="Page Numbers (Bottom of Page)"/>
        <w:docPartUnique/>
      </w:docPartObj>
    </w:sdtPr>
    <w:sdtEndPr>
      <w:rPr>
        <w:noProof/>
      </w:rPr>
    </w:sdtEndPr>
    <w:sdtContent>
      <w:p w14:paraId="686D46E5" w14:textId="77777777" w:rsidR="003D0AE3" w:rsidRDefault="003D0AE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345BFFE" w14:textId="77777777" w:rsidR="003D0AE3" w:rsidRDefault="003D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40A8" w14:textId="77777777" w:rsidR="006A55C4" w:rsidRDefault="006A55C4" w:rsidP="00A063D8">
      <w:pPr>
        <w:spacing w:after="0" w:line="240" w:lineRule="auto"/>
      </w:pPr>
      <w:r>
        <w:separator/>
      </w:r>
    </w:p>
  </w:footnote>
  <w:footnote w:type="continuationSeparator" w:id="0">
    <w:p w14:paraId="1FB87621" w14:textId="77777777" w:rsidR="006A55C4" w:rsidRDefault="006A55C4" w:rsidP="00A063D8">
      <w:pPr>
        <w:spacing w:after="0" w:line="240" w:lineRule="auto"/>
      </w:pPr>
      <w:r>
        <w:continuationSeparator/>
      </w:r>
    </w:p>
  </w:footnote>
  <w:footnote w:id="1">
    <w:p w14:paraId="3AB26232" w14:textId="77777777" w:rsidR="003D0AE3" w:rsidRPr="00D27E01" w:rsidRDefault="003D0AE3" w:rsidP="001A4E9F">
      <w:pPr>
        <w:pStyle w:val="FootnoteText"/>
      </w:pPr>
      <w:r w:rsidRPr="00D27E01">
        <w:rPr>
          <w:rStyle w:val="FootnoteReference"/>
        </w:rPr>
        <w:footnoteRef/>
      </w:r>
      <w:r w:rsidRPr="00D27E01">
        <w:t xml:space="preserve"> Translated from the second Hebrew edition of the commentary on the Pentateuch (</w:t>
      </w:r>
      <w:proofErr w:type="spellStart"/>
      <w:r>
        <w:t>Dvir</w:t>
      </w:r>
      <w:proofErr w:type="spellEnd"/>
      <w:r w:rsidRPr="00D27E01">
        <w:t xml:space="preserve">: </w:t>
      </w:r>
      <w:r>
        <w:t>Tel Aviv</w:t>
      </w:r>
      <w:r w:rsidRPr="00D27E01">
        <w:t>, 1965), p.</w:t>
      </w:r>
      <w:r>
        <w:t>21-22.</w:t>
      </w:r>
      <w:r w:rsidRPr="00D27E01">
        <w:t xml:space="preserve"> Th</w:t>
      </w:r>
      <w:r w:rsidRPr="00D27E01">
        <w:rPr>
          <w:lang w:bidi="he-IL"/>
        </w:rPr>
        <w:t>e</w:t>
      </w:r>
      <w:r w:rsidRPr="00D27E01">
        <w:t xml:space="preserve"> Hebrew introduction is based on an original Italian article which appeared in 1829 and was later republished in Italian together with the first edition of the Hebrew commentary on the Torah (Padua, 1871).</w:t>
      </w:r>
    </w:p>
  </w:footnote>
  <w:footnote w:id="2">
    <w:p w14:paraId="2D8F8B3C" w14:textId="44D0872C" w:rsidR="003D0AE3" w:rsidRDefault="003D0AE3">
      <w:pPr>
        <w:pStyle w:val="FootnoteText"/>
      </w:pPr>
      <w:r>
        <w:rPr>
          <w:rStyle w:val="FootnoteReference"/>
        </w:rPr>
        <w:footnoteRef/>
      </w:r>
      <w:r>
        <w:t xml:space="preserve"> </w:t>
      </w:r>
      <w:proofErr w:type="spellStart"/>
      <w:r>
        <w:t>Luzzato</w:t>
      </w:r>
      <w:proofErr w:type="spellEnd"/>
      <w:r>
        <w:t>, Introduction to Commentary, p.22.</w:t>
      </w:r>
    </w:p>
  </w:footnote>
  <w:footnote w:id="3">
    <w:p w14:paraId="686DEE1B" w14:textId="77777777" w:rsidR="003D0AE3" w:rsidRDefault="003D0AE3" w:rsidP="000D2542">
      <w:pPr>
        <w:pStyle w:val="FootnoteText"/>
      </w:pPr>
      <w:r>
        <w:rPr>
          <w:rStyle w:val="FootnoteReference"/>
        </w:rPr>
        <w:footnoteRef/>
      </w:r>
      <w:r>
        <w:t xml:space="preserve"> </w:t>
      </w:r>
      <w:r w:rsidRPr="007609B2">
        <w:rPr>
          <w:iCs/>
          <w:lang w:bidi="he-IL"/>
        </w:rPr>
        <w:t xml:space="preserve">U. Cassuto, </w:t>
      </w:r>
      <w:r w:rsidRPr="007609B2">
        <w:rPr>
          <w:i/>
          <w:lang w:bidi="he-IL"/>
        </w:rPr>
        <w:t>Biblical and Oriental Studies</w:t>
      </w:r>
      <w:r w:rsidRPr="007609B2">
        <w:rPr>
          <w:iCs/>
          <w:lang w:bidi="he-IL"/>
        </w:rPr>
        <w:t>, trans. Israel Abrahams, vol. I: Bible, Jerusalem: Magnes, 1973.</w:t>
      </w:r>
      <w:r>
        <w:t xml:space="preserve"> </w:t>
      </w:r>
    </w:p>
  </w:footnote>
  <w:footnote w:id="4">
    <w:p w14:paraId="5C5468C2" w14:textId="57004A98" w:rsidR="003D0AE3" w:rsidRPr="00D27E01" w:rsidRDefault="003D0AE3" w:rsidP="0053232F">
      <w:r w:rsidRPr="007609B2">
        <w:rPr>
          <w:rStyle w:val="FootnoteReference"/>
          <w:sz w:val="20"/>
          <w:szCs w:val="20"/>
        </w:rPr>
        <w:footnoteRef/>
      </w:r>
      <w:r w:rsidRPr="007609B2">
        <w:rPr>
          <w:sz w:val="20"/>
          <w:szCs w:val="20"/>
        </w:rPr>
        <w:t xml:space="preserve"> </w:t>
      </w:r>
      <w:r w:rsidRPr="0053232F">
        <w:rPr>
          <w:sz w:val="20"/>
          <w:szCs w:val="20"/>
        </w:rPr>
        <w:t>Cassuto</w:t>
      </w:r>
      <w:r>
        <w:rPr>
          <w:sz w:val="20"/>
          <w:szCs w:val="20"/>
        </w:rPr>
        <w:t>,</w:t>
      </w:r>
      <w:r w:rsidRPr="0053232F">
        <w:rPr>
          <w:i/>
          <w:iCs/>
          <w:sz w:val="20"/>
          <w:szCs w:val="20"/>
        </w:rPr>
        <w:t xml:space="preserve"> Studies</w:t>
      </w:r>
      <w:r>
        <w:rPr>
          <w:sz w:val="20"/>
          <w:szCs w:val="20"/>
        </w:rPr>
        <w:t>, vol.1, p.1.</w:t>
      </w:r>
    </w:p>
  </w:footnote>
  <w:footnote w:id="5">
    <w:p w14:paraId="2D43CA59" w14:textId="77777777" w:rsidR="003D0AE3" w:rsidRDefault="003D0AE3">
      <w:pPr>
        <w:pStyle w:val="FootnoteText"/>
      </w:pPr>
      <w:r>
        <w:rPr>
          <w:rStyle w:val="FootnoteReference"/>
        </w:rPr>
        <w:footnoteRef/>
      </w:r>
      <w:r>
        <w:t xml:space="preserve"> Ibid.</w:t>
      </w:r>
    </w:p>
  </w:footnote>
  <w:footnote w:id="6">
    <w:p w14:paraId="1CB67314" w14:textId="2B23E474" w:rsidR="003D0AE3" w:rsidRDefault="003D0AE3" w:rsidP="00025C4A">
      <w:pPr>
        <w:pStyle w:val="FootnoteText"/>
      </w:pPr>
      <w:r>
        <w:rPr>
          <w:rStyle w:val="FootnoteReference"/>
        </w:rPr>
        <w:footnoteRef/>
      </w:r>
      <w:r>
        <w:t xml:space="preserve"> Abravanel’s Torah Commentary, Exodus, chapter 21, </w:t>
      </w:r>
      <w:proofErr w:type="spellStart"/>
      <w:r>
        <w:t>Horev</w:t>
      </w:r>
      <w:proofErr w:type="spellEnd"/>
      <w:r>
        <w:t xml:space="preserve">: Jerusalem, 1987, p.339 (Heb.). See also </w:t>
      </w:r>
      <w:proofErr w:type="spellStart"/>
      <w:r>
        <w:t>Gersonides</w:t>
      </w:r>
      <w:proofErr w:type="spellEnd"/>
      <w:r>
        <w:t>’ study of the order of precepts in Exodus 22 – 24 (</w:t>
      </w:r>
      <w:proofErr w:type="spellStart"/>
      <w:r w:rsidRPr="00994FED">
        <w:rPr>
          <w:i/>
          <w:iCs/>
        </w:rPr>
        <w:t>parashat</w:t>
      </w:r>
      <w:proofErr w:type="spellEnd"/>
      <w:r w:rsidRPr="00994FED">
        <w:rPr>
          <w:i/>
          <w:iCs/>
        </w:rPr>
        <w:t xml:space="preserve"> </w:t>
      </w:r>
      <w:proofErr w:type="spellStart"/>
      <w:r w:rsidRPr="00994FED">
        <w:rPr>
          <w:i/>
          <w:iCs/>
        </w:rPr>
        <w:t>Mishpatim</w:t>
      </w:r>
      <w:proofErr w:type="spellEnd"/>
      <w:r>
        <w:t>--Heb).</w:t>
      </w:r>
    </w:p>
  </w:footnote>
  <w:footnote w:id="7">
    <w:p w14:paraId="1E698954" w14:textId="43C2DED7" w:rsidR="003D0AE3" w:rsidRDefault="003D0AE3" w:rsidP="00535691">
      <w:pPr>
        <w:pStyle w:val="FootnoteText"/>
      </w:pPr>
      <w:r>
        <w:rPr>
          <w:rStyle w:val="FootnoteReference"/>
        </w:rPr>
        <w:footnoteRef/>
      </w:r>
      <w:r>
        <w:t xml:space="preserve"> Cassuto, </w:t>
      </w:r>
      <w:r w:rsidRPr="00372C6D">
        <w:rPr>
          <w:i/>
          <w:iCs/>
        </w:rPr>
        <w:t>Studies</w:t>
      </w:r>
      <w:r>
        <w:t>, ibid.</w:t>
      </w:r>
    </w:p>
  </w:footnote>
  <w:footnote w:id="8">
    <w:p w14:paraId="51C624CB" w14:textId="77777777" w:rsidR="003D0AE3" w:rsidRDefault="003D0AE3">
      <w:pPr>
        <w:pStyle w:val="FootnoteText"/>
      </w:pPr>
      <w:r>
        <w:rPr>
          <w:rStyle w:val="FootnoteReference"/>
        </w:rPr>
        <w:footnoteRef/>
      </w:r>
      <w:r>
        <w:t xml:space="preserve"> Ibid., p.2.</w:t>
      </w:r>
    </w:p>
  </w:footnote>
  <w:footnote w:id="9">
    <w:p w14:paraId="1216B938" w14:textId="6C33E60B" w:rsidR="001F2A43" w:rsidRDefault="001F2A43">
      <w:pPr>
        <w:pStyle w:val="FootnoteText"/>
      </w:pPr>
      <w:r>
        <w:rPr>
          <w:rStyle w:val="FootnoteReference"/>
        </w:rPr>
        <w:footnoteRef/>
      </w:r>
      <w:r>
        <w:t xml:space="preserve"> There is a </w:t>
      </w:r>
      <w:r w:rsidR="0071466D">
        <w:t xml:space="preserve">clear </w:t>
      </w:r>
      <w:r>
        <w:t xml:space="preserve">connection between Martin </w:t>
      </w:r>
      <w:r w:rsidR="002D5CBA">
        <w:t xml:space="preserve">Buber’s </w:t>
      </w:r>
      <w:r w:rsidR="002D5CBA" w:rsidRPr="002D5CBA">
        <w:rPr>
          <w:i/>
          <w:iCs/>
        </w:rPr>
        <w:t>leitwort</w:t>
      </w:r>
      <w:r w:rsidR="002D5CBA">
        <w:t xml:space="preserve"> or</w:t>
      </w:r>
      <w:r>
        <w:t xml:space="preserve"> leading word, as well as </w:t>
      </w:r>
      <w:r w:rsidR="0071466D">
        <w:t>between associative juxtaposition and biblical wordplay.</w:t>
      </w:r>
    </w:p>
  </w:footnote>
  <w:footnote w:id="10">
    <w:p w14:paraId="6BFEDA7E" w14:textId="1B4F6AC9" w:rsidR="003D0AE3" w:rsidRDefault="003D0AE3" w:rsidP="003C7941">
      <w:pPr>
        <w:pStyle w:val="FootnoteText"/>
      </w:pPr>
      <w:r>
        <w:rPr>
          <w:rStyle w:val="FootnoteReference"/>
        </w:rPr>
        <w:footnoteRef/>
      </w:r>
      <w:r>
        <w:t xml:space="preserve"> Connection by association is by no means self-understood. </w:t>
      </w:r>
      <w:r w:rsidRPr="000B7040">
        <w:rPr>
          <w:iCs/>
          <w:lang w:bidi="he-IL"/>
        </w:rPr>
        <w:t xml:space="preserve">For </w:t>
      </w:r>
      <w:r>
        <w:rPr>
          <w:iCs/>
          <w:lang w:bidi="he-IL"/>
        </w:rPr>
        <w:t xml:space="preserve">E.A. </w:t>
      </w:r>
      <w:r w:rsidRPr="000B7040">
        <w:rPr>
          <w:iCs/>
          <w:lang w:bidi="he-IL"/>
        </w:rPr>
        <w:t xml:space="preserve">Speiser, </w:t>
      </w:r>
      <w:r>
        <w:rPr>
          <w:iCs/>
          <w:lang w:bidi="he-IL"/>
        </w:rPr>
        <w:t xml:space="preserve">Genesis, </w:t>
      </w:r>
      <w:r w:rsidRPr="00AB3B65">
        <w:rPr>
          <w:i/>
          <w:lang w:bidi="he-IL"/>
        </w:rPr>
        <w:t>Anchor Bible</w:t>
      </w:r>
      <w:r>
        <w:rPr>
          <w:iCs/>
          <w:lang w:bidi="he-IL"/>
        </w:rPr>
        <w:t xml:space="preserve">, 299, chapter 38 </w:t>
      </w:r>
      <w:r w:rsidRPr="000B7040">
        <w:rPr>
          <w:iCs/>
          <w:lang w:bidi="he-IL"/>
        </w:rPr>
        <w:t xml:space="preserve">is </w:t>
      </w:r>
      <w:r>
        <w:rPr>
          <w:iCs/>
          <w:lang w:bidi="he-IL"/>
        </w:rPr>
        <w:t>“</w:t>
      </w:r>
      <w:r w:rsidRPr="000B7040">
        <w:rPr>
          <w:iCs/>
          <w:lang w:bidi="he-IL"/>
        </w:rPr>
        <w:t>a</w:t>
      </w:r>
      <w:r>
        <w:rPr>
          <w:iCs/>
          <w:lang w:bidi="he-IL"/>
        </w:rPr>
        <w:t xml:space="preserve"> completely </w:t>
      </w:r>
      <w:r w:rsidRPr="000B7040">
        <w:rPr>
          <w:iCs/>
          <w:lang w:bidi="he-IL"/>
        </w:rPr>
        <w:t>independent unit</w:t>
      </w:r>
      <w:r>
        <w:rPr>
          <w:iCs/>
          <w:lang w:bidi="he-IL"/>
        </w:rPr>
        <w:t>”</w:t>
      </w:r>
      <w:r w:rsidRPr="000B7040">
        <w:rPr>
          <w:iCs/>
          <w:lang w:bidi="he-IL"/>
        </w:rPr>
        <w:t xml:space="preserve"> having </w:t>
      </w:r>
      <w:r>
        <w:rPr>
          <w:iCs/>
          <w:lang w:bidi="he-IL"/>
        </w:rPr>
        <w:t>“</w:t>
      </w:r>
      <w:r w:rsidRPr="000B7040">
        <w:rPr>
          <w:iCs/>
          <w:lang w:bidi="he-IL"/>
        </w:rPr>
        <w:t>no connection with the drama of Joseph, which it interrupts</w:t>
      </w:r>
      <w:r>
        <w:rPr>
          <w:iCs/>
          <w:lang w:bidi="he-IL"/>
        </w:rPr>
        <w:t xml:space="preserve">.” See Alter’s critique of classic critical interpretation in </w:t>
      </w:r>
      <w:r w:rsidRPr="00761950">
        <w:rPr>
          <w:i/>
          <w:lang w:bidi="he-IL"/>
        </w:rPr>
        <w:t>Biblical Narrative</w:t>
      </w:r>
      <w:r>
        <w:rPr>
          <w:iCs/>
          <w:lang w:bidi="he-IL"/>
        </w:rPr>
        <w:t>, 3-4ff.</w:t>
      </w:r>
    </w:p>
  </w:footnote>
  <w:footnote w:id="11">
    <w:p w14:paraId="397E7250" w14:textId="3C351F25" w:rsidR="003D0AE3" w:rsidRDefault="003D0AE3" w:rsidP="003F15CB">
      <w:pPr>
        <w:pStyle w:val="FootnoteText"/>
      </w:pPr>
      <w:r>
        <w:rPr>
          <w:rStyle w:val="FootnoteReference"/>
        </w:rPr>
        <w:footnoteRef/>
      </w:r>
      <w:r>
        <w:t xml:space="preserve"> See above,</w:t>
      </w:r>
      <w:r w:rsidR="006B4426">
        <w:t xml:space="preserve"> Chapter Four,</w:t>
      </w:r>
      <w:r>
        <w:t xml:space="preserve"> Two Sorts of Juxtaposition, example 7.</w:t>
      </w:r>
    </w:p>
  </w:footnote>
  <w:footnote w:id="12">
    <w:p w14:paraId="77AA38DA" w14:textId="43BAC32C" w:rsidR="003D0AE3" w:rsidRDefault="003D0AE3">
      <w:pPr>
        <w:pStyle w:val="FootnoteText"/>
      </w:pPr>
      <w:r>
        <w:rPr>
          <w:rStyle w:val="FootnoteReference"/>
        </w:rPr>
        <w:footnoteRef/>
      </w:r>
      <w:r>
        <w:t xml:space="preserve"> As explained by </w:t>
      </w:r>
      <w:r w:rsidRPr="000B7040">
        <w:rPr>
          <w:rFonts w:cs="David"/>
          <w:color w:val="000000"/>
        </w:rPr>
        <w:t>Rof</w:t>
      </w:r>
      <w:r w:rsidRPr="000B7040">
        <w:rPr>
          <w:color w:val="000000"/>
        </w:rPr>
        <w:t>é</w:t>
      </w:r>
      <w:r>
        <w:t>, see next paragraph.</w:t>
      </w:r>
    </w:p>
  </w:footnote>
  <w:footnote w:id="13">
    <w:p w14:paraId="42F4367D" w14:textId="4B34953B" w:rsidR="003D0AE3" w:rsidRDefault="003D0AE3" w:rsidP="00FC6AFD">
      <w:pPr>
        <w:pStyle w:val="FootnoteText"/>
      </w:pPr>
      <w:r>
        <w:rPr>
          <w:rStyle w:val="FootnoteReference"/>
        </w:rPr>
        <w:footnoteRef/>
      </w:r>
      <w:r w:rsidR="00A24DDC">
        <w:t xml:space="preserve"> The chapter appeared in</w:t>
      </w:r>
      <w:r>
        <w:t xml:space="preserve"> Alexander Rofé, </w:t>
      </w:r>
      <w:r w:rsidRPr="003740B9">
        <w:rPr>
          <w:i/>
          <w:iCs/>
        </w:rPr>
        <w:t xml:space="preserve">Deuteronomy: </w:t>
      </w:r>
      <w:r>
        <w:rPr>
          <w:i/>
          <w:iCs/>
        </w:rPr>
        <w:t>Issues and I</w:t>
      </w:r>
      <w:r w:rsidRPr="003740B9">
        <w:rPr>
          <w:i/>
          <w:iCs/>
        </w:rPr>
        <w:t>nterpretation</w:t>
      </w:r>
      <w:r>
        <w:t xml:space="preserve"> (</w:t>
      </w:r>
      <w:r w:rsidRPr="00CD36C5">
        <w:rPr>
          <w:i/>
          <w:iCs/>
        </w:rPr>
        <w:t>OTS</w:t>
      </w:r>
      <w:r>
        <w:t>) T&amp;T Clark: London, 2002, 55 – 77; =</w:t>
      </w:r>
      <w:r w:rsidRPr="00121A7E">
        <w:rPr>
          <w:i/>
          <w:iCs/>
        </w:rPr>
        <w:t xml:space="preserve">Studies in Bible </w:t>
      </w:r>
      <w:r>
        <w:rPr>
          <w:i/>
          <w:iCs/>
        </w:rPr>
        <w:t>D</w:t>
      </w:r>
      <w:r w:rsidRPr="00121A7E">
        <w:rPr>
          <w:i/>
          <w:iCs/>
        </w:rPr>
        <w:t>edicated to the Memory of U. Cassuto</w:t>
      </w:r>
      <w:r>
        <w:t>, Jerusalem:  1987, 217-235 (Heb.); =</w:t>
      </w:r>
      <w:r w:rsidRPr="00121A7E">
        <w:rPr>
          <w:i/>
          <w:iCs/>
        </w:rPr>
        <w:t>Introduction to Deuteronomy</w:t>
      </w:r>
      <w:r>
        <w:t xml:space="preserve">, </w:t>
      </w:r>
      <w:proofErr w:type="spellStart"/>
      <w:r>
        <w:t>Akademon</w:t>
      </w:r>
      <w:proofErr w:type="spellEnd"/>
      <w:r>
        <w:t>: Jerusalem, 1988, 159-177 (Heb.). The English chapter also appeared in</w:t>
      </w:r>
      <w:r w:rsidRPr="000B7040">
        <w:t xml:space="preserve"> </w:t>
      </w:r>
      <w:r w:rsidRPr="000B7040">
        <w:rPr>
          <w:i/>
          <w:iCs/>
        </w:rPr>
        <w:t>ETL</w:t>
      </w:r>
      <w:r w:rsidRPr="000B7040">
        <w:t xml:space="preserve"> 64</w:t>
      </w:r>
      <w:r>
        <w:t>,4</w:t>
      </w:r>
      <w:r w:rsidRPr="000B7040">
        <w:t xml:space="preserve"> (1988): 265-87</w:t>
      </w:r>
      <w:r>
        <w:t xml:space="preserve">, available online. </w:t>
      </w:r>
    </w:p>
  </w:footnote>
  <w:footnote w:id="14">
    <w:p w14:paraId="2DDB2191" w14:textId="54AA8156" w:rsidR="003D0AE3" w:rsidRDefault="003D0AE3">
      <w:pPr>
        <w:pStyle w:val="FootnoteText"/>
      </w:pPr>
      <w:r>
        <w:rPr>
          <w:rStyle w:val="FootnoteReference"/>
        </w:rPr>
        <w:footnoteRef/>
      </w:r>
      <w:r>
        <w:t xml:space="preserve"> Rofé, Deuteronomy, 56.</w:t>
      </w:r>
    </w:p>
  </w:footnote>
  <w:footnote w:id="15">
    <w:p w14:paraId="4AA38E71" w14:textId="74089B40" w:rsidR="003D0AE3" w:rsidRDefault="003D0AE3" w:rsidP="00FF2D88">
      <w:pPr>
        <w:pStyle w:val="FootnoteText"/>
      </w:pPr>
      <w:r>
        <w:rPr>
          <w:rStyle w:val="FootnoteReference"/>
        </w:rPr>
        <w:footnoteRef/>
      </w:r>
      <w:r>
        <w:t xml:space="preserve"> Ibid.</w:t>
      </w:r>
    </w:p>
  </w:footnote>
  <w:footnote w:id="16">
    <w:p w14:paraId="0E1C9851" w14:textId="064CC4F7" w:rsidR="0070473A" w:rsidRDefault="0070473A">
      <w:pPr>
        <w:pStyle w:val="FootnoteText"/>
      </w:pPr>
      <w:r>
        <w:rPr>
          <w:rStyle w:val="FootnoteReference"/>
        </w:rPr>
        <w:footnoteRef/>
      </w:r>
      <w:r>
        <w:t xml:space="preserve"> </w:t>
      </w:r>
      <w:r w:rsidR="00E405A4">
        <w:t>Ibid.</w:t>
      </w:r>
    </w:p>
  </w:footnote>
  <w:footnote w:id="17">
    <w:p w14:paraId="7F9C6BEC" w14:textId="210F8223" w:rsidR="003D0AE3" w:rsidRDefault="003D0AE3" w:rsidP="001E27B0">
      <w:pPr>
        <w:pStyle w:val="FootnoteText"/>
      </w:pPr>
      <w:r>
        <w:rPr>
          <w:rStyle w:val="FootnoteReference"/>
        </w:rPr>
        <w:footnoteRef/>
      </w:r>
      <w:r>
        <w:t xml:space="preserve"> In fact, this phrase does not appear in classic rabbinic literature (Midrash and Talmud), which uses the word </w:t>
      </w:r>
      <w:proofErr w:type="spellStart"/>
      <w:r w:rsidRPr="00CD0C6E">
        <w:rPr>
          <w:i/>
          <w:iCs/>
        </w:rPr>
        <w:t>nismekha</w:t>
      </w:r>
      <w:proofErr w:type="spellEnd"/>
      <w:r>
        <w:t xml:space="preserve">, “placed next to,” to talk about juxtaposition. Rofé, </w:t>
      </w:r>
      <w:r w:rsidRPr="00C5065B">
        <w:rPr>
          <w:i/>
          <w:iCs/>
        </w:rPr>
        <w:t>Deuteronomy</w:t>
      </w:r>
      <w:r>
        <w:t xml:space="preserve">, p. 57, n.10, points out that Rashi used the expression </w:t>
      </w:r>
      <w:r w:rsidRPr="00982FCA">
        <w:rPr>
          <w:i/>
          <w:iCs/>
        </w:rPr>
        <w:t xml:space="preserve">semikhut </w:t>
      </w:r>
      <w:proofErr w:type="spellStart"/>
      <w:r w:rsidRPr="00982FCA">
        <w:rPr>
          <w:i/>
          <w:iCs/>
        </w:rPr>
        <w:t>haparshiot</w:t>
      </w:r>
      <w:proofErr w:type="spellEnd"/>
      <w:r w:rsidRPr="00982FCA">
        <w:rPr>
          <w:i/>
          <w:iCs/>
        </w:rPr>
        <w:t xml:space="preserve"> </w:t>
      </w:r>
      <w:r>
        <w:t xml:space="preserve">in his Torah commentary at Deut.21:22. However, I found that he used it only once. </w:t>
      </w:r>
      <w:proofErr w:type="gramStart"/>
      <w:r>
        <w:t>On the whole</w:t>
      </w:r>
      <w:proofErr w:type="gramEnd"/>
      <w:r>
        <w:t xml:space="preserve"> it is a late phrase, found mainly from the 14</w:t>
      </w:r>
      <w:r w:rsidRPr="00982FCA">
        <w:rPr>
          <w:vertAlign w:val="superscript"/>
        </w:rPr>
        <w:t>th</w:t>
      </w:r>
      <w:r>
        <w:t xml:space="preserve"> century onward. Cassuto himself preferred to call juxtaposition by association </w:t>
      </w:r>
      <w:r>
        <w:rPr>
          <w:rFonts w:cs="David"/>
          <w:color w:val="000000"/>
        </w:rPr>
        <w:t>“</w:t>
      </w:r>
      <w:proofErr w:type="spellStart"/>
      <w:r w:rsidRPr="00F6071E">
        <w:rPr>
          <w:rFonts w:cs="David"/>
          <w:i/>
          <w:iCs/>
          <w:color w:val="000000"/>
        </w:rPr>
        <w:t>associatzia</w:t>
      </w:r>
      <w:proofErr w:type="spellEnd"/>
      <w:r>
        <w:rPr>
          <w:rFonts w:cs="David"/>
          <w:i/>
          <w:iCs/>
          <w:color w:val="000000"/>
        </w:rPr>
        <w:t>;</w:t>
      </w:r>
      <w:r>
        <w:rPr>
          <w:rFonts w:cs="David"/>
          <w:color w:val="000000"/>
        </w:rPr>
        <w:t xml:space="preserve">” in his commentary on Exodus he used the phrase </w:t>
      </w:r>
      <w:r w:rsidRPr="00081E96">
        <w:rPr>
          <w:rFonts w:cs="David"/>
          <w:i/>
          <w:iCs/>
          <w:color w:val="000000"/>
        </w:rPr>
        <w:t>semikhut ha-</w:t>
      </w:r>
      <w:proofErr w:type="spellStart"/>
      <w:r w:rsidRPr="00081E96">
        <w:rPr>
          <w:rFonts w:cs="David"/>
          <w:i/>
          <w:iCs/>
          <w:color w:val="000000"/>
        </w:rPr>
        <w:t>ketuvim</w:t>
      </w:r>
      <w:proofErr w:type="spellEnd"/>
      <w:r>
        <w:rPr>
          <w:rFonts w:cs="David"/>
          <w:color w:val="000000"/>
        </w:rPr>
        <w:t xml:space="preserve"> for the </w:t>
      </w:r>
      <w:r w:rsidRPr="00CD0C6E">
        <w:rPr>
          <w:rFonts w:cs="David"/>
          <w:color w:val="000000"/>
        </w:rPr>
        <w:t xml:space="preserve">internal arrangement of verses, </w:t>
      </w:r>
      <w:r>
        <w:rPr>
          <w:rFonts w:cs="David"/>
          <w:color w:val="000000"/>
        </w:rPr>
        <w:t xml:space="preserve">see </w:t>
      </w:r>
      <w:proofErr w:type="spellStart"/>
      <w:r>
        <w:rPr>
          <w:rFonts w:cs="David"/>
          <w:color w:val="000000"/>
        </w:rPr>
        <w:t>Rofe</w:t>
      </w:r>
      <w:proofErr w:type="spellEnd"/>
      <w:r>
        <w:rPr>
          <w:rFonts w:cs="David"/>
          <w:color w:val="000000"/>
        </w:rPr>
        <w:t xml:space="preserve">, </w:t>
      </w:r>
      <w:r w:rsidRPr="009C2B11">
        <w:rPr>
          <w:rFonts w:cs="David"/>
          <w:i/>
          <w:iCs/>
          <w:color w:val="000000"/>
        </w:rPr>
        <w:t>Introduction</w:t>
      </w:r>
      <w:r>
        <w:rPr>
          <w:rFonts w:cs="David"/>
          <w:color w:val="000000"/>
        </w:rPr>
        <w:t>, p.159, n.1.</w:t>
      </w:r>
      <w:r w:rsidRPr="00CD0C6E">
        <w:rPr>
          <w:rFonts w:cs="David"/>
          <w:color w:val="000000"/>
        </w:rPr>
        <w:t xml:space="preserve"> </w:t>
      </w:r>
      <w:r>
        <w:t xml:space="preserve"> </w:t>
      </w:r>
    </w:p>
  </w:footnote>
  <w:footnote w:id="18">
    <w:p w14:paraId="34E54E9B" w14:textId="5A09CCF9" w:rsidR="003D0AE3" w:rsidRDefault="003D0AE3">
      <w:pPr>
        <w:pStyle w:val="FootnoteText"/>
      </w:pPr>
      <w:r>
        <w:rPr>
          <w:rStyle w:val="FootnoteReference"/>
        </w:rPr>
        <w:footnoteRef/>
      </w:r>
      <w:r>
        <w:t xml:space="preserve"> </w:t>
      </w:r>
      <w:proofErr w:type="spellStart"/>
      <w:r>
        <w:t>Rofe</w:t>
      </w:r>
      <w:proofErr w:type="spellEnd"/>
      <w:r>
        <w:t xml:space="preserve">, Introduction, 159, offers another explanation: Geuel ben Makhi had no associative connection with the preceding name, but was remembered as the name that closed the list. </w:t>
      </w:r>
    </w:p>
  </w:footnote>
  <w:footnote w:id="19">
    <w:p w14:paraId="2EE54C00" w14:textId="3023AB97" w:rsidR="003D0AE3" w:rsidRDefault="003D0AE3" w:rsidP="00B547E4">
      <w:pPr>
        <w:pStyle w:val="FootnoteText"/>
      </w:pPr>
      <w:r>
        <w:rPr>
          <w:rStyle w:val="FootnoteReference"/>
        </w:rPr>
        <w:footnoteRef/>
      </w:r>
      <w:r>
        <w:t xml:space="preserve"> The cantillation signs used until this day for Torah reading serve the same function, enabling the reader to accurately recall lengthy texts and their pronunciation without </w:t>
      </w:r>
      <w:proofErr w:type="gramStart"/>
      <w:r>
        <w:t>actually having</w:t>
      </w:r>
      <w:proofErr w:type="gramEnd"/>
      <w:r>
        <w:t xml:space="preserve"> committed them to memory. This works through an association of the words with the melody. Apparently, it is easier to memorize the cantillation signs and their respective sounds (the signs are not present in the Torah scroll and must be learned beforehand) than it is to memorize the text. Likewise, it must have been easier in the biblical period to remember topical, semantic, and phonetic associations than to memorize the entire text itself. </w:t>
      </w:r>
    </w:p>
  </w:footnote>
  <w:footnote w:id="20">
    <w:p w14:paraId="2227B956" w14:textId="77777777" w:rsidR="003D0AE3" w:rsidRPr="00D27E01" w:rsidRDefault="003D0AE3" w:rsidP="002606B3">
      <w:pPr>
        <w:pStyle w:val="FootnoteText"/>
      </w:pPr>
      <w:r w:rsidRPr="00D27E01">
        <w:rPr>
          <w:rStyle w:val="FootnoteReference"/>
        </w:rPr>
        <w:footnoteRef/>
      </w:r>
      <w:r w:rsidRPr="00D27E01">
        <w:t xml:space="preserve"> Robert Alter, </w:t>
      </w:r>
      <w:r w:rsidRPr="00D27E01">
        <w:rPr>
          <w:i/>
          <w:iCs/>
        </w:rPr>
        <w:t>The Art of Biblical Narrative</w:t>
      </w:r>
      <w:r w:rsidRPr="00D27E01">
        <w:t>, Basic Books, New York: 1981, 4.</w:t>
      </w:r>
    </w:p>
  </w:footnote>
  <w:footnote w:id="21">
    <w:p w14:paraId="68FDE50B" w14:textId="77777777" w:rsidR="003D0AE3" w:rsidRPr="00D27E01" w:rsidRDefault="003D0AE3">
      <w:pPr>
        <w:pStyle w:val="FootnoteText"/>
      </w:pPr>
      <w:r w:rsidRPr="00D27E01">
        <w:rPr>
          <w:rStyle w:val="FootnoteReference"/>
        </w:rPr>
        <w:footnoteRef/>
      </w:r>
      <w:r w:rsidRPr="00D27E01">
        <w:t xml:space="preserve"> Ibid., 10-11.</w:t>
      </w:r>
    </w:p>
  </w:footnote>
  <w:footnote w:id="22">
    <w:p w14:paraId="6F48B7CD" w14:textId="47C3CB11" w:rsidR="003D0AE3" w:rsidRDefault="003D0AE3">
      <w:pPr>
        <w:pStyle w:val="FootnoteText"/>
      </w:pPr>
      <w:r>
        <w:rPr>
          <w:rStyle w:val="FootnoteReference"/>
        </w:rPr>
        <w:footnoteRef/>
      </w:r>
      <w:r>
        <w:t xml:space="preserve"> Ibid., 11.</w:t>
      </w:r>
    </w:p>
  </w:footnote>
  <w:footnote w:id="23">
    <w:p w14:paraId="53C02763" w14:textId="77777777" w:rsidR="003D0AE3" w:rsidRPr="00D27E01" w:rsidRDefault="003D0AE3">
      <w:pPr>
        <w:pStyle w:val="FootnoteText"/>
      </w:pPr>
      <w:r w:rsidRPr="00D27E01">
        <w:rPr>
          <w:rStyle w:val="FootnoteReference"/>
        </w:rPr>
        <w:footnoteRef/>
      </w:r>
      <w:r w:rsidRPr="00D27E01">
        <w:t xml:space="preserve"> Ibid., 94.</w:t>
      </w:r>
    </w:p>
  </w:footnote>
  <w:footnote w:id="24">
    <w:p w14:paraId="0DB3DACF" w14:textId="77777777" w:rsidR="003D0AE3" w:rsidRPr="00D27E01" w:rsidRDefault="003D0AE3">
      <w:pPr>
        <w:pStyle w:val="FootnoteText"/>
      </w:pPr>
      <w:r w:rsidRPr="00D27E01">
        <w:rPr>
          <w:rStyle w:val="FootnoteReference"/>
        </w:rPr>
        <w:footnoteRef/>
      </w:r>
      <w:r w:rsidRPr="00D27E01">
        <w:t xml:space="preserve"> Michael </w:t>
      </w:r>
      <w:proofErr w:type="spellStart"/>
      <w:r w:rsidRPr="00D27E01">
        <w:t>Fishbane</w:t>
      </w:r>
      <w:proofErr w:type="spellEnd"/>
      <w:r w:rsidRPr="00D27E01">
        <w:t xml:space="preserve">, </w:t>
      </w:r>
      <w:r w:rsidRPr="00D27E01">
        <w:rPr>
          <w:i/>
          <w:iCs/>
        </w:rPr>
        <w:t>Text and Texture</w:t>
      </w:r>
      <w:r w:rsidRPr="00D27E01">
        <w:t>, New York: 1979, 40-62.</w:t>
      </w:r>
    </w:p>
  </w:footnote>
  <w:footnote w:id="25">
    <w:p w14:paraId="4F3B38BF" w14:textId="77777777" w:rsidR="003D0AE3" w:rsidRPr="00D27E01" w:rsidRDefault="003D0AE3" w:rsidP="003B3DC8">
      <w:pPr>
        <w:pStyle w:val="FootnoteText"/>
      </w:pPr>
      <w:r w:rsidRPr="00D27E01">
        <w:rPr>
          <w:rStyle w:val="FootnoteReference"/>
        </w:rPr>
        <w:footnoteRef/>
      </w:r>
      <w:r>
        <w:t xml:space="preserve"> Yair Zakovitch,</w:t>
      </w:r>
      <w:r w:rsidRPr="00A30064">
        <w:t xml:space="preserve"> </w:t>
      </w:r>
      <w:r>
        <w:t>“Juxtaposition in Narrative as a Tool for Interpretation,”</w:t>
      </w:r>
      <w:r w:rsidRPr="00D27E01">
        <w:t xml:space="preserve"> </w:t>
      </w:r>
      <w:r w:rsidRPr="00D27E01">
        <w:rPr>
          <w:i/>
          <w:iCs/>
        </w:rPr>
        <w:t>An Introduction to Inner-Biblical Interpretation</w:t>
      </w:r>
      <w:r w:rsidRPr="00D27E01">
        <w:t xml:space="preserve">, </w:t>
      </w:r>
      <w:proofErr w:type="spellStart"/>
      <w:r w:rsidRPr="00D27E01">
        <w:t>Reches</w:t>
      </w:r>
      <w:proofErr w:type="spellEnd"/>
      <w:r w:rsidRPr="00D27E01">
        <w:t xml:space="preserve"> Publishing House, Even- Yehuda: 1992</w:t>
      </w:r>
      <w:r>
        <w:t>,</w:t>
      </w:r>
      <w:r w:rsidRPr="00D27E01">
        <w:t xml:space="preserve"> 35-41</w:t>
      </w:r>
      <w:r>
        <w:t xml:space="preserve"> (Heb.)</w:t>
      </w:r>
      <w:r w:rsidRPr="00D27E01">
        <w:t>.</w:t>
      </w:r>
    </w:p>
  </w:footnote>
  <w:footnote w:id="26">
    <w:p w14:paraId="01822CBA" w14:textId="77777777" w:rsidR="003D0AE3" w:rsidRPr="00D27E01" w:rsidRDefault="003D0AE3" w:rsidP="00AC361D">
      <w:pPr>
        <w:spacing w:line="240" w:lineRule="auto"/>
        <w:rPr>
          <w:sz w:val="20"/>
          <w:szCs w:val="20"/>
        </w:rPr>
      </w:pPr>
      <w:r w:rsidRPr="00D27E01">
        <w:rPr>
          <w:rStyle w:val="FootnoteReference"/>
          <w:sz w:val="20"/>
          <w:szCs w:val="20"/>
        </w:rPr>
        <w:footnoteRef/>
      </w:r>
      <w:r w:rsidRPr="00D27E01">
        <w:rPr>
          <w:sz w:val="20"/>
          <w:szCs w:val="20"/>
        </w:rPr>
        <w:t xml:space="preserve"> Yair Zakovitch, ‘Juxtaposition in the Abraham Cycle’, </w:t>
      </w:r>
      <w:r w:rsidRPr="00D27E01">
        <w:rPr>
          <w:i/>
          <w:iCs/>
          <w:sz w:val="20"/>
          <w:szCs w:val="20"/>
        </w:rPr>
        <w:t>Pomegranates and Golden Bells: Studies in Biblical, Jewish, and Near Eastern Ritual, Law, and Literature in Honor of Jacob Milgrom</w:t>
      </w:r>
      <w:r w:rsidRPr="00D27E01">
        <w:rPr>
          <w:sz w:val="20"/>
          <w:szCs w:val="20"/>
        </w:rPr>
        <w:t xml:space="preserve">, D.P. Wright, D.N. Freedman, </w:t>
      </w:r>
      <w:proofErr w:type="spellStart"/>
      <w:r w:rsidRPr="00D27E01">
        <w:rPr>
          <w:sz w:val="20"/>
          <w:szCs w:val="20"/>
        </w:rPr>
        <w:t>Avi</w:t>
      </w:r>
      <w:proofErr w:type="spellEnd"/>
      <w:r w:rsidRPr="00D27E01">
        <w:rPr>
          <w:sz w:val="20"/>
          <w:szCs w:val="20"/>
        </w:rPr>
        <w:t xml:space="preserve"> </w:t>
      </w:r>
      <w:proofErr w:type="spellStart"/>
      <w:r w:rsidRPr="00D27E01">
        <w:rPr>
          <w:sz w:val="20"/>
          <w:szCs w:val="20"/>
        </w:rPr>
        <w:t>Hurvitz</w:t>
      </w:r>
      <w:proofErr w:type="spellEnd"/>
      <w:r w:rsidRPr="00D27E01">
        <w:rPr>
          <w:sz w:val="20"/>
          <w:szCs w:val="20"/>
        </w:rPr>
        <w:t xml:space="preserve"> (eds.) Indiana: </w:t>
      </w:r>
      <w:proofErr w:type="spellStart"/>
      <w:r w:rsidRPr="00D27E01">
        <w:rPr>
          <w:sz w:val="20"/>
          <w:szCs w:val="20"/>
        </w:rPr>
        <w:t>Eisenbrauns</w:t>
      </w:r>
      <w:proofErr w:type="spellEnd"/>
      <w:r w:rsidRPr="00D27E01">
        <w:rPr>
          <w:sz w:val="20"/>
          <w:szCs w:val="20"/>
        </w:rPr>
        <w:t>, 1995, 509–524</w:t>
      </w:r>
      <w:r>
        <w:rPr>
          <w:sz w:val="20"/>
          <w:szCs w:val="20"/>
        </w:rPr>
        <w:t>.</w:t>
      </w:r>
    </w:p>
  </w:footnote>
  <w:footnote w:id="27">
    <w:p w14:paraId="1D6B71A0" w14:textId="034A1E27" w:rsidR="003D0AE3" w:rsidRDefault="003D0AE3" w:rsidP="00D93E06">
      <w:pPr>
        <w:pStyle w:val="FootnoteText"/>
      </w:pPr>
      <w:r>
        <w:rPr>
          <w:rStyle w:val="FootnoteReference"/>
        </w:rPr>
        <w:footnoteRef/>
      </w:r>
      <w:r>
        <w:t xml:space="preserve"> Yair Zakovitch, </w:t>
      </w:r>
      <w:r>
        <w:rPr>
          <w:rFonts w:hint="cs"/>
        </w:rPr>
        <w:t>T</w:t>
      </w:r>
      <w:r>
        <w:rPr>
          <w:lang w:bidi="he-IL"/>
        </w:rPr>
        <w:t xml:space="preserve">he Song of Songs: </w:t>
      </w:r>
      <w:r w:rsidRPr="000A2AB5">
        <w:rPr>
          <w:i/>
          <w:iCs/>
          <w:lang w:bidi="he-IL"/>
        </w:rPr>
        <w:t>Introduction and Commentary</w:t>
      </w:r>
      <w:r>
        <w:rPr>
          <w:lang w:bidi="he-IL"/>
        </w:rPr>
        <w:t xml:space="preserve">, </w:t>
      </w:r>
      <w:proofErr w:type="spellStart"/>
      <w:r>
        <w:rPr>
          <w:lang w:bidi="he-IL"/>
        </w:rPr>
        <w:t>Mikra</w:t>
      </w:r>
      <w:proofErr w:type="spellEnd"/>
      <w:r>
        <w:rPr>
          <w:lang w:bidi="he-IL"/>
        </w:rPr>
        <w:t xml:space="preserve"> </w:t>
      </w:r>
      <w:proofErr w:type="spellStart"/>
      <w:r>
        <w:rPr>
          <w:lang w:bidi="he-IL"/>
        </w:rPr>
        <w:t>Leyisrael</w:t>
      </w:r>
      <w:proofErr w:type="spellEnd"/>
      <w:r>
        <w:rPr>
          <w:lang w:bidi="he-IL"/>
        </w:rPr>
        <w:t xml:space="preserve">, Am Oved-Magnes Press: 1992, 20 (Heb.); idem, </w:t>
      </w:r>
      <w:r w:rsidRPr="000A2AB5">
        <w:rPr>
          <w:i/>
          <w:iCs/>
        </w:rPr>
        <w:t xml:space="preserve">The Song of Songs: </w:t>
      </w:r>
      <w:r>
        <w:rPr>
          <w:i/>
          <w:iCs/>
        </w:rPr>
        <w:t>R</w:t>
      </w:r>
      <w:r w:rsidRPr="000A2AB5">
        <w:rPr>
          <w:i/>
          <w:iCs/>
        </w:rPr>
        <w:t xml:space="preserve">iddle of </w:t>
      </w:r>
      <w:r>
        <w:rPr>
          <w:i/>
          <w:iCs/>
        </w:rPr>
        <w:t>R</w:t>
      </w:r>
      <w:r w:rsidRPr="000A2AB5">
        <w:rPr>
          <w:i/>
          <w:iCs/>
        </w:rPr>
        <w:t>iddles,</w:t>
      </w:r>
      <w:r>
        <w:t xml:space="preserve"> trans. and ed. Valerie </w:t>
      </w:r>
      <w:proofErr w:type="spellStart"/>
      <w:r>
        <w:t>Carr</w:t>
      </w:r>
      <w:proofErr w:type="spellEnd"/>
      <w:r>
        <w:t xml:space="preserve"> Zakovitch, T&amp;T Clark: Great Britain, 2019 is not a translation of the original Hebrew volume, but rather eight essays on major subjects in the Song.</w:t>
      </w:r>
    </w:p>
  </w:footnote>
  <w:footnote w:id="28">
    <w:p w14:paraId="3DF2D2E1" w14:textId="102D8D2D" w:rsidR="003D0AE3" w:rsidRDefault="003D0AE3" w:rsidP="00D93E06">
      <w:r>
        <w:rPr>
          <w:rStyle w:val="FootnoteReference"/>
        </w:rPr>
        <w:footnoteRef/>
      </w:r>
      <w:r>
        <w:t xml:space="preserve"> </w:t>
      </w:r>
      <w:r w:rsidRPr="00D93E06">
        <w:rPr>
          <w:iCs/>
          <w:sz w:val="20"/>
          <w:szCs w:val="20"/>
          <w:lang w:bidi="he-IL"/>
        </w:rPr>
        <w:t xml:space="preserve">U. Cassuto, </w:t>
      </w:r>
      <w:r w:rsidRPr="00D93E06">
        <w:rPr>
          <w:i/>
          <w:sz w:val="20"/>
          <w:szCs w:val="20"/>
          <w:lang w:bidi="he-IL"/>
        </w:rPr>
        <w:t>Biblical and Oriental Studies</w:t>
      </w:r>
      <w:r w:rsidRPr="00D93E06">
        <w:rPr>
          <w:iCs/>
          <w:sz w:val="20"/>
          <w:szCs w:val="20"/>
          <w:lang w:bidi="he-IL"/>
        </w:rPr>
        <w:t>, trans. Israel Abrahams, vol. I: Bible, Jerusalem: Magnes, 1973</w:t>
      </w:r>
      <w:r>
        <w:rPr>
          <w:iCs/>
          <w:sz w:val="20"/>
          <w:szCs w:val="20"/>
          <w:lang w:bidi="he-IL"/>
        </w:rPr>
        <w:t xml:space="preserve">, </w:t>
      </w:r>
      <w:r w:rsidR="008A5F47">
        <w:rPr>
          <w:iCs/>
          <w:sz w:val="20"/>
          <w:szCs w:val="20"/>
          <w:lang w:bidi="he-IL"/>
        </w:rPr>
        <w:t>203-206</w:t>
      </w:r>
      <w:r w:rsidRPr="00D93E06">
        <w:rPr>
          <w:iCs/>
          <w:sz w:val="20"/>
          <w:szCs w:val="20"/>
          <w:lang w:bidi="he-IL"/>
        </w:rPr>
        <w:t>.</w:t>
      </w:r>
      <w:r w:rsidR="00C673EC">
        <w:rPr>
          <w:iCs/>
          <w:sz w:val="20"/>
          <w:szCs w:val="20"/>
          <w:lang w:bidi="he-IL"/>
        </w:rPr>
        <w:t xml:space="preserve"> </w:t>
      </w:r>
      <w:r w:rsidR="008A5F47">
        <w:rPr>
          <w:iCs/>
          <w:sz w:val="20"/>
          <w:szCs w:val="20"/>
          <w:lang w:bidi="he-IL"/>
        </w:rPr>
        <w:t xml:space="preserve">For some reason, Zakovitch </w:t>
      </w:r>
      <w:r w:rsidR="00C673EC">
        <w:rPr>
          <w:iCs/>
          <w:sz w:val="20"/>
          <w:szCs w:val="20"/>
          <w:lang w:bidi="he-IL"/>
        </w:rPr>
        <w:t>treats</w:t>
      </w:r>
      <w:r w:rsidR="008A5F47">
        <w:rPr>
          <w:iCs/>
          <w:sz w:val="20"/>
          <w:szCs w:val="20"/>
          <w:lang w:bidi="he-IL"/>
        </w:rPr>
        <w:t xml:space="preserve"> only the first two p</w:t>
      </w:r>
      <w:r w:rsidR="00C673EC">
        <w:rPr>
          <w:iCs/>
          <w:sz w:val="20"/>
          <w:szCs w:val="20"/>
          <w:lang w:bidi="he-IL"/>
        </w:rPr>
        <w:t>o</w:t>
      </w:r>
      <w:r w:rsidR="008A5F47">
        <w:rPr>
          <w:iCs/>
          <w:sz w:val="20"/>
          <w:szCs w:val="20"/>
          <w:lang w:bidi="he-IL"/>
        </w:rPr>
        <w:t xml:space="preserve">ems in chapter 4, </w:t>
      </w:r>
      <w:r w:rsidR="00C673EC">
        <w:rPr>
          <w:iCs/>
          <w:sz w:val="20"/>
          <w:szCs w:val="20"/>
          <w:lang w:bidi="he-IL"/>
        </w:rPr>
        <w:t>while</w:t>
      </w:r>
      <w:r w:rsidR="008A5F47">
        <w:rPr>
          <w:iCs/>
          <w:sz w:val="20"/>
          <w:szCs w:val="20"/>
          <w:lang w:bidi="he-IL"/>
        </w:rPr>
        <w:t xml:space="preserve"> C</w:t>
      </w:r>
      <w:r w:rsidR="00C673EC">
        <w:rPr>
          <w:iCs/>
          <w:sz w:val="20"/>
          <w:szCs w:val="20"/>
          <w:lang w:bidi="he-IL"/>
        </w:rPr>
        <w:t>a</w:t>
      </w:r>
      <w:r w:rsidR="008A5F47">
        <w:rPr>
          <w:iCs/>
          <w:sz w:val="20"/>
          <w:szCs w:val="20"/>
          <w:lang w:bidi="he-IL"/>
        </w:rPr>
        <w:t xml:space="preserve">ssuto extends the </w:t>
      </w:r>
      <w:r w:rsidR="00C673EC">
        <w:rPr>
          <w:iCs/>
          <w:sz w:val="20"/>
          <w:szCs w:val="20"/>
          <w:lang w:bidi="he-IL"/>
        </w:rPr>
        <w:t xml:space="preserve">associational links </w:t>
      </w:r>
      <w:r w:rsidR="008A5F47">
        <w:rPr>
          <w:iCs/>
          <w:sz w:val="20"/>
          <w:szCs w:val="20"/>
          <w:lang w:bidi="he-IL"/>
        </w:rPr>
        <w:t>to the third poem</w:t>
      </w:r>
      <w:r w:rsidR="00C673EC">
        <w:rPr>
          <w:iCs/>
          <w:sz w:val="20"/>
          <w:szCs w:val="20"/>
          <w:lang w:bidi="he-IL"/>
        </w:rPr>
        <w:t xml:space="preserve"> as well</w:t>
      </w:r>
      <w:r w:rsidR="008A5F47">
        <w:rPr>
          <w:iCs/>
          <w:sz w:val="20"/>
          <w:szCs w:val="20"/>
          <w:lang w:bidi="he-IL"/>
        </w:rPr>
        <w:t xml:space="preserve">, 4:12 </w:t>
      </w:r>
      <w:r w:rsidR="00C673EC">
        <w:rPr>
          <w:iCs/>
          <w:sz w:val="20"/>
          <w:szCs w:val="20"/>
          <w:lang w:bidi="he-IL"/>
        </w:rPr>
        <w:t>-</w:t>
      </w:r>
      <w:r w:rsidR="008A5F47">
        <w:rPr>
          <w:iCs/>
          <w:sz w:val="20"/>
          <w:szCs w:val="20"/>
          <w:lang w:bidi="he-IL"/>
        </w:rPr>
        <w:t xml:space="preserve"> 5:3</w:t>
      </w:r>
      <w:r w:rsidR="008C47E8">
        <w:rPr>
          <w:iCs/>
          <w:sz w:val="20"/>
          <w:szCs w:val="20"/>
          <w:lang w:bidi="he-IL"/>
        </w:rPr>
        <w:t xml:space="preserve">, which contains the word </w:t>
      </w:r>
      <w:proofErr w:type="spellStart"/>
      <w:r w:rsidR="008C47E8" w:rsidRPr="008C47E8">
        <w:rPr>
          <w:i/>
          <w:sz w:val="20"/>
          <w:szCs w:val="20"/>
          <w:lang w:bidi="he-IL"/>
        </w:rPr>
        <w:t>levanon</w:t>
      </w:r>
      <w:proofErr w:type="spellEnd"/>
      <w:r w:rsidR="008C47E8">
        <w:rPr>
          <w:iCs/>
          <w:sz w:val="20"/>
          <w:szCs w:val="20"/>
          <w:lang w:bidi="he-IL"/>
        </w:rPr>
        <w:t>.</w:t>
      </w:r>
    </w:p>
  </w:footnote>
  <w:footnote w:id="29">
    <w:p w14:paraId="2790CDB8" w14:textId="378A667A" w:rsidR="003D0AE3" w:rsidRDefault="003D0AE3">
      <w:pPr>
        <w:pStyle w:val="FootnoteText"/>
      </w:pPr>
      <w:r>
        <w:rPr>
          <w:rStyle w:val="FootnoteReference"/>
        </w:rPr>
        <w:footnoteRef/>
      </w:r>
      <w:r>
        <w:t xml:space="preserve"> Zakovitch, Song, 89 (Heb.). However, </w:t>
      </w:r>
      <w:r w:rsidR="00192C0F">
        <w:t xml:space="preserve">despite </w:t>
      </w:r>
      <w:r>
        <w:t xml:space="preserve">Cassuto and Zakovitch, perhaps the language associations </w:t>
      </w:r>
      <w:r w:rsidR="00192C0F">
        <w:t xml:space="preserve">between </w:t>
      </w:r>
      <w:r w:rsidR="005A2955">
        <w:t xml:space="preserve">all three </w:t>
      </w:r>
      <w:r w:rsidR="00192C0F">
        <w:t xml:space="preserve">poems </w:t>
      </w:r>
      <w:r>
        <w:t>are evidence for reading</w:t>
      </w:r>
      <w:r w:rsidR="00D10123">
        <w:t xml:space="preserve"> all of</w:t>
      </w:r>
      <w:r>
        <w:t xml:space="preserve"> </w:t>
      </w:r>
      <w:r w:rsidR="008C47E8">
        <w:t>c</w:t>
      </w:r>
      <w:r>
        <w:t xml:space="preserve">hapter </w:t>
      </w:r>
      <w:r w:rsidR="008C47E8">
        <w:t>4</w:t>
      </w:r>
      <w:r>
        <w:t xml:space="preserve"> as an original single composition</w:t>
      </w:r>
      <w:r w:rsidR="00D10123">
        <w:t xml:space="preserve"> containing multiple wordplays</w:t>
      </w:r>
      <w:r w:rsidR="00192C0F">
        <w:t xml:space="preserve"> on the </w:t>
      </w:r>
      <w:r w:rsidR="003B2411">
        <w:t xml:space="preserve">letters </w:t>
      </w:r>
      <w:r w:rsidR="003B2411" w:rsidRPr="003B2411">
        <w:rPr>
          <w:i/>
          <w:iCs/>
        </w:rPr>
        <w:t>LBN</w:t>
      </w:r>
      <w:r>
        <w:t xml:space="preserve">. </w:t>
      </w:r>
    </w:p>
  </w:footnote>
  <w:footnote w:id="30">
    <w:p w14:paraId="7930C65C" w14:textId="2213EB87" w:rsidR="003D0AE3" w:rsidRPr="00D27E01" w:rsidRDefault="003D0AE3" w:rsidP="001527FB">
      <w:pPr>
        <w:pStyle w:val="FootnoteText"/>
      </w:pPr>
      <w:r w:rsidRPr="00D27E01">
        <w:rPr>
          <w:rStyle w:val="FootnoteReference"/>
        </w:rPr>
        <w:footnoteRef/>
      </w:r>
      <w:r w:rsidRPr="00D27E01">
        <w:t xml:space="preserve"> So, for example, “Midianite women” in Num25:1 w</w:t>
      </w:r>
      <w:r>
        <w:t>as</w:t>
      </w:r>
      <w:r w:rsidRPr="00D27E01">
        <w:t xml:space="preserve"> changed to “Moabite women” to bring this story about </w:t>
      </w:r>
      <w:r>
        <w:t>seducing</w:t>
      </w:r>
      <w:r w:rsidRPr="00D27E01">
        <w:t xml:space="preserve"> Israel to </w:t>
      </w:r>
      <w:r>
        <w:t>idolat</w:t>
      </w:r>
      <w:r w:rsidRPr="00D27E01">
        <w:t>r</w:t>
      </w:r>
      <w:r>
        <w:t>y in closer</w:t>
      </w:r>
      <w:r w:rsidRPr="00D27E01">
        <w:t xml:space="preserve"> relation with the previous story of Balaam and the king of Moab (</w:t>
      </w:r>
      <w:r w:rsidRPr="00D27E01">
        <w:rPr>
          <w:i/>
          <w:iCs/>
        </w:rPr>
        <w:t>Introduction</w:t>
      </w:r>
      <w:r w:rsidRPr="00D27E01">
        <w:t>, p. 36). The message</w:t>
      </w:r>
      <w:r>
        <w:t xml:space="preserve"> conveyed </w:t>
      </w:r>
      <w:r w:rsidRPr="00D27E01">
        <w:t>is that Balaam was responsible for the ensnarement story</w:t>
      </w:r>
      <w:r>
        <w:t xml:space="preserve"> as well</w:t>
      </w:r>
      <w:r w:rsidRPr="00D27E01">
        <w:t>, as can be learned from Num31:8, 16.</w:t>
      </w:r>
    </w:p>
  </w:footnote>
  <w:footnote w:id="31">
    <w:p w14:paraId="5F36B24D" w14:textId="48282590" w:rsidR="003D0AE3" w:rsidRDefault="003D0AE3">
      <w:pPr>
        <w:pStyle w:val="FootnoteText"/>
        <w:rPr>
          <w:lang w:bidi="he-IL"/>
        </w:rPr>
      </w:pPr>
      <w:r>
        <w:rPr>
          <w:rStyle w:val="FootnoteReference"/>
        </w:rPr>
        <w:footnoteRef/>
      </w:r>
      <w:r>
        <w:t xml:space="preserve"> </w:t>
      </w:r>
      <w:r w:rsidRPr="00D27E01">
        <w:rPr>
          <w:i/>
          <w:iCs/>
        </w:rPr>
        <w:t>I</w:t>
      </w:r>
      <w:r>
        <w:rPr>
          <w:i/>
          <w:iCs/>
        </w:rPr>
        <w:t>nner-Biblical Interpretation,</w:t>
      </w:r>
      <w:r w:rsidRPr="00D27E01">
        <w:t xml:space="preserve"> p.41</w:t>
      </w:r>
      <w:r>
        <w:rPr>
          <w:rFonts w:hint="cs"/>
          <w:rtl/>
          <w:lang w:bidi="he-IL"/>
        </w:rPr>
        <w:t>.</w:t>
      </w:r>
    </w:p>
  </w:footnote>
  <w:footnote w:id="32">
    <w:p w14:paraId="60699354" w14:textId="77777777" w:rsidR="003D0AE3" w:rsidRPr="00D27E01" w:rsidRDefault="003D0AE3" w:rsidP="003C4EA4">
      <w:pPr>
        <w:tabs>
          <w:tab w:val="left" w:pos="2781"/>
        </w:tabs>
        <w:spacing w:after="120"/>
        <w:rPr>
          <w:rFonts w:cs="Arial"/>
          <w:sz w:val="20"/>
          <w:szCs w:val="20"/>
        </w:rPr>
      </w:pPr>
      <w:r w:rsidRPr="00D27E01">
        <w:rPr>
          <w:rStyle w:val="FootnoteReference"/>
          <w:rFonts w:cs="Arial"/>
          <w:sz w:val="20"/>
          <w:szCs w:val="20"/>
        </w:rPr>
        <w:footnoteRef/>
      </w:r>
      <w:r w:rsidRPr="00D27E01">
        <w:rPr>
          <w:rFonts w:cs="Arial"/>
          <w:sz w:val="20"/>
          <w:szCs w:val="20"/>
          <w:rtl/>
        </w:rPr>
        <w:t xml:space="preserve"> </w:t>
      </w:r>
      <w:r w:rsidRPr="00D27E01">
        <w:rPr>
          <w:rFonts w:cs="Arial"/>
          <w:sz w:val="20"/>
          <w:szCs w:val="20"/>
        </w:rPr>
        <w:t xml:space="preserve">Chayim </w:t>
      </w:r>
      <w:proofErr w:type="spellStart"/>
      <w:r w:rsidRPr="00D27E01">
        <w:rPr>
          <w:rFonts w:cs="Arial"/>
          <w:sz w:val="20"/>
          <w:szCs w:val="20"/>
        </w:rPr>
        <w:t>Hirschenson</w:t>
      </w:r>
      <w:proofErr w:type="spellEnd"/>
      <w:r w:rsidRPr="00D27E01">
        <w:rPr>
          <w:rFonts w:cs="Arial"/>
          <w:sz w:val="20"/>
          <w:szCs w:val="20"/>
        </w:rPr>
        <w:t xml:space="preserve">, </w:t>
      </w:r>
      <w:r w:rsidRPr="00D27E01">
        <w:rPr>
          <w:rFonts w:cs="Arial"/>
          <w:i/>
          <w:iCs/>
          <w:sz w:val="20"/>
          <w:szCs w:val="20"/>
        </w:rPr>
        <w:t xml:space="preserve">Seder </w:t>
      </w:r>
      <w:proofErr w:type="spellStart"/>
      <w:r w:rsidRPr="00D27E01">
        <w:rPr>
          <w:rFonts w:cs="Arial"/>
          <w:i/>
          <w:iCs/>
          <w:sz w:val="20"/>
          <w:szCs w:val="20"/>
        </w:rPr>
        <w:t>Lamikra</w:t>
      </w:r>
      <w:proofErr w:type="spellEnd"/>
      <w:r w:rsidRPr="00D27E01">
        <w:rPr>
          <w:rFonts w:cs="Arial"/>
          <w:i/>
          <w:iCs/>
          <w:sz w:val="20"/>
          <w:szCs w:val="20"/>
        </w:rPr>
        <w:t>: The Chronological Order of the Scriptures</w:t>
      </w:r>
      <w:r w:rsidRPr="00D27E01">
        <w:rPr>
          <w:rFonts w:cs="Arial"/>
          <w:sz w:val="20"/>
          <w:szCs w:val="20"/>
        </w:rPr>
        <w:t xml:space="preserve">, Palestine: </w:t>
      </w:r>
      <w:proofErr w:type="spellStart"/>
      <w:r w:rsidRPr="00D27E01">
        <w:rPr>
          <w:rFonts w:cs="Arial"/>
          <w:sz w:val="20"/>
          <w:szCs w:val="20"/>
        </w:rPr>
        <w:t>Haibri</w:t>
      </w:r>
      <w:proofErr w:type="spellEnd"/>
      <w:r w:rsidRPr="00D27E01">
        <w:rPr>
          <w:rFonts w:cs="Arial"/>
          <w:sz w:val="20"/>
          <w:szCs w:val="20"/>
        </w:rPr>
        <w:t xml:space="preserve"> Press, 5695 [the Hebrew title page carries the date “5693”] (Heb.). The following description appears on the title page: “In agreement with the Talmud, which repeatedly states that the Bible does not observe strict chronological sequence, this volume re-arranges passages and sections of the Holy Book, so as to create such chronological sequence.”</w:t>
      </w:r>
    </w:p>
  </w:footnote>
  <w:footnote w:id="33">
    <w:p w14:paraId="4D45DD20" w14:textId="77777777" w:rsidR="003D0AE3" w:rsidRPr="00D27E01" w:rsidRDefault="003D0AE3" w:rsidP="004965BD">
      <w:pPr>
        <w:pStyle w:val="FootnoteText"/>
      </w:pPr>
      <w:r w:rsidRPr="00D27E01">
        <w:rPr>
          <w:rStyle w:val="FootnoteReference"/>
        </w:rPr>
        <w:footnoteRef/>
      </w:r>
      <w:r w:rsidRPr="00D27E01">
        <w:t xml:space="preserve"> This view was also expounded by David Weiss</w:t>
      </w:r>
      <w:r>
        <w:t>-</w:t>
      </w:r>
      <w:proofErr w:type="spellStart"/>
      <w:r w:rsidRPr="00D27E01">
        <w:t>Halivni</w:t>
      </w:r>
      <w:proofErr w:type="spellEnd"/>
      <w:r>
        <w:t xml:space="preserve">, </w:t>
      </w:r>
      <w:r w:rsidRPr="002762EF">
        <w:rPr>
          <w:i/>
          <w:iCs/>
        </w:rPr>
        <w:t>Revelation Restored</w:t>
      </w:r>
      <w:r>
        <w:t>, 1997</w:t>
      </w:r>
      <w:r w:rsidRPr="00D27E01">
        <w:t>.</w:t>
      </w:r>
    </w:p>
  </w:footnote>
  <w:footnote w:id="34">
    <w:p w14:paraId="0C40E5C7" w14:textId="7C4957ED" w:rsidR="003D0AE3" w:rsidRPr="00D27E01" w:rsidRDefault="003D0AE3" w:rsidP="00D07D55">
      <w:pPr>
        <w:tabs>
          <w:tab w:val="left" w:pos="2781"/>
        </w:tabs>
        <w:spacing w:after="120"/>
        <w:rPr>
          <w:rFonts w:cs="Arial"/>
          <w:sz w:val="20"/>
          <w:szCs w:val="20"/>
        </w:rPr>
      </w:pPr>
      <w:r w:rsidRPr="00D27E01">
        <w:rPr>
          <w:rFonts w:cs="Arial"/>
          <w:sz w:val="20"/>
          <w:szCs w:val="20"/>
          <w:vertAlign w:val="superscript"/>
        </w:rPr>
        <w:footnoteRef/>
      </w:r>
      <w:r w:rsidRPr="00D27E01">
        <w:rPr>
          <w:rFonts w:cs="Arial"/>
          <w:sz w:val="20"/>
          <w:szCs w:val="20"/>
          <w:rtl/>
        </w:rPr>
        <w:t xml:space="preserve"> </w:t>
      </w:r>
      <w:r w:rsidR="00321948" w:rsidRPr="00D27E01">
        <w:rPr>
          <w:rFonts w:cs="Arial"/>
          <w:sz w:val="20"/>
          <w:szCs w:val="20"/>
        </w:rPr>
        <w:t xml:space="preserve">Moshe Greenberg, </w:t>
      </w:r>
      <w:r w:rsidR="00321948" w:rsidRPr="00D27E01">
        <w:rPr>
          <w:rFonts w:cs="Arial"/>
          <w:i/>
          <w:iCs/>
          <w:sz w:val="20"/>
          <w:szCs w:val="20"/>
        </w:rPr>
        <w:t>Studies in the Bible and Jewish Thought</w:t>
      </w:r>
      <w:r w:rsidR="00321948" w:rsidRPr="00D27E01">
        <w:rPr>
          <w:rFonts w:cs="Arial"/>
          <w:sz w:val="20"/>
          <w:szCs w:val="20"/>
        </w:rPr>
        <w:t>, Philadelphia: Jewish Publication Society, 1995, p. 229.</w:t>
      </w:r>
    </w:p>
  </w:footnote>
  <w:footnote w:id="35">
    <w:p w14:paraId="045D74A8" w14:textId="6A71DD33" w:rsidR="00D07D55" w:rsidRPr="00D27E01" w:rsidRDefault="00461382" w:rsidP="00D07D55">
      <w:pPr>
        <w:tabs>
          <w:tab w:val="left" w:pos="2781"/>
        </w:tabs>
        <w:spacing w:after="120"/>
        <w:rPr>
          <w:rFonts w:cs="Arial"/>
          <w:sz w:val="20"/>
          <w:szCs w:val="20"/>
        </w:rPr>
      </w:pPr>
      <w:r>
        <w:rPr>
          <w:rStyle w:val="FootnoteReference"/>
        </w:rPr>
        <w:footnoteRef/>
      </w:r>
      <w:r>
        <w:t xml:space="preserve"> </w:t>
      </w:r>
      <w:r w:rsidR="00D07D55" w:rsidRPr="00D27E01">
        <w:rPr>
          <w:rFonts w:cs="Arial"/>
          <w:sz w:val="20"/>
          <w:szCs w:val="20"/>
        </w:rPr>
        <w:t xml:space="preserve">Greenberg, ibid. </w:t>
      </w:r>
      <w:r w:rsidR="00D07D55">
        <w:rPr>
          <w:sz w:val="20"/>
          <w:szCs w:val="20"/>
        </w:rPr>
        <w:t xml:space="preserve"> </w:t>
      </w:r>
      <w:r w:rsidR="00D07D55" w:rsidRPr="00D27E01">
        <w:rPr>
          <w:rFonts w:cs="Arial"/>
          <w:sz w:val="20"/>
          <w:szCs w:val="20"/>
        </w:rPr>
        <w:t xml:space="preserve">A similar critique is voiced by Frances M. Young, </w:t>
      </w:r>
      <w:r w:rsidR="00D07D55" w:rsidRPr="00D27E01">
        <w:rPr>
          <w:rFonts w:cs="Arial"/>
          <w:i/>
          <w:iCs/>
          <w:sz w:val="20"/>
          <w:szCs w:val="20"/>
        </w:rPr>
        <w:t>Biblical Exegesis and the Formation of Christian Culture</w:t>
      </w:r>
      <w:r w:rsidR="00D07D55" w:rsidRPr="00D27E01">
        <w:rPr>
          <w:rFonts w:cs="Arial"/>
          <w:sz w:val="20"/>
          <w:szCs w:val="20"/>
        </w:rPr>
        <w:t>, Cambridge, 1997, p. 3: “The results of the [Church] Fathers’ exegetical methods have often been dismissed because of their so-called disregard of history</w:t>
      </w:r>
      <w:proofErr w:type="gramStart"/>
      <w:r w:rsidR="00D07D55" w:rsidRPr="00D27E01">
        <w:rPr>
          <w:rFonts w:cs="Arial"/>
          <w:sz w:val="20"/>
          <w:szCs w:val="20"/>
        </w:rPr>
        <w:t>. . . .</w:t>
      </w:r>
      <w:proofErr w:type="gramEnd"/>
      <w:r w:rsidR="00D07D55" w:rsidRPr="00D27E01">
        <w:rPr>
          <w:rFonts w:cs="Arial"/>
          <w:sz w:val="20"/>
          <w:szCs w:val="20"/>
        </w:rPr>
        <w:t xml:space="preserve"> The shift in biblical studies has helped us to recognise that concern about ‘history’ has a very modern ring.”</w:t>
      </w:r>
    </w:p>
    <w:p w14:paraId="445CA9E6" w14:textId="105103D6" w:rsidR="00461382" w:rsidRDefault="00461382">
      <w:pPr>
        <w:pStyle w:val="FootnoteText"/>
      </w:pPr>
    </w:p>
  </w:footnote>
  <w:footnote w:id="36">
    <w:p w14:paraId="30BBABE8" w14:textId="35B147F4" w:rsidR="003D0AE3" w:rsidRPr="00D27E01" w:rsidRDefault="003D0AE3" w:rsidP="00BA7BE2">
      <w:pPr>
        <w:tabs>
          <w:tab w:val="left" w:pos="2781"/>
        </w:tabs>
        <w:spacing w:after="120"/>
        <w:rPr>
          <w:rFonts w:cs="Arial"/>
          <w:sz w:val="20"/>
          <w:szCs w:val="20"/>
        </w:rPr>
      </w:pPr>
      <w:r w:rsidRPr="00D27E01">
        <w:rPr>
          <w:rFonts w:cs="Arial"/>
          <w:sz w:val="20"/>
          <w:szCs w:val="20"/>
          <w:vertAlign w:val="superscript"/>
        </w:rPr>
        <w:footnoteRef/>
      </w:r>
      <w:r w:rsidRPr="00D27E01">
        <w:rPr>
          <w:rFonts w:cs="Arial"/>
          <w:sz w:val="20"/>
          <w:szCs w:val="20"/>
          <w:rtl/>
        </w:rPr>
        <w:t xml:space="preserve"> </w:t>
      </w:r>
      <w:r w:rsidRPr="00D27E01">
        <w:rPr>
          <w:rFonts w:cs="Arial"/>
          <w:sz w:val="20"/>
          <w:szCs w:val="20"/>
        </w:rPr>
        <w:t xml:space="preserve">This principle is expressed in Uriel Simon, </w:t>
      </w:r>
      <w:r w:rsidRPr="00D27E01">
        <w:rPr>
          <w:rFonts w:cs="Arial"/>
          <w:i/>
          <w:iCs/>
          <w:sz w:val="20"/>
          <w:szCs w:val="20"/>
        </w:rPr>
        <w:t>Reading Prophetic Narratives</w:t>
      </w:r>
      <w:r w:rsidRPr="00D27E01">
        <w:rPr>
          <w:rFonts w:cs="Arial"/>
          <w:sz w:val="20"/>
          <w:szCs w:val="20"/>
        </w:rPr>
        <w:t>,</w:t>
      </w:r>
      <w:r>
        <w:rPr>
          <w:rFonts w:cs="Arial"/>
          <w:sz w:val="20"/>
          <w:szCs w:val="20"/>
        </w:rPr>
        <w:t xml:space="preserve"> Bloomington: Indiana University Press, 1997:</w:t>
      </w:r>
      <w:r w:rsidRPr="00D27E01">
        <w:rPr>
          <w:rFonts w:cs="Arial"/>
          <w:sz w:val="20"/>
          <w:szCs w:val="20"/>
        </w:rPr>
        <w:t xml:space="preserve"> “</w:t>
      </w:r>
      <w:r>
        <w:rPr>
          <w:rFonts w:cs="Arial"/>
          <w:sz w:val="20"/>
          <w:szCs w:val="20"/>
        </w:rPr>
        <w:t>A l</w:t>
      </w:r>
      <w:r w:rsidRPr="00D27E01">
        <w:rPr>
          <w:rFonts w:cs="Arial"/>
          <w:sz w:val="20"/>
          <w:szCs w:val="20"/>
        </w:rPr>
        <w:t>iterary reading</w:t>
      </w:r>
      <w:r>
        <w:rPr>
          <w:rFonts w:cs="Arial"/>
          <w:sz w:val="20"/>
          <w:szCs w:val="20"/>
        </w:rPr>
        <w:t xml:space="preserve"> deals with the story</w:t>
      </w:r>
      <w:r w:rsidRPr="00D27E01">
        <w:rPr>
          <w:rFonts w:cs="Arial"/>
          <w:sz w:val="20"/>
          <w:szCs w:val="20"/>
        </w:rPr>
        <w:t xml:space="preserve"> </w:t>
      </w:r>
      <w:r>
        <w:rPr>
          <w:rFonts w:cs="Arial"/>
          <w:sz w:val="20"/>
          <w:szCs w:val="20"/>
        </w:rPr>
        <w:t xml:space="preserve">and </w:t>
      </w:r>
      <w:r w:rsidRPr="00D27E01">
        <w:rPr>
          <w:rFonts w:cs="Arial"/>
          <w:sz w:val="20"/>
          <w:szCs w:val="20"/>
        </w:rPr>
        <w:t xml:space="preserve">not </w:t>
      </w:r>
      <w:r>
        <w:rPr>
          <w:rFonts w:cs="Arial"/>
          <w:sz w:val="20"/>
          <w:szCs w:val="20"/>
        </w:rPr>
        <w:t xml:space="preserve">with the event related. </w:t>
      </w:r>
      <w:r w:rsidRPr="00D27E01">
        <w:rPr>
          <w:rFonts w:cs="Arial"/>
          <w:sz w:val="20"/>
          <w:szCs w:val="20"/>
        </w:rPr>
        <w:t>…</w:t>
      </w:r>
      <w:r>
        <w:rPr>
          <w:rFonts w:cs="Arial"/>
          <w:sz w:val="20"/>
          <w:szCs w:val="20"/>
        </w:rPr>
        <w:t xml:space="preserve"> i</w:t>
      </w:r>
      <w:r w:rsidRPr="00D27E01">
        <w:rPr>
          <w:rFonts w:cs="Arial"/>
          <w:sz w:val="20"/>
          <w:szCs w:val="20"/>
        </w:rPr>
        <w:t xml:space="preserve">ts </w:t>
      </w:r>
      <w:r>
        <w:rPr>
          <w:rFonts w:cs="Arial"/>
          <w:sz w:val="20"/>
          <w:szCs w:val="20"/>
        </w:rPr>
        <w:t xml:space="preserve">goal is </w:t>
      </w:r>
      <w:r w:rsidRPr="00D27E01">
        <w:rPr>
          <w:rFonts w:cs="Arial"/>
          <w:sz w:val="20"/>
          <w:szCs w:val="20"/>
        </w:rPr>
        <w:t>to listen to</w:t>
      </w:r>
      <w:r>
        <w:rPr>
          <w:rFonts w:cs="Arial"/>
          <w:sz w:val="20"/>
          <w:szCs w:val="20"/>
        </w:rPr>
        <w:t xml:space="preserve"> what the narrator has to say, </w:t>
      </w:r>
      <w:r w:rsidRPr="00D27E01">
        <w:rPr>
          <w:rFonts w:cs="Arial"/>
          <w:sz w:val="20"/>
          <w:szCs w:val="20"/>
        </w:rPr>
        <w:t xml:space="preserve">not to reconstruct </w:t>
      </w:r>
      <w:r>
        <w:rPr>
          <w:rFonts w:cs="Arial"/>
          <w:sz w:val="20"/>
          <w:szCs w:val="20"/>
        </w:rPr>
        <w:t>what actually happened” (xiv).</w:t>
      </w:r>
      <w:r w:rsidRPr="00D27E01">
        <w:rPr>
          <w:rFonts w:cs="Arial"/>
          <w:sz w:val="20"/>
          <w:szCs w:val="20"/>
        </w:rPr>
        <w:t xml:space="preserve"> </w:t>
      </w:r>
    </w:p>
  </w:footnote>
  <w:footnote w:id="37">
    <w:p w14:paraId="2ABEA7FE" w14:textId="74FA66C3" w:rsidR="003D0AE3" w:rsidRPr="00D27E01" w:rsidRDefault="003D0AE3" w:rsidP="003C4EA4">
      <w:pPr>
        <w:pStyle w:val="FootnoteText"/>
        <w:spacing w:after="120"/>
        <w:rPr>
          <w:rFonts w:cs="Arial"/>
        </w:rPr>
      </w:pPr>
      <w:r w:rsidRPr="00D27E01">
        <w:rPr>
          <w:rStyle w:val="FootnoteReference"/>
          <w:rFonts w:cs="Arial"/>
        </w:rPr>
        <w:footnoteRef/>
      </w:r>
      <w:r w:rsidRPr="00D27E01">
        <w:rPr>
          <w:rFonts w:cs="Arial"/>
          <w:rtl/>
        </w:rPr>
        <w:t xml:space="preserve"> </w:t>
      </w:r>
      <w:r w:rsidRPr="00D27E01">
        <w:rPr>
          <w:rFonts w:cs="Arial"/>
        </w:rPr>
        <w:t xml:space="preserve"> </w:t>
      </w:r>
      <w:r w:rsidRPr="00D27E01">
        <w:rPr>
          <w:rFonts w:cs="Arial"/>
          <w:i/>
          <w:iCs/>
        </w:rPr>
        <w:t>Mekhilta</w:t>
      </w:r>
      <w:r w:rsidRPr="00D27E01">
        <w:rPr>
          <w:rFonts w:cs="Arial"/>
        </w:rPr>
        <w:t xml:space="preserve"> is regarded as one of the earliest works of rabbinic literature.  However, the fact that </w:t>
      </w:r>
      <w:r w:rsidRPr="00D27E01">
        <w:rPr>
          <w:rFonts w:cs="Arial"/>
          <w:i/>
          <w:iCs/>
        </w:rPr>
        <w:t>Mekhilta</w:t>
      </w:r>
      <w:r w:rsidRPr="00D27E01">
        <w:rPr>
          <w:rFonts w:cs="Arial"/>
        </w:rPr>
        <w:t xml:space="preserve"> applies a principle worded “there is no ‘earlier’ and ‘later’ in the Torah” to texts in Prophets and Writings may indicate the secondary nature of this usage, as against the primary meaning of the principle in </w:t>
      </w:r>
      <w:proofErr w:type="spellStart"/>
      <w:r w:rsidRPr="00D27E01">
        <w:rPr>
          <w:rFonts w:cs="Arial"/>
          <w:i/>
          <w:iCs/>
        </w:rPr>
        <w:t>Sifre</w:t>
      </w:r>
      <w:proofErr w:type="spellEnd"/>
      <w:r w:rsidRPr="00D27E01">
        <w:rPr>
          <w:rFonts w:cs="Arial"/>
          <w:i/>
          <w:iCs/>
        </w:rPr>
        <w:t xml:space="preserve"> Numbers</w:t>
      </w:r>
      <w:r w:rsidRPr="00D27E01">
        <w:rPr>
          <w:rFonts w:cs="Arial"/>
        </w:rPr>
        <w:t>—to indicate the lack of chronological order in the Pentateuch</w:t>
      </w:r>
      <w:r>
        <w:rPr>
          <w:rFonts w:cs="Arial"/>
        </w:rPr>
        <w:t xml:space="preserve"> alone</w:t>
      </w:r>
      <w:r w:rsidRPr="00D27E01">
        <w:rPr>
          <w:rFonts w:cs="Arial"/>
        </w:rPr>
        <w:t>.</w:t>
      </w:r>
    </w:p>
  </w:footnote>
  <w:footnote w:id="38">
    <w:p w14:paraId="426DCDB4" w14:textId="7E85ACBE" w:rsidR="003D0AE3" w:rsidRDefault="003D0AE3">
      <w:pPr>
        <w:pStyle w:val="FootnoteText"/>
      </w:pPr>
      <w:r>
        <w:rPr>
          <w:rStyle w:val="FootnoteReference"/>
        </w:rPr>
        <w:footnoteRef/>
      </w:r>
      <w:r>
        <w:t xml:space="preserve"> Samet has published three series of studies on the weekly portion</w:t>
      </w:r>
      <w:r w:rsidR="00A03415">
        <w:t xml:space="preserve"> in Hebrew</w:t>
      </w:r>
      <w:r>
        <w:t xml:space="preserve">, </w:t>
      </w:r>
      <w:r w:rsidRPr="004F5558">
        <w:rPr>
          <w:i/>
          <w:iCs/>
        </w:rPr>
        <w:t>Studies in the Weekly Parasha</w:t>
      </w:r>
      <w:r>
        <w:t xml:space="preserve">, </w:t>
      </w:r>
      <w:r w:rsidR="00D2241C">
        <w:t>F</w:t>
      </w:r>
      <w:r>
        <w:t xml:space="preserve">irst series, </w:t>
      </w:r>
      <w:r w:rsidR="00A03415">
        <w:t xml:space="preserve">2 vols., </w:t>
      </w:r>
      <w:r>
        <w:t>2009</w:t>
      </w:r>
      <w:r w:rsidR="00882C51">
        <w:t>;</w:t>
      </w:r>
      <w:r>
        <w:t xml:space="preserve"> </w:t>
      </w:r>
      <w:r w:rsidR="00D2241C">
        <w:t>S</w:t>
      </w:r>
      <w:r>
        <w:t xml:space="preserve">econd series, </w:t>
      </w:r>
      <w:r w:rsidR="00A03415">
        <w:t xml:space="preserve">2 vols., </w:t>
      </w:r>
      <w:r>
        <w:t>2009</w:t>
      </w:r>
      <w:r w:rsidR="00882C51">
        <w:t>;</w:t>
      </w:r>
      <w:r w:rsidR="00C775B5">
        <w:t xml:space="preserve"> </w:t>
      </w:r>
      <w:r w:rsidR="00D2241C">
        <w:t>T</w:t>
      </w:r>
      <w:r>
        <w:t xml:space="preserve">hird series, vol. 1, 2012; vol. 2, 2015. My </w:t>
      </w:r>
      <w:r w:rsidR="008E7097">
        <w:t xml:space="preserve">study in </w:t>
      </w:r>
      <w:r>
        <w:t xml:space="preserve">Hebrew </w:t>
      </w:r>
      <w:r w:rsidR="0007678B">
        <w:t xml:space="preserve">on rabbinic and medieval views of biblical order, </w:t>
      </w:r>
      <w:proofErr w:type="spellStart"/>
      <w:r w:rsidRPr="002653B8">
        <w:rPr>
          <w:i/>
          <w:iCs/>
        </w:rPr>
        <w:t>Yesh</w:t>
      </w:r>
      <w:proofErr w:type="spellEnd"/>
      <w:r w:rsidRPr="002653B8">
        <w:rPr>
          <w:i/>
          <w:iCs/>
        </w:rPr>
        <w:t xml:space="preserve"> Seder </w:t>
      </w:r>
      <w:proofErr w:type="spellStart"/>
      <w:r w:rsidRPr="002653B8">
        <w:rPr>
          <w:i/>
          <w:iCs/>
        </w:rPr>
        <w:t>Lamikra</w:t>
      </w:r>
      <w:proofErr w:type="spellEnd"/>
      <w:r>
        <w:t xml:space="preserve">, </w:t>
      </w:r>
      <w:r w:rsidR="00522A08">
        <w:t xml:space="preserve">(English title: </w:t>
      </w:r>
      <w:r w:rsidR="00522A08" w:rsidRPr="00522A08">
        <w:rPr>
          <w:i/>
          <w:iCs/>
        </w:rPr>
        <w:t>Order in the Bible</w:t>
      </w:r>
      <w:r w:rsidR="00522A08">
        <w:t xml:space="preserve">) </w:t>
      </w:r>
      <w:r>
        <w:t xml:space="preserve">came out in 2009. </w:t>
      </w:r>
    </w:p>
  </w:footnote>
  <w:footnote w:id="39">
    <w:p w14:paraId="2BB294E5" w14:textId="4DEB1BD2" w:rsidR="00ED7BAC" w:rsidRDefault="00ED7BAC">
      <w:pPr>
        <w:pStyle w:val="FootnoteText"/>
      </w:pPr>
      <w:r>
        <w:rPr>
          <w:rStyle w:val="FootnoteReference"/>
        </w:rPr>
        <w:footnoteRef/>
      </w:r>
      <w:r>
        <w:t xml:space="preserve"> </w:t>
      </w:r>
      <w:r w:rsidR="00915258">
        <w:t xml:space="preserve">Samet, </w:t>
      </w:r>
      <w:r>
        <w:t>Studies, Third Series, vol. 1</w:t>
      </w:r>
      <w:r w:rsidR="00917720">
        <w:t>, 323.</w:t>
      </w:r>
      <w:r>
        <w:t xml:space="preserve"> </w:t>
      </w:r>
      <w:r w:rsidR="00D07AAA">
        <w:t>He argued with Ibn Ezra’s writings, as they were not co</w:t>
      </w:r>
      <w:r w:rsidR="00262E10">
        <w:t>n</w:t>
      </w:r>
      <w:r w:rsidR="00D07AAA">
        <w:t xml:space="preserve">temporaries. </w:t>
      </w:r>
    </w:p>
  </w:footnote>
  <w:footnote w:id="40">
    <w:p w14:paraId="23F951A2" w14:textId="79647FDE" w:rsidR="007E3B69" w:rsidRDefault="007E3B69">
      <w:pPr>
        <w:pStyle w:val="FootnoteText"/>
      </w:pPr>
      <w:r>
        <w:rPr>
          <w:rStyle w:val="FootnoteReference"/>
        </w:rPr>
        <w:footnoteRef/>
      </w:r>
      <w:r>
        <w:t xml:space="preserve"> The closest English equivalent would be “law and order.”</w:t>
      </w:r>
    </w:p>
  </w:footnote>
  <w:footnote w:id="41">
    <w:p w14:paraId="0B91A892" w14:textId="39BE5D06" w:rsidR="003D0AE3" w:rsidRDefault="003D0AE3" w:rsidP="000104BC">
      <w:pPr>
        <w:pStyle w:val="FootnoteText"/>
      </w:pPr>
      <w:r>
        <w:rPr>
          <w:rStyle w:val="FootnoteReference"/>
        </w:rPr>
        <w:footnoteRef/>
      </w:r>
      <w:r>
        <w:t xml:space="preserve"> The law of the red heifer is referred to in the Torah as a </w:t>
      </w:r>
      <w:proofErr w:type="spellStart"/>
      <w:r w:rsidRPr="001B17FB">
        <w:rPr>
          <w:i/>
          <w:iCs/>
        </w:rPr>
        <w:t>hok</w:t>
      </w:r>
      <w:proofErr w:type="spellEnd"/>
      <w:r>
        <w:t xml:space="preserve"> (Num19:2). However, the heifer does not appear in several midrashic sources as one of the three commandments, see remarks in Rashi, vol. 1, Appendix, 243.</w:t>
      </w:r>
    </w:p>
  </w:footnote>
  <w:footnote w:id="42">
    <w:p w14:paraId="3B8E3A82" w14:textId="10ACE449" w:rsidR="00281A1D" w:rsidRDefault="00281A1D">
      <w:pPr>
        <w:pStyle w:val="FootnoteText"/>
      </w:pPr>
      <w:r>
        <w:rPr>
          <w:rStyle w:val="FootnoteReference"/>
        </w:rPr>
        <w:footnoteRef/>
      </w:r>
      <w:r>
        <w:t xml:space="preserve"> The text of Rashi follows Rashi, Silberman and Rosenblum. </w:t>
      </w:r>
    </w:p>
  </w:footnote>
  <w:footnote w:id="43">
    <w:p w14:paraId="49F6F020" w14:textId="0025F7C2" w:rsidR="00E57A86" w:rsidRDefault="00E57A86">
      <w:pPr>
        <w:pStyle w:val="FootnoteText"/>
      </w:pPr>
      <w:r>
        <w:rPr>
          <w:rStyle w:val="FootnoteReference"/>
        </w:rPr>
        <w:footnoteRef/>
      </w:r>
      <w:r>
        <w:t xml:space="preserve"> </w:t>
      </w:r>
      <w:r>
        <w:t>Samet, Studies, Third Series, vol. 1, 3</w:t>
      </w:r>
      <w:r>
        <w:t>42</w:t>
      </w:r>
      <w:r>
        <w:t>.</w:t>
      </w:r>
    </w:p>
  </w:footnote>
  <w:footnote w:id="44">
    <w:p w14:paraId="4CADCDA8" w14:textId="729F2713" w:rsidR="003D0AE3" w:rsidRDefault="003D0AE3">
      <w:pPr>
        <w:pStyle w:val="FootnoteText"/>
        <w:rPr>
          <w:lang w:bidi="he-IL"/>
        </w:rPr>
      </w:pPr>
      <w:r>
        <w:rPr>
          <w:rStyle w:val="FootnoteReference"/>
        </w:rPr>
        <w:footnoteRef/>
      </w:r>
      <w:r>
        <w:t xml:space="preserve"> The Sabbath appears in the Ten Commandments (Exodus 20) as well as in Ex23:12 and 31:12-17; torts appear in Exodus 21-23</w:t>
      </w:r>
      <w:r w:rsidR="00B661E3">
        <w:t>; the</w:t>
      </w:r>
      <w:r w:rsidR="00395A0D">
        <w:t xml:space="preserve"> law of the red heifer is found in Num19:2.</w:t>
      </w:r>
    </w:p>
  </w:footnote>
  <w:footnote w:id="45">
    <w:p w14:paraId="0FCC909E" w14:textId="7048781C" w:rsidR="00C52A2F" w:rsidRDefault="00C52A2F">
      <w:pPr>
        <w:pStyle w:val="FootnoteText"/>
      </w:pPr>
      <w:r>
        <w:rPr>
          <w:rStyle w:val="FootnoteReference"/>
        </w:rPr>
        <w:footnoteRef/>
      </w:r>
      <w:r>
        <w:t xml:space="preserve"> On Ramban’s </w:t>
      </w:r>
      <w:r w:rsidR="007A407F">
        <w:t>understanding</w:t>
      </w:r>
      <w:r>
        <w:t xml:space="preserve"> of that maxim, see Chapter</w:t>
      </w:r>
      <w:r w:rsidR="007A407F">
        <w:t xml:space="preserve"> Five,</w:t>
      </w:r>
      <w:r w:rsidR="00923799">
        <w:t xml:space="preserve"> p.3, “There is no earlier or later in the Torah.”</w:t>
      </w:r>
    </w:p>
  </w:footnote>
  <w:footnote w:id="46">
    <w:p w14:paraId="0AEE2008" w14:textId="787AA3F7" w:rsidR="003D0AE3" w:rsidRDefault="003D0AE3">
      <w:pPr>
        <w:pStyle w:val="FootnoteText"/>
      </w:pPr>
      <w:r>
        <w:rPr>
          <w:rStyle w:val="FootnoteReference"/>
        </w:rPr>
        <w:footnoteRef/>
      </w:r>
      <w:r>
        <w:t xml:space="preserve"> See Chapter Five, note 10.</w:t>
      </w:r>
    </w:p>
  </w:footnote>
  <w:footnote w:id="47">
    <w:p w14:paraId="6597582B" w14:textId="7D0C59C8" w:rsidR="00E5147B" w:rsidRDefault="00E5147B">
      <w:pPr>
        <w:pStyle w:val="FootnoteText"/>
      </w:pPr>
      <w:r>
        <w:rPr>
          <w:rStyle w:val="FootnoteReference"/>
        </w:rPr>
        <w:footnoteRef/>
      </w:r>
      <w:r>
        <w:t xml:space="preserve"> </w:t>
      </w:r>
      <w:r>
        <w:t>Samet, Studies, Third Series, vol. 1, 34</w:t>
      </w:r>
      <w:r>
        <w:t>3.</w:t>
      </w:r>
    </w:p>
  </w:footnote>
  <w:footnote w:id="48">
    <w:p w14:paraId="2D83FCA5" w14:textId="42D65BBB" w:rsidR="003D0AE3" w:rsidRDefault="003D0AE3">
      <w:pPr>
        <w:pStyle w:val="FootnoteText"/>
      </w:pPr>
      <w:r>
        <w:rPr>
          <w:rStyle w:val="FootnoteReference"/>
        </w:rPr>
        <w:footnoteRef/>
      </w:r>
      <w:r>
        <w:t xml:space="preserve"> The traditional view is that commandments were given at Mount Sinai, </w:t>
      </w:r>
      <w:r w:rsidR="004332AF">
        <w:t>in</w:t>
      </w:r>
      <w:r>
        <w:t xml:space="preserve"> the Tent of Meeting, and </w:t>
      </w:r>
      <w:r w:rsidR="00B621C6">
        <w:t>on</w:t>
      </w:r>
      <w:r>
        <w:t xml:space="preserve"> the Plains of Moab.</w:t>
      </w:r>
    </w:p>
  </w:footnote>
  <w:footnote w:id="49">
    <w:p w14:paraId="72C7480B" w14:textId="3937530A" w:rsidR="003D0AE3" w:rsidRDefault="003D0AE3">
      <w:pPr>
        <w:pStyle w:val="FootnoteText"/>
      </w:pPr>
      <w:r>
        <w:rPr>
          <w:rStyle w:val="FootnoteReference"/>
        </w:rPr>
        <w:footnoteRef/>
      </w:r>
      <w:r>
        <w:t xml:space="preserve"> Samet, </w:t>
      </w:r>
      <w:r w:rsidRPr="004F5558">
        <w:rPr>
          <w:i/>
          <w:iCs/>
        </w:rPr>
        <w:t>Studies</w:t>
      </w:r>
      <w:r>
        <w:rPr>
          <w:i/>
          <w:iCs/>
        </w:rPr>
        <w:t>,</w:t>
      </w:r>
      <w:r>
        <w:t xml:space="preserve"> third series, Genesis-Exodus, vol. 1, 343-344.</w:t>
      </w:r>
    </w:p>
  </w:footnote>
  <w:footnote w:id="50">
    <w:p w14:paraId="6223CC19" w14:textId="673DB748" w:rsidR="003D0AE3" w:rsidRDefault="003D0AE3" w:rsidP="00AF0115">
      <w:pPr>
        <w:pStyle w:val="FootnoteText"/>
      </w:pPr>
      <w:r>
        <w:rPr>
          <w:rStyle w:val="FootnoteReference"/>
        </w:rPr>
        <w:footnoteRef/>
      </w:r>
      <w:r>
        <w:t xml:space="preserve"> Ibid., 342 – 344.</w:t>
      </w:r>
    </w:p>
  </w:footnote>
  <w:footnote w:id="51">
    <w:p w14:paraId="1C06D8DA" w14:textId="2BF99223" w:rsidR="000406DF" w:rsidRDefault="000406DF">
      <w:pPr>
        <w:pStyle w:val="FootnoteText"/>
      </w:pPr>
      <w:r>
        <w:rPr>
          <w:rStyle w:val="FootnoteReference"/>
        </w:rPr>
        <w:footnoteRef/>
      </w:r>
      <w:r>
        <w:t xml:space="preserve"> </w:t>
      </w:r>
      <w:r w:rsidR="009C7EF8">
        <w:t xml:space="preserve">Mishna </w:t>
      </w:r>
      <w:r w:rsidR="009C7EF8" w:rsidRPr="009C7EF8">
        <w:rPr>
          <w:i/>
          <w:iCs/>
        </w:rPr>
        <w:t>Hullin</w:t>
      </w:r>
      <w:r w:rsidR="009C7EF8">
        <w:t xml:space="preserve"> 7, 6; </w:t>
      </w:r>
      <w:r>
        <w:t xml:space="preserve">BT </w:t>
      </w:r>
      <w:r w:rsidRPr="009C7EF8">
        <w:rPr>
          <w:i/>
          <w:iCs/>
        </w:rPr>
        <w:t>Hullin</w:t>
      </w:r>
      <w:r w:rsidR="009C7EF8">
        <w:t xml:space="preserve"> 101b</w:t>
      </w:r>
      <w:r>
        <w:t>.</w:t>
      </w:r>
    </w:p>
  </w:footnote>
  <w:footnote w:id="52">
    <w:p w14:paraId="1259CFE6" w14:textId="77777777" w:rsidR="003D0AE3" w:rsidRPr="00D27E01" w:rsidRDefault="003D0AE3" w:rsidP="005F2D64">
      <w:pPr>
        <w:rPr>
          <w:sz w:val="20"/>
          <w:szCs w:val="20"/>
        </w:rPr>
      </w:pPr>
      <w:r w:rsidRPr="00D27E01">
        <w:rPr>
          <w:rStyle w:val="FootnoteReference"/>
          <w:sz w:val="20"/>
          <w:szCs w:val="20"/>
        </w:rPr>
        <w:footnoteRef/>
      </w:r>
      <w:r w:rsidRPr="00D27E01">
        <w:rPr>
          <w:sz w:val="20"/>
          <w:szCs w:val="20"/>
        </w:rPr>
        <w:t xml:space="preserve">Hermann Gunkel, </w:t>
      </w:r>
      <w:r w:rsidRPr="00D27E01">
        <w:rPr>
          <w:i/>
          <w:iCs/>
          <w:sz w:val="20"/>
          <w:szCs w:val="20"/>
        </w:rPr>
        <w:t>Introduction to Psalms: The Genres of the Religious Lyric of Israel</w:t>
      </w:r>
      <w:r w:rsidRPr="00D27E01">
        <w:rPr>
          <w:sz w:val="20"/>
          <w:szCs w:val="20"/>
        </w:rPr>
        <w:t xml:space="preserve">, completed by J. </w:t>
      </w:r>
      <w:proofErr w:type="spellStart"/>
      <w:r w:rsidRPr="00D27E01">
        <w:rPr>
          <w:sz w:val="20"/>
          <w:szCs w:val="20"/>
        </w:rPr>
        <w:t>Begrich</w:t>
      </w:r>
      <w:proofErr w:type="spellEnd"/>
      <w:r w:rsidRPr="00D27E01">
        <w:rPr>
          <w:sz w:val="20"/>
          <w:szCs w:val="20"/>
        </w:rPr>
        <w:t xml:space="preserve">, trans. J.D. </w:t>
      </w:r>
      <w:proofErr w:type="spellStart"/>
      <w:r w:rsidRPr="00D27E01">
        <w:rPr>
          <w:sz w:val="20"/>
          <w:szCs w:val="20"/>
        </w:rPr>
        <w:t>Nogalski</w:t>
      </w:r>
      <w:proofErr w:type="spellEnd"/>
      <w:r w:rsidRPr="00D27E01">
        <w:rPr>
          <w:sz w:val="20"/>
          <w:szCs w:val="20"/>
        </w:rPr>
        <w:t xml:space="preserve">, Georgia:1998, p. 2-3. </w:t>
      </w:r>
    </w:p>
    <w:p w14:paraId="1A8964DA" w14:textId="77777777" w:rsidR="003D0AE3" w:rsidRPr="00D27E01" w:rsidRDefault="003D0AE3">
      <w:pPr>
        <w:pStyle w:val="FootnoteText"/>
      </w:pPr>
      <w:r w:rsidRPr="00D27E01">
        <w:t xml:space="preserve"> </w:t>
      </w:r>
    </w:p>
  </w:footnote>
  <w:footnote w:id="53">
    <w:p w14:paraId="77B12C56" w14:textId="161CA7AA" w:rsidR="00303502" w:rsidRDefault="00303502">
      <w:pPr>
        <w:pStyle w:val="FootnoteText"/>
      </w:pPr>
      <w:r>
        <w:rPr>
          <w:rStyle w:val="FootnoteReference"/>
        </w:rPr>
        <w:footnoteRef/>
      </w:r>
      <w:r>
        <w:t xml:space="preserve"> </w:t>
      </w:r>
      <w:r w:rsidR="0096267D">
        <w:t xml:space="preserve">Mordecai </w:t>
      </w:r>
      <w:proofErr w:type="spellStart"/>
      <w:r w:rsidR="0096267D">
        <w:t>Zer</w:t>
      </w:r>
      <w:proofErr w:type="spellEnd"/>
      <w:r w:rsidR="0096267D">
        <w:t xml:space="preserve"> -</w:t>
      </w:r>
      <w:proofErr w:type="spellStart"/>
      <w:r w:rsidR="0096267D">
        <w:t>Kavod</w:t>
      </w:r>
      <w:proofErr w:type="spellEnd"/>
      <w:r w:rsidR="0096267D">
        <w:t xml:space="preserve">, </w:t>
      </w:r>
      <w:r w:rsidR="0096267D" w:rsidRPr="00D613C8">
        <w:rPr>
          <w:i/>
          <w:iCs/>
        </w:rPr>
        <w:t>Introduction to Zachariah</w:t>
      </w:r>
      <w:r w:rsidR="0096267D">
        <w:t xml:space="preserve">, </w:t>
      </w:r>
      <w:proofErr w:type="spellStart"/>
      <w:r w:rsidR="0096267D">
        <w:t>Da’a</w:t>
      </w:r>
      <w:r w:rsidR="00D613C8">
        <w:t>t</w:t>
      </w:r>
      <w:proofErr w:type="spellEnd"/>
      <w:r w:rsidR="0096267D">
        <w:t xml:space="preserve"> Miq</w:t>
      </w:r>
      <w:r w:rsidR="00D613C8">
        <w:t>r</w:t>
      </w:r>
      <w:r w:rsidR="0096267D">
        <w:t xml:space="preserve">a, The Twelve, </w:t>
      </w:r>
      <w:r w:rsidR="00D613C8">
        <w:t>1990, p.6.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1A"/>
    <w:rsid w:val="00004F52"/>
    <w:rsid w:val="000104BC"/>
    <w:rsid w:val="000128F7"/>
    <w:rsid w:val="00014269"/>
    <w:rsid w:val="00014E3D"/>
    <w:rsid w:val="00015FE9"/>
    <w:rsid w:val="00017B27"/>
    <w:rsid w:val="0002082D"/>
    <w:rsid w:val="00020983"/>
    <w:rsid w:val="000210FC"/>
    <w:rsid w:val="00021CE0"/>
    <w:rsid w:val="000235B8"/>
    <w:rsid w:val="00023CF4"/>
    <w:rsid w:val="00024A8A"/>
    <w:rsid w:val="00025C4A"/>
    <w:rsid w:val="00031E8C"/>
    <w:rsid w:val="00033270"/>
    <w:rsid w:val="000366B9"/>
    <w:rsid w:val="0003735B"/>
    <w:rsid w:val="00040218"/>
    <w:rsid w:val="000404CC"/>
    <w:rsid w:val="000406DF"/>
    <w:rsid w:val="00042B3C"/>
    <w:rsid w:val="00050CCE"/>
    <w:rsid w:val="00051C54"/>
    <w:rsid w:val="000520A7"/>
    <w:rsid w:val="00053EFB"/>
    <w:rsid w:val="00054796"/>
    <w:rsid w:val="00054C0A"/>
    <w:rsid w:val="000551FD"/>
    <w:rsid w:val="00055502"/>
    <w:rsid w:val="000571D7"/>
    <w:rsid w:val="000625AC"/>
    <w:rsid w:val="000641FA"/>
    <w:rsid w:val="0006618D"/>
    <w:rsid w:val="00070652"/>
    <w:rsid w:val="000715DB"/>
    <w:rsid w:val="000721B4"/>
    <w:rsid w:val="0007324C"/>
    <w:rsid w:val="00074911"/>
    <w:rsid w:val="00076041"/>
    <w:rsid w:val="0007678B"/>
    <w:rsid w:val="000775DE"/>
    <w:rsid w:val="00077F87"/>
    <w:rsid w:val="000842DB"/>
    <w:rsid w:val="000847F9"/>
    <w:rsid w:val="00085743"/>
    <w:rsid w:val="0008598C"/>
    <w:rsid w:val="00087958"/>
    <w:rsid w:val="00090CE0"/>
    <w:rsid w:val="00091B4F"/>
    <w:rsid w:val="00092275"/>
    <w:rsid w:val="000946A2"/>
    <w:rsid w:val="00094815"/>
    <w:rsid w:val="000968A6"/>
    <w:rsid w:val="00097A9C"/>
    <w:rsid w:val="00097D82"/>
    <w:rsid w:val="000A01FF"/>
    <w:rsid w:val="000A0863"/>
    <w:rsid w:val="000A1546"/>
    <w:rsid w:val="000A2AB5"/>
    <w:rsid w:val="000A42A8"/>
    <w:rsid w:val="000A5195"/>
    <w:rsid w:val="000A5785"/>
    <w:rsid w:val="000A5B5E"/>
    <w:rsid w:val="000A67D8"/>
    <w:rsid w:val="000B107F"/>
    <w:rsid w:val="000B138C"/>
    <w:rsid w:val="000B1DA5"/>
    <w:rsid w:val="000B1E78"/>
    <w:rsid w:val="000B362C"/>
    <w:rsid w:val="000B3A48"/>
    <w:rsid w:val="000B5A05"/>
    <w:rsid w:val="000B5ED7"/>
    <w:rsid w:val="000B72F7"/>
    <w:rsid w:val="000B786B"/>
    <w:rsid w:val="000B7C0C"/>
    <w:rsid w:val="000C16B9"/>
    <w:rsid w:val="000C18D0"/>
    <w:rsid w:val="000C2487"/>
    <w:rsid w:val="000C72DD"/>
    <w:rsid w:val="000D1FBB"/>
    <w:rsid w:val="000D2542"/>
    <w:rsid w:val="000D4815"/>
    <w:rsid w:val="000D48F7"/>
    <w:rsid w:val="000D5E9E"/>
    <w:rsid w:val="000D72F5"/>
    <w:rsid w:val="000E2799"/>
    <w:rsid w:val="000E3DAA"/>
    <w:rsid w:val="000F0618"/>
    <w:rsid w:val="000F1641"/>
    <w:rsid w:val="000F2483"/>
    <w:rsid w:val="000F5A56"/>
    <w:rsid w:val="000F5B88"/>
    <w:rsid w:val="000F7D6E"/>
    <w:rsid w:val="001008AA"/>
    <w:rsid w:val="00101EBC"/>
    <w:rsid w:val="00103086"/>
    <w:rsid w:val="00104EA6"/>
    <w:rsid w:val="00105135"/>
    <w:rsid w:val="001060DE"/>
    <w:rsid w:val="00106B84"/>
    <w:rsid w:val="00106EE0"/>
    <w:rsid w:val="0011099B"/>
    <w:rsid w:val="001113B4"/>
    <w:rsid w:val="00113523"/>
    <w:rsid w:val="00115B77"/>
    <w:rsid w:val="001177D8"/>
    <w:rsid w:val="001210B6"/>
    <w:rsid w:val="00121743"/>
    <w:rsid w:val="00121A7E"/>
    <w:rsid w:val="001221C7"/>
    <w:rsid w:val="0012242A"/>
    <w:rsid w:val="00123469"/>
    <w:rsid w:val="00126733"/>
    <w:rsid w:val="001318EF"/>
    <w:rsid w:val="00131B08"/>
    <w:rsid w:val="00131C5A"/>
    <w:rsid w:val="00137DEC"/>
    <w:rsid w:val="0014004C"/>
    <w:rsid w:val="00140121"/>
    <w:rsid w:val="00140B30"/>
    <w:rsid w:val="001411F1"/>
    <w:rsid w:val="00150949"/>
    <w:rsid w:val="001527FB"/>
    <w:rsid w:val="00154C1A"/>
    <w:rsid w:val="00156BC4"/>
    <w:rsid w:val="00157057"/>
    <w:rsid w:val="00160701"/>
    <w:rsid w:val="00164BE3"/>
    <w:rsid w:val="001709EC"/>
    <w:rsid w:val="001729E8"/>
    <w:rsid w:val="00174FCE"/>
    <w:rsid w:val="001757BB"/>
    <w:rsid w:val="001773D8"/>
    <w:rsid w:val="00177A6D"/>
    <w:rsid w:val="00181562"/>
    <w:rsid w:val="00181FA9"/>
    <w:rsid w:val="00190264"/>
    <w:rsid w:val="001911ED"/>
    <w:rsid w:val="00192845"/>
    <w:rsid w:val="00192C0F"/>
    <w:rsid w:val="0019484E"/>
    <w:rsid w:val="00197355"/>
    <w:rsid w:val="00197AC9"/>
    <w:rsid w:val="00197C4A"/>
    <w:rsid w:val="001A0D19"/>
    <w:rsid w:val="001A22B5"/>
    <w:rsid w:val="001A3B47"/>
    <w:rsid w:val="001A3D1A"/>
    <w:rsid w:val="001A4D93"/>
    <w:rsid w:val="001A4E9F"/>
    <w:rsid w:val="001A6F00"/>
    <w:rsid w:val="001A7CF4"/>
    <w:rsid w:val="001B17FB"/>
    <w:rsid w:val="001B1F7B"/>
    <w:rsid w:val="001B2A44"/>
    <w:rsid w:val="001B39EC"/>
    <w:rsid w:val="001B4409"/>
    <w:rsid w:val="001B6056"/>
    <w:rsid w:val="001B73A2"/>
    <w:rsid w:val="001C0EF8"/>
    <w:rsid w:val="001C24B2"/>
    <w:rsid w:val="001C2F3B"/>
    <w:rsid w:val="001C2FC5"/>
    <w:rsid w:val="001C52C2"/>
    <w:rsid w:val="001C7744"/>
    <w:rsid w:val="001D1AE0"/>
    <w:rsid w:val="001D4786"/>
    <w:rsid w:val="001D5DB1"/>
    <w:rsid w:val="001D615D"/>
    <w:rsid w:val="001D6694"/>
    <w:rsid w:val="001D79B7"/>
    <w:rsid w:val="001E0C42"/>
    <w:rsid w:val="001E1254"/>
    <w:rsid w:val="001E222D"/>
    <w:rsid w:val="001E2592"/>
    <w:rsid w:val="001E27B0"/>
    <w:rsid w:val="001E41EC"/>
    <w:rsid w:val="001E6599"/>
    <w:rsid w:val="001E6F58"/>
    <w:rsid w:val="001F2780"/>
    <w:rsid w:val="001F2A43"/>
    <w:rsid w:val="001F3253"/>
    <w:rsid w:val="001F46A8"/>
    <w:rsid w:val="001F5057"/>
    <w:rsid w:val="001F5144"/>
    <w:rsid w:val="0020313C"/>
    <w:rsid w:val="0020343A"/>
    <w:rsid w:val="002034F2"/>
    <w:rsid w:val="002038F1"/>
    <w:rsid w:val="00203A5F"/>
    <w:rsid w:val="002046F0"/>
    <w:rsid w:val="00210F8D"/>
    <w:rsid w:val="00212A29"/>
    <w:rsid w:val="00213544"/>
    <w:rsid w:val="002156AF"/>
    <w:rsid w:val="00216032"/>
    <w:rsid w:val="00216664"/>
    <w:rsid w:val="002167C2"/>
    <w:rsid w:val="00220170"/>
    <w:rsid w:val="002214B5"/>
    <w:rsid w:val="002214F8"/>
    <w:rsid w:val="0022260C"/>
    <w:rsid w:val="00223746"/>
    <w:rsid w:val="00225081"/>
    <w:rsid w:val="00226496"/>
    <w:rsid w:val="002309AF"/>
    <w:rsid w:val="002329A8"/>
    <w:rsid w:val="00232E9E"/>
    <w:rsid w:val="00233060"/>
    <w:rsid w:val="00243E62"/>
    <w:rsid w:val="002442FC"/>
    <w:rsid w:val="002473CE"/>
    <w:rsid w:val="00250FDE"/>
    <w:rsid w:val="002527A6"/>
    <w:rsid w:val="002606B3"/>
    <w:rsid w:val="002615F0"/>
    <w:rsid w:val="00262E10"/>
    <w:rsid w:val="00263B88"/>
    <w:rsid w:val="002653B8"/>
    <w:rsid w:val="002653EC"/>
    <w:rsid w:val="0027122B"/>
    <w:rsid w:val="002713BB"/>
    <w:rsid w:val="002713EE"/>
    <w:rsid w:val="00271C99"/>
    <w:rsid w:val="00271DDE"/>
    <w:rsid w:val="00273B3E"/>
    <w:rsid w:val="002750A4"/>
    <w:rsid w:val="002757D7"/>
    <w:rsid w:val="002762EF"/>
    <w:rsid w:val="00276A4B"/>
    <w:rsid w:val="00276C33"/>
    <w:rsid w:val="00281A1D"/>
    <w:rsid w:val="002835F8"/>
    <w:rsid w:val="00283995"/>
    <w:rsid w:val="0028500A"/>
    <w:rsid w:val="00285918"/>
    <w:rsid w:val="0029091A"/>
    <w:rsid w:val="00291F35"/>
    <w:rsid w:val="00292B96"/>
    <w:rsid w:val="00294E4B"/>
    <w:rsid w:val="00296718"/>
    <w:rsid w:val="002976D0"/>
    <w:rsid w:val="00297D00"/>
    <w:rsid w:val="002A2327"/>
    <w:rsid w:val="002A34AD"/>
    <w:rsid w:val="002A4041"/>
    <w:rsid w:val="002A4A7F"/>
    <w:rsid w:val="002A5A2C"/>
    <w:rsid w:val="002A64A9"/>
    <w:rsid w:val="002B0645"/>
    <w:rsid w:val="002B09B7"/>
    <w:rsid w:val="002B1972"/>
    <w:rsid w:val="002B31F5"/>
    <w:rsid w:val="002B4870"/>
    <w:rsid w:val="002B5108"/>
    <w:rsid w:val="002B532F"/>
    <w:rsid w:val="002B651C"/>
    <w:rsid w:val="002B6908"/>
    <w:rsid w:val="002C0857"/>
    <w:rsid w:val="002C33B8"/>
    <w:rsid w:val="002C3C2B"/>
    <w:rsid w:val="002C3F62"/>
    <w:rsid w:val="002C5E5A"/>
    <w:rsid w:val="002D24E2"/>
    <w:rsid w:val="002D3346"/>
    <w:rsid w:val="002D5CBA"/>
    <w:rsid w:val="002D735A"/>
    <w:rsid w:val="002E009F"/>
    <w:rsid w:val="002E0E89"/>
    <w:rsid w:val="002E149A"/>
    <w:rsid w:val="002E2256"/>
    <w:rsid w:val="002E2F39"/>
    <w:rsid w:val="002E6C7B"/>
    <w:rsid w:val="002E79ED"/>
    <w:rsid w:val="002E7CE0"/>
    <w:rsid w:val="002E7E1A"/>
    <w:rsid w:val="002F0A54"/>
    <w:rsid w:val="002F4548"/>
    <w:rsid w:val="002F64AD"/>
    <w:rsid w:val="002F6837"/>
    <w:rsid w:val="00303502"/>
    <w:rsid w:val="003039B8"/>
    <w:rsid w:val="00305A28"/>
    <w:rsid w:val="00307236"/>
    <w:rsid w:val="00310207"/>
    <w:rsid w:val="00310528"/>
    <w:rsid w:val="00311164"/>
    <w:rsid w:val="00311355"/>
    <w:rsid w:val="00314287"/>
    <w:rsid w:val="00315672"/>
    <w:rsid w:val="00316D37"/>
    <w:rsid w:val="0031740F"/>
    <w:rsid w:val="003178EE"/>
    <w:rsid w:val="00321948"/>
    <w:rsid w:val="00323A22"/>
    <w:rsid w:val="00326894"/>
    <w:rsid w:val="003271F1"/>
    <w:rsid w:val="00331172"/>
    <w:rsid w:val="00333F25"/>
    <w:rsid w:val="003403FB"/>
    <w:rsid w:val="0034392A"/>
    <w:rsid w:val="003446D7"/>
    <w:rsid w:val="00345726"/>
    <w:rsid w:val="003466DD"/>
    <w:rsid w:val="00346832"/>
    <w:rsid w:val="00347EE2"/>
    <w:rsid w:val="00350748"/>
    <w:rsid w:val="003517BB"/>
    <w:rsid w:val="00353FEC"/>
    <w:rsid w:val="00355D1F"/>
    <w:rsid w:val="003621C9"/>
    <w:rsid w:val="00363D31"/>
    <w:rsid w:val="00365196"/>
    <w:rsid w:val="00366F57"/>
    <w:rsid w:val="003716CF"/>
    <w:rsid w:val="00372C6D"/>
    <w:rsid w:val="003740B9"/>
    <w:rsid w:val="00374FD3"/>
    <w:rsid w:val="003804AC"/>
    <w:rsid w:val="00380FD4"/>
    <w:rsid w:val="0038226B"/>
    <w:rsid w:val="003863ED"/>
    <w:rsid w:val="003903A2"/>
    <w:rsid w:val="00392949"/>
    <w:rsid w:val="00393346"/>
    <w:rsid w:val="00393CE2"/>
    <w:rsid w:val="00395A0D"/>
    <w:rsid w:val="00396CAD"/>
    <w:rsid w:val="003A13C4"/>
    <w:rsid w:val="003A3628"/>
    <w:rsid w:val="003A36E2"/>
    <w:rsid w:val="003A4EBC"/>
    <w:rsid w:val="003A4F09"/>
    <w:rsid w:val="003A73B3"/>
    <w:rsid w:val="003B0042"/>
    <w:rsid w:val="003B078A"/>
    <w:rsid w:val="003B2411"/>
    <w:rsid w:val="003B2A5E"/>
    <w:rsid w:val="003B3DC8"/>
    <w:rsid w:val="003B4649"/>
    <w:rsid w:val="003B50E9"/>
    <w:rsid w:val="003B6D66"/>
    <w:rsid w:val="003B71CA"/>
    <w:rsid w:val="003C0593"/>
    <w:rsid w:val="003C1DF0"/>
    <w:rsid w:val="003C4EA4"/>
    <w:rsid w:val="003C6EAE"/>
    <w:rsid w:val="003C77EB"/>
    <w:rsid w:val="003C7941"/>
    <w:rsid w:val="003C7B33"/>
    <w:rsid w:val="003D0AE3"/>
    <w:rsid w:val="003D1E79"/>
    <w:rsid w:val="003D24B7"/>
    <w:rsid w:val="003D39E5"/>
    <w:rsid w:val="003D67A3"/>
    <w:rsid w:val="003E16AF"/>
    <w:rsid w:val="003E30C7"/>
    <w:rsid w:val="003E3253"/>
    <w:rsid w:val="003E3808"/>
    <w:rsid w:val="003E459C"/>
    <w:rsid w:val="003E4730"/>
    <w:rsid w:val="003E71F5"/>
    <w:rsid w:val="003F15CB"/>
    <w:rsid w:val="003F1F72"/>
    <w:rsid w:val="003F4519"/>
    <w:rsid w:val="003F46C9"/>
    <w:rsid w:val="003F67E1"/>
    <w:rsid w:val="004017B3"/>
    <w:rsid w:val="00402543"/>
    <w:rsid w:val="00403DA0"/>
    <w:rsid w:val="00404B5E"/>
    <w:rsid w:val="00404DAA"/>
    <w:rsid w:val="004056C8"/>
    <w:rsid w:val="00405960"/>
    <w:rsid w:val="00405DEC"/>
    <w:rsid w:val="00416E09"/>
    <w:rsid w:val="004175C2"/>
    <w:rsid w:val="00420D1D"/>
    <w:rsid w:val="00420F57"/>
    <w:rsid w:val="00422476"/>
    <w:rsid w:val="00422F4C"/>
    <w:rsid w:val="00423F03"/>
    <w:rsid w:val="00424A7E"/>
    <w:rsid w:val="00424AD6"/>
    <w:rsid w:val="004250A2"/>
    <w:rsid w:val="0042616F"/>
    <w:rsid w:val="0043034E"/>
    <w:rsid w:val="004332AF"/>
    <w:rsid w:val="004342EA"/>
    <w:rsid w:val="004363C7"/>
    <w:rsid w:val="004430EC"/>
    <w:rsid w:val="00443FE5"/>
    <w:rsid w:val="00446074"/>
    <w:rsid w:val="0044727A"/>
    <w:rsid w:val="00450094"/>
    <w:rsid w:val="0045456D"/>
    <w:rsid w:val="00455CF6"/>
    <w:rsid w:val="00456F36"/>
    <w:rsid w:val="00461382"/>
    <w:rsid w:val="00461FB4"/>
    <w:rsid w:val="00462BF4"/>
    <w:rsid w:val="004632C4"/>
    <w:rsid w:val="00463E52"/>
    <w:rsid w:val="004664E9"/>
    <w:rsid w:val="00467E6C"/>
    <w:rsid w:val="00470B44"/>
    <w:rsid w:val="00471679"/>
    <w:rsid w:val="004739C0"/>
    <w:rsid w:val="00476497"/>
    <w:rsid w:val="004805BB"/>
    <w:rsid w:val="00481E5B"/>
    <w:rsid w:val="00484B52"/>
    <w:rsid w:val="00485DD9"/>
    <w:rsid w:val="004863BD"/>
    <w:rsid w:val="00486B4C"/>
    <w:rsid w:val="00490F90"/>
    <w:rsid w:val="00491064"/>
    <w:rsid w:val="0049151E"/>
    <w:rsid w:val="00491C97"/>
    <w:rsid w:val="00492C2C"/>
    <w:rsid w:val="00495EBE"/>
    <w:rsid w:val="004965BD"/>
    <w:rsid w:val="004A23A4"/>
    <w:rsid w:val="004A32DB"/>
    <w:rsid w:val="004A3417"/>
    <w:rsid w:val="004A49F0"/>
    <w:rsid w:val="004A5ADA"/>
    <w:rsid w:val="004B39D1"/>
    <w:rsid w:val="004B4847"/>
    <w:rsid w:val="004B4973"/>
    <w:rsid w:val="004B5B2D"/>
    <w:rsid w:val="004B6402"/>
    <w:rsid w:val="004B6FCA"/>
    <w:rsid w:val="004C6776"/>
    <w:rsid w:val="004C78AF"/>
    <w:rsid w:val="004D10AF"/>
    <w:rsid w:val="004D24AF"/>
    <w:rsid w:val="004D3D5C"/>
    <w:rsid w:val="004D6003"/>
    <w:rsid w:val="004E1D4C"/>
    <w:rsid w:val="004E1E84"/>
    <w:rsid w:val="004E333D"/>
    <w:rsid w:val="004E3DE5"/>
    <w:rsid w:val="004E462F"/>
    <w:rsid w:val="004E5558"/>
    <w:rsid w:val="004E5710"/>
    <w:rsid w:val="004E6AA5"/>
    <w:rsid w:val="004F20F0"/>
    <w:rsid w:val="004F2314"/>
    <w:rsid w:val="004F2577"/>
    <w:rsid w:val="004F2987"/>
    <w:rsid w:val="004F5169"/>
    <w:rsid w:val="004F5558"/>
    <w:rsid w:val="004F68ED"/>
    <w:rsid w:val="005035FC"/>
    <w:rsid w:val="005037D9"/>
    <w:rsid w:val="00503C46"/>
    <w:rsid w:val="00503C5F"/>
    <w:rsid w:val="00503D8A"/>
    <w:rsid w:val="00507F43"/>
    <w:rsid w:val="005108FA"/>
    <w:rsid w:val="00514BB2"/>
    <w:rsid w:val="00515A45"/>
    <w:rsid w:val="00522A08"/>
    <w:rsid w:val="00524CF1"/>
    <w:rsid w:val="00527836"/>
    <w:rsid w:val="0053179B"/>
    <w:rsid w:val="0053232F"/>
    <w:rsid w:val="00534842"/>
    <w:rsid w:val="00534A43"/>
    <w:rsid w:val="00535691"/>
    <w:rsid w:val="0053580E"/>
    <w:rsid w:val="00540C2E"/>
    <w:rsid w:val="00540E04"/>
    <w:rsid w:val="0054511E"/>
    <w:rsid w:val="00545EFB"/>
    <w:rsid w:val="00545F23"/>
    <w:rsid w:val="00551EC5"/>
    <w:rsid w:val="00551F9A"/>
    <w:rsid w:val="00553760"/>
    <w:rsid w:val="0055506C"/>
    <w:rsid w:val="00556F73"/>
    <w:rsid w:val="00560413"/>
    <w:rsid w:val="005611F9"/>
    <w:rsid w:val="0056369B"/>
    <w:rsid w:val="00565B8D"/>
    <w:rsid w:val="00567A5F"/>
    <w:rsid w:val="00572246"/>
    <w:rsid w:val="005759A0"/>
    <w:rsid w:val="005771D3"/>
    <w:rsid w:val="005811F7"/>
    <w:rsid w:val="00581834"/>
    <w:rsid w:val="00582635"/>
    <w:rsid w:val="0058342E"/>
    <w:rsid w:val="00584193"/>
    <w:rsid w:val="0058596E"/>
    <w:rsid w:val="00590AA4"/>
    <w:rsid w:val="005924DC"/>
    <w:rsid w:val="005975B0"/>
    <w:rsid w:val="005A1555"/>
    <w:rsid w:val="005A1FCE"/>
    <w:rsid w:val="005A23CC"/>
    <w:rsid w:val="005A2955"/>
    <w:rsid w:val="005A4549"/>
    <w:rsid w:val="005A4764"/>
    <w:rsid w:val="005B0697"/>
    <w:rsid w:val="005B0BED"/>
    <w:rsid w:val="005B1644"/>
    <w:rsid w:val="005B444E"/>
    <w:rsid w:val="005B450B"/>
    <w:rsid w:val="005B5D15"/>
    <w:rsid w:val="005B6145"/>
    <w:rsid w:val="005C0BB7"/>
    <w:rsid w:val="005C23B9"/>
    <w:rsid w:val="005C3D13"/>
    <w:rsid w:val="005C4A97"/>
    <w:rsid w:val="005C5400"/>
    <w:rsid w:val="005C5FE3"/>
    <w:rsid w:val="005C6597"/>
    <w:rsid w:val="005D096A"/>
    <w:rsid w:val="005D1433"/>
    <w:rsid w:val="005D3DF9"/>
    <w:rsid w:val="005E0017"/>
    <w:rsid w:val="005E004F"/>
    <w:rsid w:val="005E0BF0"/>
    <w:rsid w:val="005E2A50"/>
    <w:rsid w:val="005E2C97"/>
    <w:rsid w:val="005E40D2"/>
    <w:rsid w:val="005E4A3D"/>
    <w:rsid w:val="005E5115"/>
    <w:rsid w:val="005E6E15"/>
    <w:rsid w:val="005E70E0"/>
    <w:rsid w:val="005E7573"/>
    <w:rsid w:val="005F132A"/>
    <w:rsid w:val="005F1CD9"/>
    <w:rsid w:val="005F1E85"/>
    <w:rsid w:val="005F2D64"/>
    <w:rsid w:val="0060054B"/>
    <w:rsid w:val="00600F4A"/>
    <w:rsid w:val="00603734"/>
    <w:rsid w:val="00603B51"/>
    <w:rsid w:val="00615415"/>
    <w:rsid w:val="006203EC"/>
    <w:rsid w:val="00623F95"/>
    <w:rsid w:val="00626FCA"/>
    <w:rsid w:val="006319D8"/>
    <w:rsid w:val="00632780"/>
    <w:rsid w:val="00632BE5"/>
    <w:rsid w:val="00633B4B"/>
    <w:rsid w:val="00633B8C"/>
    <w:rsid w:val="006363B9"/>
    <w:rsid w:val="0063648F"/>
    <w:rsid w:val="00637060"/>
    <w:rsid w:val="00640E27"/>
    <w:rsid w:val="00642487"/>
    <w:rsid w:val="00643706"/>
    <w:rsid w:val="00643FBE"/>
    <w:rsid w:val="00644ED0"/>
    <w:rsid w:val="0064522F"/>
    <w:rsid w:val="00652853"/>
    <w:rsid w:val="00652A57"/>
    <w:rsid w:val="006575AA"/>
    <w:rsid w:val="00670C1E"/>
    <w:rsid w:val="006720C2"/>
    <w:rsid w:val="0067653A"/>
    <w:rsid w:val="006767FC"/>
    <w:rsid w:val="00676B04"/>
    <w:rsid w:val="006807B7"/>
    <w:rsid w:val="006808F9"/>
    <w:rsid w:val="00681928"/>
    <w:rsid w:val="00682D14"/>
    <w:rsid w:val="00683940"/>
    <w:rsid w:val="00683F47"/>
    <w:rsid w:val="00685447"/>
    <w:rsid w:val="006921AB"/>
    <w:rsid w:val="0069362F"/>
    <w:rsid w:val="006936FD"/>
    <w:rsid w:val="006939D3"/>
    <w:rsid w:val="00693EAC"/>
    <w:rsid w:val="006942FD"/>
    <w:rsid w:val="006A033F"/>
    <w:rsid w:val="006A17DD"/>
    <w:rsid w:val="006A405A"/>
    <w:rsid w:val="006A55C4"/>
    <w:rsid w:val="006A59DA"/>
    <w:rsid w:val="006A678F"/>
    <w:rsid w:val="006A7583"/>
    <w:rsid w:val="006B26D8"/>
    <w:rsid w:val="006B3D6C"/>
    <w:rsid w:val="006B4426"/>
    <w:rsid w:val="006B52BC"/>
    <w:rsid w:val="006C15F5"/>
    <w:rsid w:val="006C3089"/>
    <w:rsid w:val="006C58EF"/>
    <w:rsid w:val="006C6AE3"/>
    <w:rsid w:val="006D2BA4"/>
    <w:rsid w:val="006D5C48"/>
    <w:rsid w:val="006D5CA7"/>
    <w:rsid w:val="006D60FD"/>
    <w:rsid w:val="006D6824"/>
    <w:rsid w:val="006E1824"/>
    <w:rsid w:val="006E19BF"/>
    <w:rsid w:val="006E2D3B"/>
    <w:rsid w:val="006E326B"/>
    <w:rsid w:val="006F23F4"/>
    <w:rsid w:val="006F257B"/>
    <w:rsid w:val="006F366A"/>
    <w:rsid w:val="007021BE"/>
    <w:rsid w:val="0070303B"/>
    <w:rsid w:val="0070473A"/>
    <w:rsid w:val="007053BC"/>
    <w:rsid w:val="00706C59"/>
    <w:rsid w:val="007077CF"/>
    <w:rsid w:val="007100B6"/>
    <w:rsid w:val="00710179"/>
    <w:rsid w:val="007105C8"/>
    <w:rsid w:val="00710E00"/>
    <w:rsid w:val="0071466D"/>
    <w:rsid w:val="0071570F"/>
    <w:rsid w:val="007207BC"/>
    <w:rsid w:val="00720DEA"/>
    <w:rsid w:val="00721384"/>
    <w:rsid w:val="00721E64"/>
    <w:rsid w:val="00721E82"/>
    <w:rsid w:val="007262E5"/>
    <w:rsid w:val="00730434"/>
    <w:rsid w:val="007308F5"/>
    <w:rsid w:val="0073105C"/>
    <w:rsid w:val="007313DA"/>
    <w:rsid w:val="00732519"/>
    <w:rsid w:val="007329D8"/>
    <w:rsid w:val="007402B8"/>
    <w:rsid w:val="00742C1F"/>
    <w:rsid w:val="00745C66"/>
    <w:rsid w:val="007471BC"/>
    <w:rsid w:val="0075223D"/>
    <w:rsid w:val="007545DF"/>
    <w:rsid w:val="00755EBE"/>
    <w:rsid w:val="0075604B"/>
    <w:rsid w:val="0075733E"/>
    <w:rsid w:val="00757B26"/>
    <w:rsid w:val="00760471"/>
    <w:rsid w:val="007609B2"/>
    <w:rsid w:val="00761950"/>
    <w:rsid w:val="00763BB3"/>
    <w:rsid w:val="00764C3D"/>
    <w:rsid w:val="007652E4"/>
    <w:rsid w:val="00771B25"/>
    <w:rsid w:val="0077659F"/>
    <w:rsid w:val="00777E8C"/>
    <w:rsid w:val="00781223"/>
    <w:rsid w:val="007812C0"/>
    <w:rsid w:val="00781B0F"/>
    <w:rsid w:val="007851B2"/>
    <w:rsid w:val="00785DD3"/>
    <w:rsid w:val="007864A8"/>
    <w:rsid w:val="007864DE"/>
    <w:rsid w:val="00786A21"/>
    <w:rsid w:val="00786FF3"/>
    <w:rsid w:val="007930C3"/>
    <w:rsid w:val="007957A0"/>
    <w:rsid w:val="007A16F8"/>
    <w:rsid w:val="007A2CC9"/>
    <w:rsid w:val="007A407A"/>
    <w:rsid w:val="007A407F"/>
    <w:rsid w:val="007A4974"/>
    <w:rsid w:val="007A59FD"/>
    <w:rsid w:val="007B06DA"/>
    <w:rsid w:val="007B433D"/>
    <w:rsid w:val="007C06ED"/>
    <w:rsid w:val="007C0E42"/>
    <w:rsid w:val="007C1D40"/>
    <w:rsid w:val="007C3259"/>
    <w:rsid w:val="007C5693"/>
    <w:rsid w:val="007C5D1B"/>
    <w:rsid w:val="007C76C2"/>
    <w:rsid w:val="007D01AC"/>
    <w:rsid w:val="007D1132"/>
    <w:rsid w:val="007D1B04"/>
    <w:rsid w:val="007D2734"/>
    <w:rsid w:val="007D398D"/>
    <w:rsid w:val="007D3B12"/>
    <w:rsid w:val="007D4C31"/>
    <w:rsid w:val="007D51A5"/>
    <w:rsid w:val="007E2B65"/>
    <w:rsid w:val="007E3B69"/>
    <w:rsid w:val="007E3E1E"/>
    <w:rsid w:val="007E6C0D"/>
    <w:rsid w:val="007F18E5"/>
    <w:rsid w:val="007F4069"/>
    <w:rsid w:val="007F52BF"/>
    <w:rsid w:val="007F53E5"/>
    <w:rsid w:val="007F62DE"/>
    <w:rsid w:val="007F691D"/>
    <w:rsid w:val="007F6E71"/>
    <w:rsid w:val="00800E99"/>
    <w:rsid w:val="00801B6F"/>
    <w:rsid w:val="00803713"/>
    <w:rsid w:val="0080556B"/>
    <w:rsid w:val="008056AE"/>
    <w:rsid w:val="00806443"/>
    <w:rsid w:val="00814628"/>
    <w:rsid w:val="00820C0A"/>
    <w:rsid w:val="00820D2E"/>
    <w:rsid w:val="00822123"/>
    <w:rsid w:val="00823179"/>
    <w:rsid w:val="0082508A"/>
    <w:rsid w:val="00826F8A"/>
    <w:rsid w:val="00827FB8"/>
    <w:rsid w:val="008338FA"/>
    <w:rsid w:val="00834DBD"/>
    <w:rsid w:val="00835230"/>
    <w:rsid w:val="00835669"/>
    <w:rsid w:val="00836222"/>
    <w:rsid w:val="008362E5"/>
    <w:rsid w:val="00841563"/>
    <w:rsid w:val="00843C04"/>
    <w:rsid w:val="00847B4C"/>
    <w:rsid w:val="00851239"/>
    <w:rsid w:val="00852894"/>
    <w:rsid w:val="008528F6"/>
    <w:rsid w:val="00854829"/>
    <w:rsid w:val="00857C10"/>
    <w:rsid w:val="00860057"/>
    <w:rsid w:val="00863947"/>
    <w:rsid w:val="00863A59"/>
    <w:rsid w:val="00864E19"/>
    <w:rsid w:val="00865F10"/>
    <w:rsid w:val="008663E4"/>
    <w:rsid w:val="00867C95"/>
    <w:rsid w:val="0087023E"/>
    <w:rsid w:val="00870255"/>
    <w:rsid w:val="00871F68"/>
    <w:rsid w:val="0087345F"/>
    <w:rsid w:val="00875AC9"/>
    <w:rsid w:val="00877B17"/>
    <w:rsid w:val="00882C51"/>
    <w:rsid w:val="008849BB"/>
    <w:rsid w:val="00884E41"/>
    <w:rsid w:val="00887DC1"/>
    <w:rsid w:val="00890D4F"/>
    <w:rsid w:val="0089212C"/>
    <w:rsid w:val="008927FF"/>
    <w:rsid w:val="0089702E"/>
    <w:rsid w:val="008A0EA0"/>
    <w:rsid w:val="008A3AA9"/>
    <w:rsid w:val="008A5DC4"/>
    <w:rsid w:val="008A5F47"/>
    <w:rsid w:val="008A7B34"/>
    <w:rsid w:val="008B0CBD"/>
    <w:rsid w:val="008B0FEE"/>
    <w:rsid w:val="008B178C"/>
    <w:rsid w:val="008B3B20"/>
    <w:rsid w:val="008B62D4"/>
    <w:rsid w:val="008B699E"/>
    <w:rsid w:val="008C47E8"/>
    <w:rsid w:val="008C4E82"/>
    <w:rsid w:val="008C5760"/>
    <w:rsid w:val="008D3024"/>
    <w:rsid w:val="008D5E4B"/>
    <w:rsid w:val="008D69ED"/>
    <w:rsid w:val="008E2D9C"/>
    <w:rsid w:val="008E419B"/>
    <w:rsid w:val="008E57BC"/>
    <w:rsid w:val="008E69B9"/>
    <w:rsid w:val="008E7097"/>
    <w:rsid w:val="008F09B6"/>
    <w:rsid w:val="008F0E38"/>
    <w:rsid w:val="008F1633"/>
    <w:rsid w:val="008F217F"/>
    <w:rsid w:val="008F3A5F"/>
    <w:rsid w:val="008F56A8"/>
    <w:rsid w:val="008F6436"/>
    <w:rsid w:val="00902BA4"/>
    <w:rsid w:val="009035FD"/>
    <w:rsid w:val="00903A48"/>
    <w:rsid w:val="00905109"/>
    <w:rsid w:val="009057F6"/>
    <w:rsid w:val="009062C1"/>
    <w:rsid w:val="00906B9F"/>
    <w:rsid w:val="00911043"/>
    <w:rsid w:val="009118DF"/>
    <w:rsid w:val="0091448E"/>
    <w:rsid w:val="009148B8"/>
    <w:rsid w:val="00915258"/>
    <w:rsid w:val="00916B72"/>
    <w:rsid w:val="00917720"/>
    <w:rsid w:val="00920B08"/>
    <w:rsid w:val="0092113B"/>
    <w:rsid w:val="00922314"/>
    <w:rsid w:val="00923799"/>
    <w:rsid w:val="009263D0"/>
    <w:rsid w:val="0092747E"/>
    <w:rsid w:val="00930AEC"/>
    <w:rsid w:val="00932023"/>
    <w:rsid w:val="009331E3"/>
    <w:rsid w:val="0093637A"/>
    <w:rsid w:val="00940955"/>
    <w:rsid w:val="0094197C"/>
    <w:rsid w:val="00941990"/>
    <w:rsid w:val="00941B81"/>
    <w:rsid w:val="00943DAE"/>
    <w:rsid w:val="00950415"/>
    <w:rsid w:val="009509F8"/>
    <w:rsid w:val="00952502"/>
    <w:rsid w:val="00954319"/>
    <w:rsid w:val="009616AE"/>
    <w:rsid w:val="00961E08"/>
    <w:rsid w:val="009620E1"/>
    <w:rsid w:val="0096267D"/>
    <w:rsid w:val="009656D7"/>
    <w:rsid w:val="0096646A"/>
    <w:rsid w:val="00966553"/>
    <w:rsid w:val="00972A99"/>
    <w:rsid w:val="00973887"/>
    <w:rsid w:val="00974533"/>
    <w:rsid w:val="00980311"/>
    <w:rsid w:val="009836D0"/>
    <w:rsid w:val="00983E2A"/>
    <w:rsid w:val="00985C66"/>
    <w:rsid w:val="00985FE6"/>
    <w:rsid w:val="009875BF"/>
    <w:rsid w:val="00991211"/>
    <w:rsid w:val="009918B5"/>
    <w:rsid w:val="00992DC1"/>
    <w:rsid w:val="00994FED"/>
    <w:rsid w:val="00996982"/>
    <w:rsid w:val="009A209F"/>
    <w:rsid w:val="009A34BC"/>
    <w:rsid w:val="009A3A73"/>
    <w:rsid w:val="009B080F"/>
    <w:rsid w:val="009B0E43"/>
    <w:rsid w:val="009B3DA6"/>
    <w:rsid w:val="009B52B2"/>
    <w:rsid w:val="009B79B3"/>
    <w:rsid w:val="009B7BB1"/>
    <w:rsid w:val="009C06A8"/>
    <w:rsid w:val="009C1D63"/>
    <w:rsid w:val="009C2B11"/>
    <w:rsid w:val="009C316F"/>
    <w:rsid w:val="009C38C4"/>
    <w:rsid w:val="009C3E91"/>
    <w:rsid w:val="009C4CC4"/>
    <w:rsid w:val="009C6CAB"/>
    <w:rsid w:val="009C7EF8"/>
    <w:rsid w:val="009D166D"/>
    <w:rsid w:val="009D2CA1"/>
    <w:rsid w:val="009D4439"/>
    <w:rsid w:val="009D4520"/>
    <w:rsid w:val="009D7572"/>
    <w:rsid w:val="009E0F82"/>
    <w:rsid w:val="009E1129"/>
    <w:rsid w:val="009E2DFC"/>
    <w:rsid w:val="009E2E45"/>
    <w:rsid w:val="009E5D36"/>
    <w:rsid w:val="009E6185"/>
    <w:rsid w:val="009E726A"/>
    <w:rsid w:val="009F03CB"/>
    <w:rsid w:val="009F0C05"/>
    <w:rsid w:val="009F2124"/>
    <w:rsid w:val="009F23A2"/>
    <w:rsid w:val="009F29C3"/>
    <w:rsid w:val="009F2AD1"/>
    <w:rsid w:val="009F315A"/>
    <w:rsid w:val="00A00DE3"/>
    <w:rsid w:val="00A0114E"/>
    <w:rsid w:val="00A03415"/>
    <w:rsid w:val="00A05C68"/>
    <w:rsid w:val="00A063D8"/>
    <w:rsid w:val="00A10D0B"/>
    <w:rsid w:val="00A113E7"/>
    <w:rsid w:val="00A1172A"/>
    <w:rsid w:val="00A11943"/>
    <w:rsid w:val="00A2011E"/>
    <w:rsid w:val="00A204EF"/>
    <w:rsid w:val="00A21353"/>
    <w:rsid w:val="00A241DB"/>
    <w:rsid w:val="00A2484E"/>
    <w:rsid w:val="00A24DDC"/>
    <w:rsid w:val="00A25B96"/>
    <w:rsid w:val="00A26791"/>
    <w:rsid w:val="00A30064"/>
    <w:rsid w:val="00A31D71"/>
    <w:rsid w:val="00A326CE"/>
    <w:rsid w:val="00A32E3F"/>
    <w:rsid w:val="00A33CF9"/>
    <w:rsid w:val="00A34BB7"/>
    <w:rsid w:val="00A3573D"/>
    <w:rsid w:val="00A36B19"/>
    <w:rsid w:val="00A40146"/>
    <w:rsid w:val="00A42D1E"/>
    <w:rsid w:val="00A43604"/>
    <w:rsid w:val="00A441DA"/>
    <w:rsid w:val="00A517F3"/>
    <w:rsid w:val="00A560FC"/>
    <w:rsid w:val="00A56661"/>
    <w:rsid w:val="00A57116"/>
    <w:rsid w:val="00A6098D"/>
    <w:rsid w:val="00A62EE4"/>
    <w:rsid w:val="00A64653"/>
    <w:rsid w:val="00A66168"/>
    <w:rsid w:val="00A67153"/>
    <w:rsid w:val="00A751C0"/>
    <w:rsid w:val="00A770BD"/>
    <w:rsid w:val="00A77EA2"/>
    <w:rsid w:val="00A8080B"/>
    <w:rsid w:val="00A8365E"/>
    <w:rsid w:val="00A84C32"/>
    <w:rsid w:val="00A852F3"/>
    <w:rsid w:val="00A8608F"/>
    <w:rsid w:val="00A87A08"/>
    <w:rsid w:val="00A87A98"/>
    <w:rsid w:val="00A92170"/>
    <w:rsid w:val="00A921D1"/>
    <w:rsid w:val="00A92426"/>
    <w:rsid w:val="00A94B1B"/>
    <w:rsid w:val="00A951D8"/>
    <w:rsid w:val="00A9598D"/>
    <w:rsid w:val="00A95DC7"/>
    <w:rsid w:val="00A979EE"/>
    <w:rsid w:val="00A97BB6"/>
    <w:rsid w:val="00AA17BC"/>
    <w:rsid w:val="00AA20C9"/>
    <w:rsid w:val="00AA5AEF"/>
    <w:rsid w:val="00AA6A3D"/>
    <w:rsid w:val="00AB0F81"/>
    <w:rsid w:val="00AB2500"/>
    <w:rsid w:val="00AB2664"/>
    <w:rsid w:val="00AB327B"/>
    <w:rsid w:val="00AB3AE3"/>
    <w:rsid w:val="00AB3B65"/>
    <w:rsid w:val="00AB563E"/>
    <w:rsid w:val="00AB6A2F"/>
    <w:rsid w:val="00AC010B"/>
    <w:rsid w:val="00AC361D"/>
    <w:rsid w:val="00AC367F"/>
    <w:rsid w:val="00AC5ECC"/>
    <w:rsid w:val="00AD17E7"/>
    <w:rsid w:val="00AD3EE3"/>
    <w:rsid w:val="00AD7831"/>
    <w:rsid w:val="00AE2896"/>
    <w:rsid w:val="00AE4D8D"/>
    <w:rsid w:val="00AE581C"/>
    <w:rsid w:val="00AE68BB"/>
    <w:rsid w:val="00AF0115"/>
    <w:rsid w:val="00AF597B"/>
    <w:rsid w:val="00B00696"/>
    <w:rsid w:val="00B00FC5"/>
    <w:rsid w:val="00B011A4"/>
    <w:rsid w:val="00B0243F"/>
    <w:rsid w:val="00B05084"/>
    <w:rsid w:val="00B17B1C"/>
    <w:rsid w:val="00B2232A"/>
    <w:rsid w:val="00B244C3"/>
    <w:rsid w:val="00B25944"/>
    <w:rsid w:val="00B27750"/>
    <w:rsid w:val="00B31A3A"/>
    <w:rsid w:val="00B338A4"/>
    <w:rsid w:val="00B33C9D"/>
    <w:rsid w:val="00B354AF"/>
    <w:rsid w:val="00B35EAB"/>
    <w:rsid w:val="00B37275"/>
    <w:rsid w:val="00B40984"/>
    <w:rsid w:val="00B41EEA"/>
    <w:rsid w:val="00B45FA3"/>
    <w:rsid w:val="00B51B2F"/>
    <w:rsid w:val="00B547E4"/>
    <w:rsid w:val="00B55676"/>
    <w:rsid w:val="00B55B46"/>
    <w:rsid w:val="00B607D9"/>
    <w:rsid w:val="00B621C6"/>
    <w:rsid w:val="00B623A4"/>
    <w:rsid w:val="00B63CA4"/>
    <w:rsid w:val="00B651F9"/>
    <w:rsid w:val="00B65BEC"/>
    <w:rsid w:val="00B661E3"/>
    <w:rsid w:val="00B67703"/>
    <w:rsid w:val="00B71AB7"/>
    <w:rsid w:val="00B723F5"/>
    <w:rsid w:val="00B742B4"/>
    <w:rsid w:val="00B80085"/>
    <w:rsid w:val="00B8118C"/>
    <w:rsid w:val="00B82BBE"/>
    <w:rsid w:val="00B82C54"/>
    <w:rsid w:val="00B85571"/>
    <w:rsid w:val="00B901CD"/>
    <w:rsid w:val="00B903F0"/>
    <w:rsid w:val="00B946E4"/>
    <w:rsid w:val="00B97000"/>
    <w:rsid w:val="00B9772A"/>
    <w:rsid w:val="00B97A92"/>
    <w:rsid w:val="00BA0E3D"/>
    <w:rsid w:val="00BA0E6B"/>
    <w:rsid w:val="00BA379E"/>
    <w:rsid w:val="00BA785D"/>
    <w:rsid w:val="00BA7BE2"/>
    <w:rsid w:val="00BB08A0"/>
    <w:rsid w:val="00BB18F6"/>
    <w:rsid w:val="00BB53FE"/>
    <w:rsid w:val="00BC03D4"/>
    <w:rsid w:val="00BC07AF"/>
    <w:rsid w:val="00BC1227"/>
    <w:rsid w:val="00BC328F"/>
    <w:rsid w:val="00BC406E"/>
    <w:rsid w:val="00BC522C"/>
    <w:rsid w:val="00BC5944"/>
    <w:rsid w:val="00BC5DBE"/>
    <w:rsid w:val="00BD6D2E"/>
    <w:rsid w:val="00BD7140"/>
    <w:rsid w:val="00BE381B"/>
    <w:rsid w:val="00BE3F90"/>
    <w:rsid w:val="00BF157C"/>
    <w:rsid w:val="00BF1F7D"/>
    <w:rsid w:val="00BF299F"/>
    <w:rsid w:val="00BF39AB"/>
    <w:rsid w:val="00BF4BEF"/>
    <w:rsid w:val="00C00C10"/>
    <w:rsid w:val="00C01B6C"/>
    <w:rsid w:val="00C0332B"/>
    <w:rsid w:val="00C035BD"/>
    <w:rsid w:val="00C037A8"/>
    <w:rsid w:val="00C10E57"/>
    <w:rsid w:val="00C11419"/>
    <w:rsid w:val="00C116C3"/>
    <w:rsid w:val="00C148FF"/>
    <w:rsid w:val="00C14C49"/>
    <w:rsid w:val="00C21360"/>
    <w:rsid w:val="00C22F88"/>
    <w:rsid w:val="00C23138"/>
    <w:rsid w:val="00C305F5"/>
    <w:rsid w:val="00C330E0"/>
    <w:rsid w:val="00C33B47"/>
    <w:rsid w:val="00C34B80"/>
    <w:rsid w:val="00C350BE"/>
    <w:rsid w:val="00C35248"/>
    <w:rsid w:val="00C35465"/>
    <w:rsid w:val="00C35CCF"/>
    <w:rsid w:val="00C40A36"/>
    <w:rsid w:val="00C42CC4"/>
    <w:rsid w:val="00C43D2F"/>
    <w:rsid w:val="00C47096"/>
    <w:rsid w:val="00C47170"/>
    <w:rsid w:val="00C5027A"/>
    <w:rsid w:val="00C5170E"/>
    <w:rsid w:val="00C52A2F"/>
    <w:rsid w:val="00C5380B"/>
    <w:rsid w:val="00C575BC"/>
    <w:rsid w:val="00C60CB6"/>
    <w:rsid w:val="00C625A6"/>
    <w:rsid w:val="00C646B8"/>
    <w:rsid w:val="00C64BB5"/>
    <w:rsid w:val="00C673EC"/>
    <w:rsid w:val="00C72477"/>
    <w:rsid w:val="00C741F8"/>
    <w:rsid w:val="00C74411"/>
    <w:rsid w:val="00C75B95"/>
    <w:rsid w:val="00C775B5"/>
    <w:rsid w:val="00C81A27"/>
    <w:rsid w:val="00C8234A"/>
    <w:rsid w:val="00C82E79"/>
    <w:rsid w:val="00C845B3"/>
    <w:rsid w:val="00C90B89"/>
    <w:rsid w:val="00C94481"/>
    <w:rsid w:val="00CA0F68"/>
    <w:rsid w:val="00CA711A"/>
    <w:rsid w:val="00CA7BEB"/>
    <w:rsid w:val="00CA7D9B"/>
    <w:rsid w:val="00CB1BD1"/>
    <w:rsid w:val="00CB3422"/>
    <w:rsid w:val="00CB53D8"/>
    <w:rsid w:val="00CB7983"/>
    <w:rsid w:val="00CC3B61"/>
    <w:rsid w:val="00CC48C0"/>
    <w:rsid w:val="00CC4CCA"/>
    <w:rsid w:val="00CC5BBD"/>
    <w:rsid w:val="00CC64D7"/>
    <w:rsid w:val="00CC68FE"/>
    <w:rsid w:val="00CD1095"/>
    <w:rsid w:val="00CD36C5"/>
    <w:rsid w:val="00CD3E9A"/>
    <w:rsid w:val="00CD4233"/>
    <w:rsid w:val="00CD53B2"/>
    <w:rsid w:val="00CD5A1A"/>
    <w:rsid w:val="00CD6B7E"/>
    <w:rsid w:val="00CE00AB"/>
    <w:rsid w:val="00CE5472"/>
    <w:rsid w:val="00CF3692"/>
    <w:rsid w:val="00D000E6"/>
    <w:rsid w:val="00D0533B"/>
    <w:rsid w:val="00D066A4"/>
    <w:rsid w:val="00D07AAA"/>
    <w:rsid w:val="00D07D55"/>
    <w:rsid w:val="00D10123"/>
    <w:rsid w:val="00D1047E"/>
    <w:rsid w:val="00D11750"/>
    <w:rsid w:val="00D11778"/>
    <w:rsid w:val="00D11E73"/>
    <w:rsid w:val="00D14C85"/>
    <w:rsid w:val="00D1703B"/>
    <w:rsid w:val="00D1741F"/>
    <w:rsid w:val="00D201F4"/>
    <w:rsid w:val="00D2157E"/>
    <w:rsid w:val="00D221C9"/>
    <w:rsid w:val="00D2241C"/>
    <w:rsid w:val="00D248C9"/>
    <w:rsid w:val="00D24B34"/>
    <w:rsid w:val="00D27AA0"/>
    <w:rsid w:val="00D27E01"/>
    <w:rsid w:val="00D31DE7"/>
    <w:rsid w:val="00D32C3F"/>
    <w:rsid w:val="00D34237"/>
    <w:rsid w:val="00D3705B"/>
    <w:rsid w:val="00D3734F"/>
    <w:rsid w:val="00D37FA3"/>
    <w:rsid w:val="00D4024D"/>
    <w:rsid w:val="00D41E73"/>
    <w:rsid w:val="00D424BF"/>
    <w:rsid w:val="00D437C2"/>
    <w:rsid w:val="00D44A27"/>
    <w:rsid w:val="00D44A5D"/>
    <w:rsid w:val="00D4653E"/>
    <w:rsid w:val="00D46DF0"/>
    <w:rsid w:val="00D47508"/>
    <w:rsid w:val="00D477A6"/>
    <w:rsid w:val="00D47A16"/>
    <w:rsid w:val="00D54408"/>
    <w:rsid w:val="00D55C9C"/>
    <w:rsid w:val="00D56ECB"/>
    <w:rsid w:val="00D613C8"/>
    <w:rsid w:val="00D63D77"/>
    <w:rsid w:val="00D65D29"/>
    <w:rsid w:val="00D7153E"/>
    <w:rsid w:val="00D72909"/>
    <w:rsid w:val="00D7353C"/>
    <w:rsid w:val="00D74C1A"/>
    <w:rsid w:val="00D753FD"/>
    <w:rsid w:val="00D77CDE"/>
    <w:rsid w:val="00D80533"/>
    <w:rsid w:val="00D81825"/>
    <w:rsid w:val="00D8305A"/>
    <w:rsid w:val="00D83C73"/>
    <w:rsid w:val="00D855BA"/>
    <w:rsid w:val="00D85F03"/>
    <w:rsid w:val="00D86181"/>
    <w:rsid w:val="00D91883"/>
    <w:rsid w:val="00D91D33"/>
    <w:rsid w:val="00D93E06"/>
    <w:rsid w:val="00DA0F28"/>
    <w:rsid w:val="00DA13DB"/>
    <w:rsid w:val="00DA1D7F"/>
    <w:rsid w:val="00DA4C19"/>
    <w:rsid w:val="00DA65AC"/>
    <w:rsid w:val="00DB581A"/>
    <w:rsid w:val="00DB739E"/>
    <w:rsid w:val="00DB7D97"/>
    <w:rsid w:val="00DC3A1B"/>
    <w:rsid w:val="00DC7666"/>
    <w:rsid w:val="00DC7B4B"/>
    <w:rsid w:val="00DD039A"/>
    <w:rsid w:val="00DD1786"/>
    <w:rsid w:val="00DD29FA"/>
    <w:rsid w:val="00DD343C"/>
    <w:rsid w:val="00DD570C"/>
    <w:rsid w:val="00DD6A73"/>
    <w:rsid w:val="00DD74CC"/>
    <w:rsid w:val="00DE0765"/>
    <w:rsid w:val="00DE7180"/>
    <w:rsid w:val="00DE7990"/>
    <w:rsid w:val="00DF057B"/>
    <w:rsid w:val="00DF0A03"/>
    <w:rsid w:val="00DF2AD3"/>
    <w:rsid w:val="00DF31E9"/>
    <w:rsid w:val="00E0018A"/>
    <w:rsid w:val="00E01D77"/>
    <w:rsid w:val="00E03DD2"/>
    <w:rsid w:val="00E0458B"/>
    <w:rsid w:val="00E12930"/>
    <w:rsid w:val="00E13DA1"/>
    <w:rsid w:val="00E14C57"/>
    <w:rsid w:val="00E14E3F"/>
    <w:rsid w:val="00E16738"/>
    <w:rsid w:val="00E1689D"/>
    <w:rsid w:val="00E17DD6"/>
    <w:rsid w:val="00E223E6"/>
    <w:rsid w:val="00E23B5B"/>
    <w:rsid w:val="00E24343"/>
    <w:rsid w:val="00E252FD"/>
    <w:rsid w:val="00E27EFA"/>
    <w:rsid w:val="00E303B4"/>
    <w:rsid w:val="00E3169E"/>
    <w:rsid w:val="00E344D5"/>
    <w:rsid w:val="00E34606"/>
    <w:rsid w:val="00E405A4"/>
    <w:rsid w:val="00E41DCB"/>
    <w:rsid w:val="00E41FD8"/>
    <w:rsid w:val="00E42575"/>
    <w:rsid w:val="00E431AC"/>
    <w:rsid w:val="00E47365"/>
    <w:rsid w:val="00E5114F"/>
    <w:rsid w:val="00E512F3"/>
    <w:rsid w:val="00E5147B"/>
    <w:rsid w:val="00E52CE9"/>
    <w:rsid w:val="00E53FC7"/>
    <w:rsid w:val="00E54157"/>
    <w:rsid w:val="00E54940"/>
    <w:rsid w:val="00E56BB7"/>
    <w:rsid w:val="00E5777B"/>
    <w:rsid w:val="00E57A86"/>
    <w:rsid w:val="00E6181B"/>
    <w:rsid w:val="00E62855"/>
    <w:rsid w:val="00E65363"/>
    <w:rsid w:val="00E66EC5"/>
    <w:rsid w:val="00E71002"/>
    <w:rsid w:val="00E71A33"/>
    <w:rsid w:val="00E726F0"/>
    <w:rsid w:val="00E74019"/>
    <w:rsid w:val="00E750F9"/>
    <w:rsid w:val="00E75A16"/>
    <w:rsid w:val="00E77F08"/>
    <w:rsid w:val="00E81B50"/>
    <w:rsid w:val="00E81C40"/>
    <w:rsid w:val="00E836C8"/>
    <w:rsid w:val="00E84F1A"/>
    <w:rsid w:val="00E91AE3"/>
    <w:rsid w:val="00E93B33"/>
    <w:rsid w:val="00E93B66"/>
    <w:rsid w:val="00E94AF1"/>
    <w:rsid w:val="00E96A32"/>
    <w:rsid w:val="00EA08E2"/>
    <w:rsid w:val="00EA2365"/>
    <w:rsid w:val="00EA4AE6"/>
    <w:rsid w:val="00EA6103"/>
    <w:rsid w:val="00EA674A"/>
    <w:rsid w:val="00EA744C"/>
    <w:rsid w:val="00EB1493"/>
    <w:rsid w:val="00EB1929"/>
    <w:rsid w:val="00EB1EAF"/>
    <w:rsid w:val="00EB5D09"/>
    <w:rsid w:val="00EB7570"/>
    <w:rsid w:val="00EC0E43"/>
    <w:rsid w:val="00EC1015"/>
    <w:rsid w:val="00EC65C8"/>
    <w:rsid w:val="00EC675F"/>
    <w:rsid w:val="00ED0A71"/>
    <w:rsid w:val="00ED3160"/>
    <w:rsid w:val="00ED371E"/>
    <w:rsid w:val="00ED70C4"/>
    <w:rsid w:val="00ED7BAC"/>
    <w:rsid w:val="00EE142C"/>
    <w:rsid w:val="00EE26DD"/>
    <w:rsid w:val="00EF5A29"/>
    <w:rsid w:val="00EF5ED7"/>
    <w:rsid w:val="00F01DEB"/>
    <w:rsid w:val="00F01E69"/>
    <w:rsid w:val="00F02A4B"/>
    <w:rsid w:val="00F05210"/>
    <w:rsid w:val="00F0530E"/>
    <w:rsid w:val="00F0596B"/>
    <w:rsid w:val="00F11A3D"/>
    <w:rsid w:val="00F127E3"/>
    <w:rsid w:val="00F12F47"/>
    <w:rsid w:val="00F145C5"/>
    <w:rsid w:val="00F20D37"/>
    <w:rsid w:val="00F21356"/>
    <w:rsid w:val="00F21784"/>
    <w:rsid w:val="00F232E6"/>
    <w:rsid w:val="00F24446"/>
    <w:rsid w:val="00F24EEA"/>
    <w:rsid w:val="00F274CA"/>
    <w:rsid w:val="00F3244C"/>
    <w:rsid w:val="00F334D7"/>
    <w:rsid w:val="00F34D2C"/>
    <w:rsid w:val="00F37014"/>
    <w:rsid w:val="00F37960"/>
    <w:rsid w:val="00F37B5E"/>
    <w:rsid w:val="00F37BE5"/>
    <w:rsid w:val="00F40A09"/>
    <w:rsid w:val="00F412F4"/>
    <w:rsid w:val="00F415A1"/>
    <w:rsid w:val="00F444CF"/>
    <w:rsid w:val="00F524E2"/>
    <w:rsid w:val="00F539BF"/>
    <w:rsid w:val="00F53F3C"/>
    <w:rsid w:val="00F5579E"/>
    <w:rsid w:val="00F568B9"/>
    <w:rsid w:val="00F56C70"/>
    <w:rsid w:val="00F6150E"/>
    <w:rsid w:val="00F658C4"/>
    <w:rsid w:val="00F6622D"/>
    <w:rsid w:val="00F666AA"/>
    <w:rsid w:val="00F66987"/>
    <w:rsid w:val="00F670E0"/>
    <w:rsid w:val="00F67E1C"/>
    <w:rsid w:val="00F70191"/>
    <w:rsid w:val="00F7176D"/>
    <w:rsid w:val="00F7200A"/>
    <w:rsid w:val="00F72206"/>
    <w:rsid w:val="00F75454"/>
    <w:rsid w:val="00F75B8D"/>
    <w:rsid w:val="00F7668A"/>
    <w:rsid w:val="00F76A72"/>
    <w:rsid w:val="00F8008E"/>
    <w:rsid w:val="00F83CF2"/>
    <w:rsid w:val="00F92BF5"/>
    <w:rsid w:val="00F96BFF"/>
    <w:rsid w:val="00F97D79"/>
    <w:rsid w:val="00F97F30"/>
    <w:rsid w:val="00FA0FC9"/>
    <w:rsid w:val="00FA1215"/>
    <w:rsid w:val="00FA49CD"/>
    <w:rsid w:val="00FB2E30"/>
    <w:rsid w:val="00FB3858"/>
    <w:rsid w:val="00FB403A"/>
    <w:rsid w:val="00FB5A4D"/>
    <w:rsid w:val="00FB6AB8"/>
    <w:rsid w:val="00FB7EFA"/>
    <w:rsid w:val="00FB7F03"/>
    <w:rsid w:val="00FB7FFA"/>
    <w:rsid w:val="00FC04A1"/>
    <w:rsid w:val="00FC20DB"/>
    <w:rsid w:val="00FC39FD"/>
    <w:rsid w:val="00FC6A0A"/>
    <w:rsid w:val="00FC6AFD"/>
    <w:rsid w:val="00FC6C5D"/>
    <w:rsid w:val="00FC7BB6"/>
    <w:rsid w:val="00FD033C"/>
    <w:rsid w:val="00FD1F44"/>
    <w:rsid w:val="00FD6109"/>
    <w:rsid w:val="00FE0674"/>
    <w:rsid w:val="00FE2805"/>
    <w:rsid w:val="00FE28CD"/>
    <w:rsid w:val="00FE4DA4"/>
    <w:rsid w:val="00FE4FA9"/>
    <w:rsid w:val="00FE6A56"/>
    <w:rsid w:val="00FF270E"/>
    <w:rsid w:val="00FF2D88"/>
    <w:rsid w:val="00FF3332"/>
    <w:rsid w:val="00FF37DF"/>
    <w:rsid w:val="00FF4968"/>
    <w:rsid w:val="00FF6002"/>
    <w:rsid w:val="00FF70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D435"/>
  <w15:docId w15:val="{16F9F392-87A5-4F04-8170-A7405E98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1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063D8"/>
    <w:pPr>
      <w:spacing w:after="0" w:line="240" w:lineRule="auto"/>
    </w:pPr>
    <w:rPr>
      <w:sz w:val="20"/>
      <w:szCs w:val="20"/>
    </w:rPr>
  </w:style>
  <w:style w:type="character" w:customStyle="1" w:styleId="FootnoteTextChar">
    <w:name w:val="Footnote Text Char"/>
    <w:basedOn w:val="DefaultParagraphFont"/>
    <w:link w:val="FootnoteText"/>
    <w:semiHidden/>
    <w:rsid w:val="00A063D8"/>
    <w:rPr>
      <w:sz w:val="20"/>
      <w:szCs w:val="20"/>
    </w:rPr>
  </w:style>
  <w:style w:type="character" w:styleId="FootnoteReference">
    <w:name w:val="footnote reference"/>
    <w:aliases w:val="b"/>
    <w:basedOn w:val="DefaultParagraphFont"/>
    <w:semiHidden/>
    <w:unhideWhenUsed/>
    <w:rsid w:val="00A063D8"/>
    <w:rPr>
      <w:vertAlign w:val="superscript"/>
    </w:rPr>
  </w:style>
  <w:style w:type="character" w:styleId="Hyperlink">
    <w:name w:val="Hyperlink"/>
    <w:basedOn w:val="DefaultParagraphFont"/>
    <w:uiPriority w:val="99"/>
    <w:semiHidden/>
    <w:unhideWhenUsed/>
    <w:rsid w:val="00A063D8"/>
    <w:rPr>
      <w:strike w:val="0"/>
      <w:dstrike w:val="0"/>
      <w:color w:val="0075B0"/>
      <w:u w:val="none"/>
      <w:effect w:val="none"/>
    </w:rPr>
  </w:style>
  <w:style w:type="character" w:styleId="Strong">
    <w:name w:val="Strong"/>
    <w:basedOn w:val="DefaultParagraphFont"/>
    <w:uiPriority w:val="22"/>
    <w:qFormat/>
    <w:rsid w:val="00A063D8"/>
    <w:rPr>
      <w:b/>
      <w:bCs/>
      <w:i w:val="0"/>
      <w:iCs w:val="0"/>
    </w:rPr>
  </w:style>
  <w:style w:type="character" w:customStyle="1" w:styleId="searchword2">
    <w:name w:val="searchword2"/>
    <w:basedOn w:val="DefaultParagraphFont"/>
    <w:rsid w:val="00A063D8"/>
    <w:rPr>
      <w:shd w:val="clear" w:color="auto" w:fill="FFFBC3"/>
    </w:rPr>
  </w:style>
  <w:style w:type="character" w:customStyle="1" w:styleId="exldetailsdisplayval">
    <w:name w:val="exldetailsdisplayval"/>
    <w:basedOn w:val="DefaultParagraphFont"/>
    <w:rsid w:val="00A063D8"/>
  </w:style>
  <w:style w:type="paragraph" w:styleId="Header">
    <w:name w:val="header"/>
    <w:basedOn w:val="Normal"/>
    <w:link w:val="HeaderChar"/>
    <w:uiPriority w:val="99"/>
    <w:unhideWhenUsed/>
    <w:rsid w:val="001C0E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0EF8"/>
  </w:style>
  <w:style w:type="paragraph" w:styleId="Footer">
    <w:name w:val="footer"/>
    <w:basedOn w:val="Normal"/>
    <w:link w:val="FooterChar"/>
    <w:uiPriority w:val="99"/>
    <w:unhideWhenUsed/>
    <w:rsid w:val="001C0E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0EF8"/>
  </w:style>
  <w:style w:type="paragraph" w:styleId="BalloonText">
    <w:name w:val="Balloon Text"/>
    <w:basedOn w:val="Normal"/>
    <w:link w:val="BalloonTextChar"/>
    <w:uiPriority w:val="99"/>
    <w:semiHidden/>
    <w:unhideWhenUsed/>
    <w:rsid w:val="00FB7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FFA"/>
    <w:rPr>
      <w:rFonts w:ascii="Segoe UI" w:hAnsi="Segoe UI" w:cs="Segoe UI"/>
      <w:sz w:val="18"/>
      <w:szCs w:val="18"/>
    </w:rPr>
  </w:style>
  <w:style w:type="character" w:customStyle="1" w:styleId="Heading1Char">
    <w:name w:val="Heading 1 Char"/>
    <w:basedOn w:val="DefaultParagraphFont"/>
    <w:link w:val="Heading1"/>
    <w:uiPriority w:val="9"/>
    <w:rsid w:val="004F51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960706">
      <w:bodyDiv w:val="1"/>
      <w:marLeft w:val="0"/>
      <w:marRight w:val="0"/>
      <w:marTop w:val="0"/>
      <w:marBottom w:val="0"/>
      <w:divBdr>
        <w:top w:val="none" w:sz="0" w:space="0" w:color="auto"/>
        <w:left w:val="none" w:sz="0" w:space="0" w:color="auto"/>
        <w:bottom w:val="none" w:sz="0" w:space="0" w:color="auto"/>
        <w:right w:val="none" w:sz="0" w:space="0" w:color="auto"/>
      </w:divBdr>
      <w:divsChild>
        <w:div w:id="1991980641">
          <w:marLeft w:val="0"/>
          <w:marRight w:val="0"/>
          <w:marTop w:val="0"/>
          <w:marBottom w:val="0"/>
          <w:divBdr>
            <w:top w:val="none" w:sz="0" w:space="0" w:color="auto"/>
            <w:left w:val="none" w:sz="0" w:space="0" w:color="auto"/>
            <w:bottom w:val="none" w:sz="0" w:space="0" w:color="auto"/>
            <w:right w:val="none" w:sz="0" w:space="0" w:color="auto"/>
          </w:divBdr>
          <w:divsChild>
            <w:div w:id="1866752260">
              <w:marLeft w:val="0"/>
              <w:marRight w:val="0"/>
              <w:marTop w:val="0"/>
              <w:marBottom w:val="0"/>
              <w:divBdr>
                <w:top w:val="none" w:sz="0" w:space="0" w:color="auto"/>
                <w:left w:val="none" w:sz="0" w:space="0" w:color="auto"/>
                <w:bottom w:val="none" w:sz="0" w:space="0" w:color="auto"/>
                <w:right w:val="none" w:sz="0" w:space="0" w:color="auto"/>
              </w:divBdr>
              <w:divsChild>
                <w:div w:id="1470130086">
                  <w:marLeft w:val="0"/>
                  <w:marRight w:val="0"/>
                  <w:marTop w:val="0"/>
                  <w:marBottom w:val="0"/>
                  <w:divBdr>
                    <w:top w:val="none" w:sz="0" w:space="0" w:color="auto"/>
                    <w:left w:val="none" w:sz="0" w:space="0" w:color="auto"/>
                    <w:bottom w:val="none" w:sz="0" w:space="0" w:color="auto"/>
                    <w:right w:val="none" w:sz="0" w:space="0" w:color="auto"/>
                  </w:divBdr>
                  <w:divsChild>
                    <w:div w:id="131142783">
                      <w:marLeft w:val="0"/>
                      <w:marRight w:val="0"/>
                      <w:marTop w:val="0"/>
                      <w:marBottom w:val="0"/>
                      <w:divBdr>
                        <w:top w:val="none" w:sz="0" w:space="0" w:color="auto"/>
                        <w:left w:val="none" w:sz="0" w:space="0" w:color="auto"/>
                        <w:bottom w:val="none" w:sz="0" w:space="0" w:color="auto"/>
                        <w:right w:val="none" w:sz="0" w:space="0" w:color="auto"/>
                      </w:divBdr>
                      <w:divsChild>
                        <w:div w:id="122429092">
                          <w:marLeft w:val="0"/>
                          <w:marRight w:val="0"/>
                          <w:marTop w:val="0"/>
                          <w:marBottom w:val="0"/>
                          <w:divBdr>
                            <w:top w:val="none" w:sz="0" w:space="0" w:color="auto"/>
                            <w:left w:val="none" w:sz="0" w:space="0" w:color="auto"/>
                            <w:bottom w:val="none" w:sz="0" w:space="0" w:color="auto"/>
                            <w:right w:val="none" w:sz="0" w:space="0" w:color="auto"/>
                          </w:divBdr>
                          <w:divsChild>
                            <w:div w:id="351415223">
                              <w:marLeft w:val="0"/>
                              <w:marRight w:val="0"/>
                              <w:marTop w:val="0"/>
                              <w:marBottom w:val="0"/>
                              <w:divBdr>
                                <w:top w:val="none" w:sz="0" w:space="0" w:color="auto"/>
                                <w:left w:val="none" w:sz="0" w:space="0" w:color="auto"/>
                                <w:bottom w:val="none" w:sz="0" w:space="0" w:color="auto"/>
                                <w:right w:val="none" w:sz="0" w:space="0" w:color="auto"/>
                              </w:divBdr>
                              <w:divsChild>
                                <w:div w:id="369039016">
                                  <w:marLeft w:val="0"/>
                                  <w:marRight w:val="0"/>
                                  <w:marTop w:val="0"/>
                                  <w:marBottom w:val="0"/>
                                  <w:divBdr>
                                    <w:top w:val="none" w:sz="0" w:space="0" w:color="auto"/>
                                    <w:left w:val="none" w:sz="0" w:space="0" w:color="auto"/>
                                    <w:bottom w:val="none" w:sz="0" w:space="0" w:color="auto"/>
                                    <w:right w:val="none" w:sz="0" w:space="0" w:color="auto"/>
                                  </w:divBdr>
                                  <w:divsChild>
                                    <w:div w:id="729035617">
                                      <w:marLeft w:val="0"/>
                                      <w:marRight w:val="0"/>
                                      <w:marTop w:val="0"/>
                                      <w:marBottom w:val="0"/>
                                      <w:divBdr>
                                        <w:top w:val="none" w:sz="0" w:space="0" w:color="auto"/>
                                        <w:left w:val="none" w:sz="0" w:space="0" w:color="auto"/>
                                        <w:bottom w:val="none" w:sz="0" w:space="0" w:color="auto"/>
                                        <w:right w:val="none" w:sz="0" w:space="0" w:color="auto"/>
                                      </w:divBdr>
                                      <w:divsChild>
                                        <w:div w:id="19192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87A1-586E-428C-AD04-208FA66D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61906</TotalTime>
  <Pages>13</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Isaac Gottlieb</cp:lastModifiedBy>
  <cp:revision>5</cp:revision>
  <dcterms:created xsi:type="dcterms:W3CDTF">2020-12-16T08:35:00Z</dcterms:created>
  <dcterms:modified xsi:type="dcterms:W3CDTF">2021-08-20T09:47:00Z</dcterms:modified>
</cp:coreProperties>
</file>