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AFE" w:rsidRPr="00AB0770" w:rsidRDefault="00576AFE" w:rsidP="00576AFE">
      <w:pPr>
        <w:bidi w:val="0"/>
        <w:spacing w:line="480" w:lineRule="auto"/>
      </w:pPr>
      <w:bookmarkStart w:id="0" w:name="_GoBack"/>
      <w:bookmarkEnd w:id="0"/>
      <w:r w:rsidRPr="00AB0770">
        <w:t xml:space="preserve">Chapter </w:t>
      </w:r>
      <w:r>
        <w:t>7</w:t>
      </w:r>
    </w:p>
    <w:p w:rsidR="00DF233A" w:rsidRDefault="00DF233A" w:rsidP="00576AFE">
      <w:pPr>
        <w:bidi w:val="0"/>
        <w:spacing w:line="480" w:lineRule="auto"/>
        <w:jc w:val="center"/>
        <w:rPr>
          <w:sz w:val="36"/>
          <w:szCs w:val="36"/>
        </w:rPr>
      </w:pPr>
      <w:r w:rsidRPr="00DF233A">
        <w:rPr>
          <w:sz w:val="36"/>
          <w:szCs w:val="36"/>
        </w:rPr>
        <w:t>Creative Judiciary:</w:t>
      </w:r>
    </w:p>
    <w:p w:rsidR="00DF233A" w:rsidRDefault="00DF233A" w:rsidP="008E6ACE">
      <w:pPr>
        <w:bidi w:val="0"/>
        <w:spacing w:line="480" w:lineRule="auto"/>
        <w:jc w:val="center"/>
      </w:pPr>
      <w:r w:rsidRPr="00DF233A">
        <w:rPr>
          <w:sz w:val="36"/>
          <w:szCs w:val="36"/>
        </w:rPr>
        <w:t>Equitable</w:t>
      </w:r>
      <w:r w:rsidR="006C698A">
        <w:rPr>
          <w:sz w:val="36"/>
          <w:szCs w:val="36"/>
        </w:rPr>
        <w:t xml:space="preserve"> and </w:t>
      </w:r>
      <w:r w:rsidR="006C698A" w:rsidRPr="00DF233A">
        <w:rPr>
          <w:sz w:val="36"/>
          <w:szCs w:val="36"/>
        </w:rPr>
        <w:t xml:space="preserve">Constitutional </w:t>
      </w:r>
      <w:r w:rsidRPr="00DF233A">
        <w:rPr>
          <w:sz w:val="36"/>
          <w:szCs w:val="36"/>
        </w:rPr>
        <w:t>safeguards to Property</w:t>
      </w:r>
    </w:p>
    <w:p w:rsidR="00576AFE" w:rsidRDefault="00576AFE" w:rsidP="00EC1919">
      <w:pPr>
        <w:bidi w:val="0"/>
        <w:spacing w:line="480" w:lineRule="auto"/>
        <w:ind w:left="4536"/>
        <w:jc w:val="both"/>
        <w:rPr>
          <w:rFonts w:asciiTheme="majorBidi" w:hAnsiTheme="majorBidi" w:cstheme="majorBidi"/>
          <w:color w:val="222222"/>
          <w:shd w:val="clear" w:color="auto" w:fill="FFFFFF"/>
        </w:rPr>
      </w:pPr>
      <w:r w:rsidRPr="00EC1919">
        <w:rPr>
          <w:rFonts w:asciiTheme="majorBidi" w:hAnsiTheme="majorBidi" w:cstheme="majorBidi"/>
          <w:i/>
          <w:iCs/>
          <w:color w:val="000000"/>
          <w:shd w:val="clear" w:color="auto" w:fill="FFFFFF"/>
        </w:rPr>
        <w:t>"</w:t>
      </w:r>
      <w:r w:rsidR="00CF3F60" w:rsidRPr="00921EBA">
        <w:rPr>
          <w:rFonts w:asciiTheme="majorBidi" w:hAnsiTheme="majorBidi" w:cstheme="majorBidi"/>
          <w:i/>
          <w:iCs/>
          <w:color w:val="000000"/>
          <w:rtl/>
        </w:rPr>
        <w:t>יש לאפשר לקניין שביושר תוצרת הארץ להתפתח כדין ישראלי עצמאי.</w:t>
      </w:r>
      <w:r w:rsidR="006C698A" w:rsidRPr="00921EBA">
        <w:rPr>
          <w:rFonts w:asciiTheme="majorBidi" w:hAnsiTheme="majorBidi" w:cstheme="majorBidi" w:hint="cs"/>
          <w:i/>
          <w:iCs/>
          <w:color w:val="000000"/>
          <w:rtl/>
        </w:rPr>
        <w:t>..</w:t>
      </w:r>
      <w:r w:rsidR="006C698A" w:rsidRPr="00921EBA">
        <w:rPr>
          <w:rFonts w:asciiTheme="majorBidi" w:hAnsiTheme="majorBidi" w:cstheme="majorBidi"/>
          <w:i/>
          <w:iCs/>
          <w:color w:val="000000"/>
        </w:rPr>
        <w:t xml:space="preserve"> </w:t>
      </w:r>
      <w:r w:rsidRPr="00921EBA">
        <w:rPr>
          <w:rFonts w:asciiTheme="majorBidi" w:hAnsiTheme="majorBidi" w:cstheme="majorBidi"/>
          <w:i/>
          <w:iCs/>
          <w:color w:val="000000"/>
        </w:rPr>
        <w:t>"</w:t>
      </w:r>
      <w:r w:rsidR="00EC1919" w:rsidRPr="00921EBA">
        <w:rPr>
          <w:rFonts w:asciiTheme="majorBidi" w:hAnsiTheme="majorBidi" w:cstheme="majorBidi"/>
          <w:i/>
          <w:iCs/>
          <w:color w:val="000000"/>
        </w:rPr>
        <w:t xml:space="preserve"> </w:t>
      </w:r>
      <w:r w:rsidR="00EC1919" w:rsidRPr="00921EBA">
        <w:rPr>
          <w:rFonts w:asciiTheme="majorBidi" w:hAnsiTheme="majorBidi" w:cstheme="majorBidi"/>
          <w:color w:val="000000"/>
        </w:rPr>
        <w:t>Aharon Barak</w:t>
      </w:r>
      <w:r w:rsidRPr="00921EBA">
        <w:rPr>
          <w:rFonts w:asciiTheme="majorBidi" w:hAnsiTheme="majorBidi" w:cstheme="majorBidi"/>
          <w:color w:val="000000"/>
          <w:shd w:val="clear" w:color="auto" w:fill="FFFFFF"/>
        </w:rPr>
        <w:t>.</w:t>
      </w:r>
      <w:bookmarkStart w:id="1" w:name="_Ref517949871"/>
      <w:r w:rsidRPr="00CA3E7A">
        <w:rPr>
          <w:rStyle w:val="a5"/>
          <w:rFonts w:asciiTheme="majorBidi" w:hAnsiTheme="majorBidi" w:cstheme="majorBidi"/>
          <w:color w:val="333333"/>
          <w:shd w:val="clear" w:color="auto" w:fill="FFFFFF"/>
        </w:rPr>
        <w:footnoteReference w:id="1"/>
      </w:r>
      <w:bookmarkEnd w:id="1"/>
      <w:r>
        <w:rPr>
          <w:rFonts w:asciiTheme="majorBidi" w:hAnsiTheme="majorBidi" w:cstheme="majorBidi"/>
          <w:color w:val="222222"/>
          <w:shd w:val="clear" w:color="auto" w:fill="FFFFFF"/>
        </w:rPr>
        <w:t xml:space="preserve"> </w:t>
      </w:r>
    </w:p>
    <w:p w:rsidR="006C698A" w:rsidRDefault="00921EBA" w:rsidP="008E6ACE">
      <w:pPr>
        <w:bidi w:val="0"/>
        <w:spacing w:line="480" w:lineRule="auto"/>
        <w:ind w:left="4536"/>
        <w:jc w:val="both"/>
        <w:rPr>
          <w:rFonts w:asciiTheme="majorBidi" w:hAnsiTheme="majorBidi" w:cstheme="majorBidi"/>
          <w:color w:val="222222"/>
          <w:shd w:val="clear" w:color="auto" w:fill="FFFFFF"/>
          <w:rtl/>
        </w:rPr>
      </w:pPr>
      <w:r w:rsidRPr="00921EBA">
        <w:rPr>
          <w:rFonts w:asciiTheme="majorBidi" w:hAnsiTheme="majorBidi" w:cstheme="majorBidi"/>
          <w:i/>
          <w:iCs/>
          <w:color w:val="000000"/>
        </w:rPr>
        <w:t>"In the balance between the property right</w:t>
      </w:r>
      <w:r w:rsidR="008E6ACE">
        <w:rPr>
          <w:rFonts w:asciiTheme="majorBidi" w:hAnsiTheme="majorBidi" w:cstheme="majorBidi"/>
          <w:i/>
          <w:iCs/>
          <w:color w:val="000000"/>
        </w:rPr>
        <w:t>…</w:t>
      </w:r>
      <w:r w:rsidRPr="00921EBA">
        <w:rPr>
          <w:rFonts w:asciiTheme="majorBidi" w:hAnsiTheme="majorBidi" w:cstheme="majorBidi"/>
          <w:i/>
          <w:iCs/>
          <w:color w:val="000000"/>
        </w:rPr>
        <w:t>and the public necessities… is expressed in our new understanding of the purpose of the Expropriation Ordinance</w:t>
      </w:r>
      <w:r w:rsidR="006C698A" w:rsidRPr="00921EBA">
        <w:rPr>
          <w:rFonts w:asciiTheme="majorBidi" w:hAnsiTheme="majorBidi" w:cstheme="majorBidi"/>
          <w:i/>
          <w:iCs/>
          <w:rtl/>
        </w:rPr>
        <w:t>"</w:t>
      </w:r>
      <w:r>
        <w:rPr>
          <w:rFonts w:asciiTheme="majorBidi" w:hAnsiTheme="majorBidi" w:cstheme="majorBidi"/>
          <w:i/>
          <w:iCs/>
        </w:rPr>
        <w:t xml:space="preserve">', </w:t>
      </w:r>
      <w:r w:rsidR="00EC1919" w:rsidRPr="00921EBA">
        <w:rPr>
          <w:rFonts w:asciiTheme="majorBidi" w:hAnsiTheme="majorBidi" w:cstheme="majorBidi"/>
        </w:rPr>
        <w:t>Aharon Barak</w:t>
      </w:r>
      <w:r w:rsidR="00EC1919" w:rsidRPr="007215A5">
        <w:rPr>
          <w:rFonts w:asciiTheme="majorBidi" w:hAnsiTheme="majorBidi" w:cstheme="majorBidi"/>
          <w:i/>
          <w:iCs/>
          <w:color w:val="000000"/>
          <w:shd w:val="clear" w:color="auto" w:fill="FFFFFF"/>
        </w:rPr>
        <w:t>.</w:t>
      </w:r>
      <w:bookmarkStart w:id="2" w:name="_Ref518647705"/>
      <w:r w:rsidR="006C698A">
        <w:rPr>
          <w:rStyle w:val="a5"/>
          <w:rFonts w:ascii="Arial TUR" w:hAnsi="Arial TUR"/>
          <w:rtl/>
        </w:rPr>
        <w:footnoteReference w:id="2"/>
      </w:r>
      <w:bookmarkEnd w:id="2"/>
    </w:p>
    <w:p w:rsidR="00007158" w:rsidRDefault="00E11F71" w:rsidP="006C698A">
      <w:pPr>
        <w:spacing w:line="480" w:lineRule="auto"/>
        <w:jc w:val="both"/>
        <w:rPr>
          <w:rFonts w:asciiTheme="majorBidi" w:hAnsiTheme="majorBidi" w:cstheme="majorBidi"/>
          <w:rtl/>
        </w:rPr>
      </w:pPr>
      <w:r>
        <w:rPr>
          <w:rFonts w:hint="cs"/>
          <w:rtl/>
        </w:rPr>
        <w:t xml:space="preserve">   אחד ממאפייני הזהות הבולטים של מדינת ישראל הוא קיומה של רשות שיפוטית חזקה ועצמאית.</w:t>
      </w:r>
      <w:r>
        <w:rPr>
          <w:rStyle w:val="a5"/>
          <w:rtl/>
        </w:rPr>
        <w:footnoteReference w:id="3"/>
      </w:r>
      <w:r>
        <w:rPr>
          <w:rFonts w:hint="cs"/>
          <w:rtl/>
        </w:rPr>
        <w:t xml:space="preserve"> אחד המאפיינים הבולטים והשנויים במחלוקת של עצמאות זו היא תופעת האקטיביזם השיפוטי-קרי נטייתה של הרשות השופטת לא רק ליישם את הדין אלא גם ליצור אותו. בפרק זה נתמקד בשני אפיקים מרכזיים שונים שבהם התפתחה היצירתיות השיפוטית בישראל: המשפט האזרחי והמשפט החוקתי. נציג את הרקע הכללי להתפתחותם של אפיקים אלה ונדגים כיצד הם באים לידי ביטוי בשני תחומים חשובים של דיני המקרקעין: ההגנה על זכויות מן היושר במקרקעין וההגנה החוקתית </w:t>
      </w:r>
      <w:r w:rsidR="006C698A">
        <w:rPr>
          <w:rFonts w:hint="cs"/>
          <w:rtl/>
        </w:rPr>
        <w:t>ע</w:t>
      </w:r>
      <w:r>
        <w:rPr>
          <w:rFonts w:hint="cs"/>
          <w:rtl/>
        </w:rPr>
        <w:t>ל</w:t>
      </w:r>
      <w:r w:rsidR="006C698A">
        <w:rPr>
          <w:rFonts w:hint="cs"/>
          <w:rtl/>
        </w:rPr>
        <w:t xml:space="preserve"> </w:t>
      </w:r>
      <w:r>
        <w:rPr>
          <w:rFonts w:hint="cs"/>
          <w:rtl/>
        </w:rPr>
        <w:t>זכויות קניין במקרקעין.</w:t>
      </w:r>
    </w:p>
    <w:p w:rsidR="00007158" w:rsidRDefault="00007158" w:rsidP="00576AFE">
      <w:pPr>
        <w:rPr>
          <w:rFonts w:asciiTheme="majorBidi" w:hAnsiTheme="majorBidi" w:cstheme="majorBidi"/>
          <w:rtl/>
        </w:rPr>
      </w:pPr>
    </w:p>
    <w:p w:rsidR="008E6ACE" w:rsidRDefault="008E6ACE">
      <w:pPr>
        <w:bidi w:val="0"/>
        <w:spacing w:after="160" w:line="259" w:lineRule="auto"/>
        <w:rPr>
          <w:rFonts w:asciiTheme="majorBidi" w:hAnsiTheme="majorBidi" w:cstheme="majorBidi"/>
          <w:b/>
          <w:bCs/>
          <w:rtl/>
        </w:rPr>
      </w:pPr>
      <w:r>
        <w:rPr>
          <w:rFonts w:asciiTheme="majorBidi" w:hAnsiTheme="majorBidi" w:cstheme="majorBidi"/>
          <w:b/>
          <w:bCs/>
          <w:rtl/>
        </w:rPr>
        <w:br w:type="page"/>
      </w:r>
    </w:p>
    <w:p w:rsidR="008E6ACE" w:rsidRDefault="008E6ACE" w:rsidP="00E11F71">
      <w:pPr>
        <w:rPr>
          <w:rFonts w:asciiTheme="majorBidi" w:hAnsiTheme="majorBidi" w:cstheme="majorBidi"/>
          <w:b/>
          <w:bCs/>
        </w:rPr>
      </w:pPr>
    </w:p>
    <w:p w:rsidR="00961D85" w:rsidRPr="00007158" w:rsidRDefault="00E11F71" w:rsidP="00E11F71">
      <w:pPr>
        <w:rPr>
          <w:b/>
          <w:bCs/>
        </w:rPr>
      </w:pPr>
      <w:r>
        <w:rPr>
          <w:rFonts w:asciiTheme="majorBidi" w:hAnsiTheme="majorBidi" w:cstheme="majorBidi" w:hint="cs"/>
          <w:b/>
          <w:bCs/>
          <w:rtl/>
        </w:rPr>
        <w:t xml:space="preserve">הרקע להתפתחות האקטיביזם השיפוטי בישראל </w:t>
      </w:r>
    </w:p>
    <w:p w:rsidR="00576AFE" w:rsidRDefault="00576AFE">
      <w:pPr>
        <w:rPr>
          <w:rtl/>
        </w:rPr>
      </w:pPr>
    </w:p>
    <w:p w:rsidR="007F6B9C" w:rsidRDefault="00E11F71" w:rsidP="007756DA">
      <w:pPr>
        <w:spacing w:line="480" w:lineRule="auto"/>
        <w:jc w:val="both"/>
        <w:rPr>
          <w:rtl/>
        </w:rPr>
      </w:pPr>
      <w:r>
        <w:rPr>
          <w:rFonts w:hint="cs"/>
          <w:rtl/>
        </w:rPr>
        <w:t xml:space="preserve">   היצירתיות של הרשות השופטת </w:t>
      </w:r>
      <w:r w:rsidR="00AC0A33">
        <w:rPr>
          <w:rFonts w:hint="cs"/>
          <w:rtl/>
        </w:rPr>
        <w:t xml:space="preserve">בישראל </w:t>
      </w:r>
      <w:r>
        <w:rPr>
          <w:rFonts w:hint="cs"/>
          <w:rtl/>
        </w:rPr>
        <w:t>היא ביטוי להתעצמות כוחה של מערכת השיפוט ביש</w:t>
      </w:r>
      <w:r w:rsidR="00057B5D">
        <w:rPr>
          <w:rFonts w:hint="cs"/>
          <w:rtl/>
        </w:rPr>
        <w:t>רא</w:t>
      </w:r>
      <w:r>
        <w:rPr>
          <w:rFonts w:hint="cs"/>
          <w:rtl/>
        </w:rPr>
        <w:t xml:space="preserve">ל ולעצמאותה. עצמאות זו </w:t>
      </w:r>
      <w:r w:rsidR="00AC0A33">
        <w:rPr>
          <w:rFonts w:hint="cs"/>
          <w:rtl/>
        </w:rPr>
        <w:t xml:space="preserve">התפתחה באופן הדרגתי בשני אפיקים </w:t>
      </w:r>
      <w:r>
        <w:rPr>
          <w:rFonts w:hint="cs"/>
          <w:rtl/>
        </w:rPr>
        <w:t>שונים</w:t>
      </w:r>
      <w:r w:rsidR="00AC0A33">
        <w:rPr>
          <w:rFonts w:hint="cs"/>
          <w:rtl/>
        </w:rPr>
        <w:t>. ה</w:t>
      </w:r>
      <w:r w:rsidR="00AF71BE">
        <w:rPr>
          <w:rFonts w:hint="cs"/>
          <w:rtl/>
        </w:rPr>
        <w:t>אפיק ה</w:t>
      </w:r>
      <w:r w:rsidR="00AC0A33">
        <w:rPr>
          <w:rFonts w:hint="cs"/>
          <w:rtl/>
        </w:rPr>
        <w:t xml:space="preserve">אחד, קדום יותר, הוא </w:t>
      </w:r>
      <w:r w:rsidR="00AF71BE">
        <w:rPr>
          <w:rFonts w:hint="cs"/>
          <w:rtl/>
        </w:rPr>
        <w:t>תהליך</w:t>
      </w:r>
      <w:r w:rsidR="00AC0A33">
        <w:rPr>
          <w:rFonts w:hint="cs"/>
          <w:rtl/>
        </w:rPr>
        <w:t xml:space="preserve"> התנתקותה של הרשות השופטת ממורשת המשפט האנגלי שהותיר בישראל שלטון המנדט הבריטי</w:t>
      </w:r>
      <w:r w:rsidR="00B60E1C">
        <w:rPr>
          <w:rFonts w:hint="cs"/>
          <w:rtl/>
        </w:rPr>
        <w:t>.</w:t>
      </w:r>
      <w:r w:rsidR="007D311D">
        <w:rPr>
          <w:rFonts w:hint="cs"/>
          <w:rtl/>
        </w:rPr>
        <w:t xml:space="preserve"> </w:t>
      </w:r>
      <w:r w:rsidR="00AF71BE">
        <w:rPr>
          <w:rFonts w:hint="cs"/>
          <w:rtl/>
        </w:rPr>
        <w:t>סעיף 46 לדבר המלך במועצתו 1922, שהיה מעין חוקה ש</w:t>
      </w:r>
      <w:r w:rsidR="007D311D">
        <w:rPr>
          <w:rFonts w:hint="cs"/>
          <w:rtl/>
        </w:rPr>
        <w:t>הנהיגו הבריטים ב</w:t>
      </w:r>
      <w:r w:rsidR="00AF71BE">
        <w:rPr>
          <w:rFonts w:hint="cs"/>
          <w:rtl/>
        </w:rPr>
        <w:t>ארץ-ישראל לפני הקמת המדינה</w:t>
      </w:r>
      <w:r w:rsidR="00B60E1C">
        <w:rPr>
          <w:rFonts w:hint="cs"/>
          <w:rtl/>
        </w:rPr>
        <w:t xml:space="preserve">, </w:t>
      </w:r>
      <w:r w:rsidR="00AF71BE">
        <w:rPr>
          <w:rFonts w:hint="cs"/>
          <w:rtl/>
        </w:rPr>
        <w:t>קבע כי על בתי המשפט המקומיים לפרש חוקים או להשלים בהם לקונות "</w:t>
      </w:r>
      <w:r w:rsidR="00AF71BE" w:rsidRPr="00057B5D">
        <w:rPr>
          <w:rFonts w:asciiTheme="majorBidi" w:hAnsiTheme="majorBidi" w:cstheme="majorBidi"/>
          <w:color w:val="222222"/>
          <w:shd w:val="clear" w:color="auto" w:fill="FFFFFF"/>
        </w:rPr>
        <w:t>in conformity with the substance of the common law, and the doctrines of equity in force in England"</w:t>
      </w:r>
      <w:r w:rsidR="00AF71BE" w:rsidRPr="00057B5D">
        <w:rPr>
          <w:rFonts w:asciiTheme="majorBidi" w:hAnsiTheme="majorBidi" w:cstheme="majorBidi"/>
          <w:rtl/>
        </w:rPr>
        <w:t>.</w:t>
      </w:r>
      <w:r w:rsidR="00AF71BE">
        <w:rPr>
          <w:rStyle w:val="a5"/>
          <w:rtl/>
        </w:rPr>
        <w:footnoteReference w:id="4"/>
      </w:r>
      <w:r w:rsidR="00AF71BE">
        <w:rPr>
          <w:rFonts w:hint="cs"/>
          <w:rtl/>
        </w:rPr>
        <w:t xml:space="preserve"> </w:t>
      </w:r>
      <w:r w:rsidR="00C82A19">
        <w:rPr>
          <w:rFonts w:hint="cs"/>
          <w:rtl/>
        </w:rPr>
        <w:t xml:space="preserve">מדינת ישראל לא ביטלה </w:t>
      </w:r>
      <w:r w:rsidR="00AF71BE">
        <w:rPr>
          <w:rFonts w:hint="cs"/>
          <w:rtl/>
        </w:rPr>
        <w:t>הוראות אלה עם הקמת</w:t>
      </w:r>
      <w:r w:rsidR="00C82A19">
        <w:rPr>
          <w:rFonts w:hint="cs"/>
          <w:rtl/>
        </w:rPr>
        <w:t>ה</w:t>
      </w:r>
      <w:r w:rsidR="00AF71BE">
        <w:rPr>
          <w:rFonts w:hint="cs"/>
          <w:rtl/>
        </w:rPr>
        <w:t xml:space="preserve"> ועל כן לתקדימים </w:t>
      </w:r>
      <w:r w:rsidR="00C82A19">
        <w:rPr>
          <w:rFonts w:hint="cs"/>
          <w:rtl/>
        </w:rPr>
        <w:t xml:space="preserve">שפיתחו בתי משפט אנגליים </w:t>
      </w:r>
      <w:r w:rsidR="00B60E1C">
        <w:rPr>
          <w:rFonts w:hint="cs"/>
          <w:rtl/>
        </w:rPr>
        <w:t xml:space="preserve">היה תוקף חוקי מחייב בשנות קיומה הראשונות של המדינה, </w:t>
      </w:r>
      <w:r w:rsidR="00AF71BE">
        <w:rPr>
          <w:rFonts w:hint="cs"/>
          <w:rtl/>
        </w:rPr>
        <w:t>בכפוף לתהליך "קליטתם" על ידי בתי המשפט המקומיים.</w:t>
      </w:r>
      <w:bookmarkStart w:id="3" w:name="_Ref518488721"/>
      <w:r w:rsidR="00AF71BE">
        <w:rPr>
          <w:rStyle w:val="a5"/>
          <w:rtl/>
        </w:rPr>
        <w:footnoteReference w:id="5"/>
      </w:r>
      <w:bookmarkEnd w:id="3"/>
      <w:r w:rsidR="00AF71BE">
        <w:rPr>
          <w:rFonts w:hint="cs"/>
          <w:rtl/>
        </w:rPr>
        <w:t xml:space="preserve"> </w:t>
      </w:r>
      <w:r w:rsidR="007D311D">
        <w:rPr>
          <w:rFonts w:hint="cs"/>
          <w:rtl/>
        </w:rPr>
        <w:t>החל מהעשור השני לקיומה</w:t>
      </w:r>
      <w:r w:rsidR="00C82A19">
        <w:rPr>
          <w:rFonts w:hint="cs"/>
          <w:rtl/>
        </w:rPr>
        <w:t>,</w:t>
      </w:r>
      <w:r w:rsidR="007D311D">
        <w:rPr>
          <w:rFonts w:hint="cs"/>
          <w:rtl/>
        </w:rPr>
        <w:t xml:space="preserve"> החלה מדינת ישראל בתהליך של התנתקות מהמשפט האנגלי. </w:t>
      </w:r>
      <w:r w:rsidR="00AF71BE">
        <w:rPr>
          <w:rFonts w:hint="cs"/>
          <w:rtl/>
        </w:rPr>
        <w:t xml:space="preserve">במונחים של ימינו, </w:t>
      </w:r>
      <w:r w:rsidR="007033AE">
        <w:rPr>
          <w:rFonts w:hint="cs"/>
          <w:rtl/>
        </w:rPr>
        <w:t xml:space="preserve">ניתוק הקשר הזה </w:t>
      </w:r>
      <w:r w:rsidR="00AC0A33">
        <w:rPr>
          <w:rFonts w:hint="cs"/>
          <w:rtl/>
        </w:rPr>
        <w:t xml:space="preserve">היה מעין </w:t>
      </w:r>
      <w:r w:rsidR="00AF71BE">
        <w:rPr>
          <w:rFonts w:hint="cs"/>
          <w:rtl/>
        </w:rPr>
        <w:t>אק</w:t>
      </w:r>
      <w:r w:rsidR="00AC0A33">
        <w:rPr>
          <w:rFonts w:hint="cs"/>
          <w:rtl/>
        </w:rPr>
        <w:t>סיט של מערכת המשפט הישראלית מהשפעת</w:t>
      </w:r>
      <w:r w:rsidR="00AF71BE">
        <w:rPr>
          <w:rFonts w:hint="cs"/>
          <w:rtl/>
        </w:rPr>
        <w:t xml:space="preserve">ה </w:t>
      </w:r>
      <w:r w:rsidR="00AC0A33">
        <w:rPr>
          <w:rFonts w:hint="cs"/>
          <w:rtl/>
        </w:rPr>
        <w:t xml:space="preserve">של </w:t>
      </w:r>
      <w:r w:rsidR="00AF71BE">
        <w:rPr>
          <w:rFonts w:hint="cs"/>
          <w:rtl/>
        </w:rPr>
        <w:t>מערכ</w:t>
      </w:r>
      <w:r w:rsidR="00F04219">
        <w:rPr>
          <w:rFonts w:hint="cs"/>
          <w:rtl/>
        </w:rPr>
        <w:t>ת המשפט האנגלית, בדומה לברקסיט</w:t>
      </w:r>
      <w:r w:rsidR="00AF71BE">
        <w:rPr>
          <w:rFonts w:hint="cs"/>
          <w:rtl/>
        </w:rPr>
        <w:t xml:space="preserve"> של מערכת המשפט האנגלית ממשפט האיחוד אירופי.</w:t>
      </w:r>
      <w:r w:rsidR="00AF71BE">
        <w:rPr>
          <w:rStyle w:val="a5"/>
          <w:rtl/>
        </w:rPr>
        <w:footnoteReference w:id="6"/>
      </w:r>
      <w:r w:rsidR="00AF71BE">
        <w:rPr>
          <w:rFonts w:hint="cs"/>
          <w:rtl/>
        </w:rPr>
        <w:t xml:space="preserve"> תהליך האקסיט המשפטי </w:t>
      </w:r>
      <w:r w:rsidR="007033AE">
        <w:rPr>
          <w:rFonts w:hint="cs"/>
          <w:rtl/>
        </w:rPr>
        <w:t>התר</w:t>
      </w:r>
      <w:r w:rsidR="00AC0A33">
        <w:rPr>
          <w:rFonts w:hint="cs"/>
          <w:rtl/>
        </w:rPr>
        <w:t xml:space="preserve">חש </w:t>
      </w:r>
      <w:r w:rsidR="007033AE">
        <w:rPr>
          <w:rFonts w:hint="cs"/>
          <w:rtl/>
        </w:rPr>
        <w:t xml:space="preserve">בהדרגה, ביוזמת המחוקק הישראלי, </w:t>
      </w:r>
      <w:r w:rsidR="00AF71BE">
        <w:rPr>
          <w:rFonts w:hint="cs"/>
          <w:rtl/>
        </w:rPr>
        <w:t>במטרה להפגין את עצמאותה המדינית של מדינת ישראל. הוא החל ב</w:t>
      </w:r>
      <w:r w:rsidR="00AC0A33">
        <w:rPr>
          <w:rFonts w:hint="cs"/>
          <w:rtl/>
        </w:rPr>
        <w:t xml:space="preserve">שנות </w:t>
      </w:r>
      <w:r w:rsidR="007D311D">
        <w:rPr>
          <w:rFonts w:hint="cs"/>
          <w:rtl/>
        </w:rPr>
        <w:t>השישים ו</w:t>
      </w:r>
      <w:r w:rsidR="00AC0A33">
        <w:rPr>
          <w:rFonts w:hint="cs"/>
          <w:rtl/>
        </w:rPr>
        <w:t>השבעים</w:t>
      </w:r>
      <w:r w:rsidR="00AF71BE">
        <w:rPr>
          <w:rFonts w:hint="cs"/>
          <w:rtl/>
        </w:rPr>
        <w:t xml:space="preserve"> של המאה העשרים בחקיקה של סדרת חוקים שניסתה לעצב משפט פרטי אזרחי ישראלי עצמאי. ב</w:t>
      </w:r>
      <w:r w:rsidR="005F0259">
        <w:rPr>
          <w:rFonts w:hint="cs"/>
          <w:rtl/>
        </w:rPr>
        <w:t xml:space="preserve">חלק מחוקים אלה </w:t>
      </w:r>
      <w:r w:rsidR="00AF71BE">
        <w:rPr>
          <w:rFonts w:hint="cs"/>
          <w:rtl/>
        </w:rPr>
        <w:t xml:space="preserve">נקבעה הוראה מפורשת בנוגע ל"עצמאות החוק" שלפיה </w:t>
      </w:r>
      <w:r w:rsidR="00A01C26">
        <w:rPr>
          <w:rFonts w:hint="cs"/>
          <w:rtl/>
        </w:rPr>
        <w:t xml:space="preserve">בתחומים בהם עסק כל חוק לא יהיה עוד </w:t>
      </w:r>
      <w:r w:rsidR="00AF71BE">
        <w:rPr>
          <w:rFonts w:hint="cs"/>
          <w:rtl/>
        </w:rPr>
        <w:t>תוקף מחייב למשפט האנגלי</w:t>
      </w:r>
      <w:r w:rsidR="00AC0A33">
        <w:rPr>
          <w:rFonts w:hint="cs"/>
          <w:rtl/>
        </w:rPr>
        <w:t>.</w:t>
      </w:r>
      <w:bookmarkStart w:id="4" w:name="_Ref518321682"/>
      <w:r w:rsidR="00AF71BE">
        <w:rPr>
          <w:rStyle w:val="a5"/>
          <w:rtl/>
        </w:rPr>
        <w:footnoteReference w:id="7"/>
      </w:r>
      <w:bookmarkEnd w:id="4"/>
      <w:r w:rsidR="00AC0A33">
        <w:rPr>
          <w:rFonts w:hint="cs"/>
          <w:rtl/>
        </w:rPr>
        <w:t xml:space="preserve"> </w:t>
      </w:r>
      <w:r w:rsidR="00AF71BE">
        <w:rPr>
          <w:rFonts w:hint="cs"/>
          <w:rtl/>
        </w:rPr>
        <w:t>המהלך הושלם בחקיקתו של חוק יסודות המשפט</w:t>
      </w:r>
      <w:r w:rsidR="00A01C26">
        <w:rPr>
          <w:rFonts w:hint="cs"/>
          <w:rtl/>
        </w:rPr>
        <w:t xml:space="preserve"> המשפט, תש"ם -1980 אשר ביטל סופית ובאופן כולל את תוקפה של ההפניה למשפט האנגלי ו</w:t>
      </w:r>
      <w:r w:rsidR="0018420F">
        <w:rPr>
          <w:rFonts w:hint="cs"/>
          <w:rtl/>
        </w:rPr>
        <w:t>קבע כי מעתה ימלא בית המ</w:t>
      </w:r>
      <w:r w:rsidR="00F04219">
        <w:rPr>
          <w:rFonts w:hint="cs"/>
          <w:rtl/>
        </w:rPr>
        <w:t>ש</w:t>
      </w:r>
      <w:r w:rsidR="0018420F">
        <w:rPr>
          <w:rFonts w:hint="cs"/>
          <w:rtl/>
        </w:rPr>
        <w:t>פט לקונות בחוק</w:t>
      </w:r>
      <w:r w:rsidR="00A01C26">
        <w:rPr>
          <w:rFonts w:hint="cs"/>
          <w:rtl/>
        </w:rPr>
        <w:t>: "</w:t>
      </w:r>
      <w:r w:rsidR="0018420F">
        <w:t>in the light of the principles of freedom, justice, equity and peace of Israel's heritage</w:t>
      </w:r>
      <w:r w:rsidR="00A01C26" w:rsidRPr="00A01C26">
        <w:rPr>
          <w:rFonts w:hint="cs"/>
          <w:rtl/>
        </w:rPr>
        <w:t>".</w:t>
      </w:r>
      <w:r w:rsidR="0018420F">
        <w:rPr>
          <w:rStyle w:val="a5"/>
          <w:rtl/>
        </w:rPr>
        <w:footnoteReference w:id="8"/>
      </w:r>
      <w:r w:rsidR="00A01C26">
        <w:rPr>
          <w:rFonts w:ascii="FrankRuehl" w:hAnsi="FrankRuehl" w:cs="FrankRuehl" w:hint="cs"/>
          <w:color w:val="000000"/>
          <w:sz w:val="26"/>
          <w:szCs w:val="26"/>
          <w:rtl/>
        </w:rPr>
        <w:t xml:space="preserve"> </w:t>
      </w:r>
      <w:r w:rsidR="00A01C26">
        <w:rPr>
          <w:rFonts w:hint="cs"/>
          <w:rtl/>
        </w:rPr>
        <w:t xml:space="preserve"> </w:t>
      </w:r>
      <w:r w:rsidR="00B60E1C">
        <w:rPr>
          <w:rFonts w:hint="cs"/>
          <w:rtl/>
        </w:rPr>
        <w:t xml:space="preserve">אמנם, </w:t>
      </w:r>
      <w:r w:rsidR="007F6B9C">
        <w:rPr>
          <w:rFonts w:hint="cs"/>
          <w:rtl/>
        </w:rPr>
        <w:t>הביטול ההדרגתי של החובה ל</w:t>
      </w:r>
      <w:r w:rsidR="00B60E1C">
        <w:rPr>
          <w:rFonts w:hint="cs"/>
          <w:rtl/>
        </w:rPr>
        <w:t>ה</w:t>
      </w:r>
      <w:r w:rsidR="007F6B9C">
        <w:rPr>
          <w:rFonts w:hint="cs"/>
          <w:rtl/>
        </w:rPr>
        <w:t>סתמך על המשפט האנגלי לא ביטל את הנטייה הטבעית של חלק מהשופטים להסתמך על מקורות זרים כמקורות השראה השוואתיים.</w:t>
      </w:r>
      <w:r w:rsidR="00695546">
        <w:rPr>
          <w:rFonts w:hint="cs"/>
          <w:rtl/>
        </w:rPr>
        <w:t xml:space="preserve"> במיוחד גברה הסתמכות על מקורות אמריקאים. </w:t>
      </w:r>
      <w:r w:rsidR="00B60E1C">
        <w:rPr>
          <w:rFonts w:hint="cs"/>
          <w:rtl/>
        </w:rPr>
        <w:t>בית המשפט העליון בישראל גם לא מיהר ליישם בפסיק</w:t>
      </w:r>
      <w:r>
        <w:rPr>
          <w:rFonts w:hint="cs"/>
          <w:rtl/>
        </w:rPr>
        <w:t>ו</w:t>
      </w:r>
      <w:r w:rsidR="00B60E1C">
        <w:rPr>
          <w:rFonts w:hint="cs"/>
          <w:rtl/>
        </w:rPr>
        <w:t xml:space="preserve">תיו את עקרונות המשפט העברי ומורשת ישראל. </w:t>
      </w:r>
      <w:r w:rsidR="007F6B9C">
        <w:rPr>
          <w:rFonts w:hint="cs"/>
          <w:rtl/>
        </w:rPr>
        <w:t xml:space="preserve">עם זאת, </w:t>
      </w:r>
      <w:r w:rsidR="00B60E1C">
        <w:rPr>
          <w:rFonts w:hint="cs"/>
          <w:rtl/>
        </w:rPr>
        <w:t>פעולת השפיטה הפכה</w:t>
      </w:r>
      <w:r w:rsidR="00695546">
        <w:rPr>
          <w:rFonts w:hint="cs"/>
          <w:rtl/>
        </w:rPr>
        <w:t xml:space="preserve"> בהדרגה</w:t>
      </w:r>
      <w:r w:rsidR="00B60E1C">
        <w:rPr>
          <w:rFonts w:hint="cs"/>
          <w:rtl/>
        </w:rPr>
        <w:t xml:space="preserve"> לעצמאית יותר </w:t>
      </w:r>
      <w:r w:rsidR="007D311D">
        <w:rPr>
          <w:rFonts w:hint="cs"/>
          <w:rtl/>
        </w:rPr>
        <w:t>והנטייה להסת</w:t>
      </w:r>
      <w:r w:rsidR="00B60E1C">
        <w:rPr>
          <w:rFonts w:hint="cs"/>
          <w:rtl/>
        </w:rPr>
        <w:t>מ</w:t>
      </w:r>
      <w:r w:rsidR="007D311D">
        <w:rPr>
          <w:rFonts w:hint="cs"/>
          <w:rtl/>
        </w:rPr>
        <w:t xml:space="preserve">ך על מקורת זרים </w:t>
      </w:r>
      <w:r w:rsidR="00695546">
        <w:rPr>
          <w:rFonts w:hint="cs"/>
          <w:rtl/>
        </w:rPr>
        <w:t xml:space="preserve">כלשהם </w:t>
      </w:r>
      <w:r w:rsidR="00B60E1C">
        <w:rPr>
          <w:rFonts w:hint="cs"/>
          <w:rtl/>
        </w:rPr>
        <w:t>נחלשה</w:t>
      </w:r>
      <w:r w:rsidR="00695546">
        <w:rPr>
          <w:rFonts w:hint="cs"/>
          <w:rtl/>
        </w:rPr>
        <w:t xml:space="preserve"> בצורה משמעותית</w:t>
      </w:r>
      <w:r w:rsidR="00B60E1C">
        <w:rPr>
          <w:rFonts w:hint="cs"/>
          <w:rtl/>
        </w:rPr>
        <w:t>. בתי המ</w:t>
      </w:r>
      <w:r>
        <w:rPr>
          <w:rFonts w:hint="cs"/>
          <w:rtl/>
        </w:rPr>
        <w:t>ש</w:t>
      </w:r>
      <w:r w:rsidR="00B60E1C">
        <w:rPr>
          <w:rFonts w:hint="cs"/>
          <w:rtl/>
        </w:rPr>
        <w:t xml:space="preserve">פט המקומיים החלו לפתח </w:t>
      </w:r>
      <w:r w:rsidR="007F6B9C">
        <w:rPr>
          <w:rFonts w:hint="cs"/>
          <w:rtl/>
        </w:rPr>
        <w:t xml:space="preserve">משפט מקובל </w:t>
      </w:r>
      <w:r w:rsidR="00AC0A33">
        <w:rPr>
          <w:rFonts w:hint="cs"/>
          <w:rtl/>
        </w:rPr>
        <w:t>עצמאי ובלתי תלוי בשיטות משפט זרות.</w:t>
      </w:r>
      <w:r w:rsidR="001B7A56">
        <w:rPr>
          <w:rStyle w:val="a5"/>
          <w:rtl/>
        </w:rPr>
        <w:footnoteReference w:id="9"/>
      </w:r>
      <w:r w:rsidR="007D311D">
        <w:rPr>
          <w:rFonts w:hint="cs"/>
          <w:rtl/>
        </w:rPr>
        <w:t xml:space="preserve"> דיני המקרקעין בישראל תפסו מקום של כבוד בהתפתחות זו. </w:t>
      </w:r>
    </w:p>
    <w:p w:rsidR="000E57CA" w:rsidRDefault="007F6B9C" w:rsidP="000E57CA">
      <w:pPr>
        <w:spacing w:line="480" w:lineRule="auto"/>
        <w:jc w:val="both"/>
        <w:rPr>
          <w:rtl/>
        </w:rPr>
      </w:pPr>
      <w:r>
        <w:rPr>
          <w:rFonts w:hint="cs"/>
          <w:rtl/>
        </w:rPr>
        <w:t xml:space="preserve">   </w:t>
      </w:r>
      <w:r w:rsidR="00AC0A33">
        <w:rPr>
          <w:rFonts w:hint="cs"/>
          <w:rtl/>
        </w:rPr>
        <w:t xml:space="preserve">אפיק </w:t>
      </w:r>
      <w:r w:rsidR="007D311D">
        <w:rPr>
          <w:rFonts w:hint="cs"/>
          <w:rtl/>
        </w:rPr>
        <w:t xml:space="preserve">שני שבו </w:t>
      </w:r>
      <w:r w:rsidR="00F5062B">
        <w:rPr>
          <w:rFonts w:hint="cs"/>
          <w:rtl/>
        </w:rPr>
        <w:t xml:space="preserve">צברה </w:t>
      </w:r>
      <w:r w:rsidR="007D311D">
        <w:rPr>
          <w:rFonts w:hint="cs"/>
          <w:rtl/>
        </w:rPr>
        <w:t xml:space="preserve">מערכת השיפוט הישראלית </w:t>
      </w:r>
      <w:r w:rsidR="00F5062B">
        <w:rPr>
          <w:rFonts w:hint="cs"/>
          <w:rtl/>
        </w:rPr>
        <w:t xml:space="preserve">עוצמה רבה הוא במישור היחסים הפנימיים כלפי </w:t>
      </w:r>
      <w:r w:rsidR="007D311D">
        <w:rPr>
          <w:rFonts w:hint="cs"/>
          <w:rtl/>
        </w:rPr>
        <w:t xml:space="preserve">שתי </w:t>
      </w:r>
      <w:r w:rsidR="007033AE">
        <w:rPr>
          <w:rFonts w:hint="cs"/>
          <w:rtl/>
        </w:rPr>
        <w:t xml:space="preserve">רשויות </w:t>
      </w:r>
      <w:r w:rsidR="007D311D">
        <w:rPr>
          <w:rFonts w:hint="cs"/>
          <w:rtl/>
        </w:rPr>
        <w:t>השלטון האחרות בישראל</w:t>
      </w:r>
      <w:r>
        <w:rPr>
          <w:rFonts w:hint="cs"/>
          <w:rtl/>
        </w:rPr>
        <w:t xml:space="preserve">: </w:t>
      </w:r>
      <w:r w:rsidR="007D311D">
        <w:rPr>
          <w:rFonts w:hint="cs"/>
          <w:rtl/>
        </w:rPr>
        <w:t xml:space="preserve">הרשות </w:t>
      </w:r>
      <w:r>
        <w:rPr>
          <w:rFonts w:hint="cs"/>
          <w:rtl/>
        </w:rPr>
        <w:t>המחוקקת</w:t>
      </w:r>
      <w:r w:rsidR="007D311D">
        <w:rPr>
          <w:rFonts w:hint="cs"/>
          <w:rtl/>
        </w:rPr>
        <w:t xml:space="preserve"> והרשות המבצעת</w:t>
      </w:r>
      <w:r>
        <w:rPr>
          <w:rFonts w:hint="cs"/>
          <w:rtl/>
        </w:rPr>
        <w:t xml:space="preserve">. </w:t>
      </w:r>
      <w:r w:rsidR="00F5062B">
        <w:rPr>
          <w:rFonts w:hint="cs"/>
          <w:rtl/>
        </w:rPr>
        <w:t xml:space="preserve">ישראל היא מדינה דמוקרטית שבה חל </w:t>
      </w:r>
      <w:r w:rsidR="007D311D">
        <w:rPr>
          <w:rFonts w:hint="cs"/>
          <w:rtl/>
        </w:rPr>
        <w:t>ע</w:t>
      </w:r>
      <w:r w:rsidR="00F5062B">
        <w:rPr>
          <w:rFonts w:hint="cs"/>
          <w:rtl/>
        </w:rPr>
        <w:t>י</w:t>
      </w:r>
      <w:r w:rsidR="00B60E1C">
        <w:rPr>
          <w:rFonts w:hint="cs"/>
          <w:rtl/>
        </w:rPr>
        <w:t xml:space="preserve">קרון של הפרדת רשויות. מערכת היחסים בין הרשויות מבוססת </w:t>
      </w:r>
      <w:r w:rsidR="00F5062B">
        <w:rPr>
          <w:rFonts w:hint="cs"/>
          <w:rtl/>
        </w:rPr>
        <w:t xml:space="preserve">על </w:t>
      </w:r>
      <w:r w:rsidR="00F04219">
        <w:rPr>
          <w:rFonts w:hint="cs"/>
          <w:rtl/>
        </w:rPr>
        <w:t>מערכת של אי</w:t>
      </w:r>
      <w:r w:rsidR="007D311D">
        <w:rPr>
          <w:rFonts w:hint="cs"/>
          <w:rtl/>
        </w:rPr>
        <w:t xml:space="preserve">זונים ובלמים. </w:t>
      </w:r>
      <w:r w:rsidR="00F5062B">
        <w:rPr>
          <w:rFonts w:hint="cs"/>
          <w:rtl/>
        </w:rPr>
        <w:t>כפי שכתב בזמנו שופט בית המשפט העליון האמריקאי</w:t>
      </w:r>
      <w:r w:rsidR="00E11F71">
        <w:rPr>
          <w:rFonts w:hint="cs"/>
          <w:rtl/>
        </w:rPr>
        <w:t xml:space="preserve"> </w:t>
      </w:r>
      <w:r w:rsidR="00BF74C2">
        <w:rPr>
          <w:rFonts w:hint="cs"/>
          <w:rtl/>
        </w:rPr>
        <w:t xml:space="preserve">פליקס </w:t>
      </w:r>
      <w:r w:rsidR="00E11F71">
        <w:rPr>
          <w:rFonts w:hint="cs"/>
          <w:rtl/>
        </w:rPr>
        <w:t>פרנקפורטר</w:t>
      </w:r>
      <w:r w:rsidR="00BF74C2">
        <w:rPr>
          <w:rFonts w:hint="cs"/>
          <w:rtl/>
        </w:rPr>
        <w:t xml:space="preserve"> סמכותו (</w:t>
      </w:r>
      <w:r w:rsidR="00BF74C2">
        <w:t>authority</w:t>
      </w:r>
      <w:r w:rsidR="00BF74C2">
        <w:rPr>
          <w:rFonts w:hint="cs"/>
          <w:rtl/>
        </w:rPr>
        <w:t xml:space="preserve">) של בית המשפט </w:t>
      </w:r>
      <w:r w:rsidR="00BF74C2" w:rsidRPr="00317816">
        <w:rPr>
          <w:rFonts w:asciiTheme="majorBidi" w:hAnsiTheme="majorBidi" w:cstheme="majorBidi"/>
          <w:rtl/>
        </w:rPr>
        <w:t>מבוססת על "</w:t>
      </w:r>
      <w:r w:rsidR="00BF74C2" w:rsidRPr="00317816">
        <w:rPr>
          <w:rFonts w:asciiTheme="majorBidi" w:hAnsiTheme="majorBidi" w:cstheme="majorBidi"/>
          <w:color w:val="000000"/>
          <w:shd w:val="clear" w:color="auto" w:fill="FFFFFF"/>
        </w:rPr>
        <w:t>neither the purse nor the sword</w:t>
      </w:r>
      <w:r w:rsidR="00BF74C2" w:rsidRPr="00317816">
        <w:rPr>
          <w:rFonts w:asciiTheme="majorBidi" w:hAnsiTheme="majorBidi" w:cstheme="majorBidi"/>
          <w:color w:val="000000"/>
          <w:shd w:val="clear" w:color="auto" w:fill="FFFFFF"/>
          <w:rtl/>
        </w:rPr>
        <w:t>" אלא על "</w:t>
      </w:r>
      <w:r w:rsidR="00BF74C2" w:rsidRPr="00317816">
        <w:rPr>
          <w:rFonts w:asciiTheme="majorBidi" w:hAnsiTheme="majorBidi" w:cstheme="majorBidi"/>
          <w:color w:val="000000"/>
          <w:shd w:val="clear" w:color="auto" w:fill="FFFFFF"/>
        </w:rPr>
        <w:t>sustained public confidence in its moral sanction"</w:t>
      </w:r>
      <w:r w:rsidR="00BF74C2" w:rsidRPr="00317816">
        <w:rPr>
          <w:rFonts w:asciiTheme="majorBidi" w:hAnsiTheme="majorBidi" w:cstheme="majorBidi"/>
          <w:color w:val="000000"/>
          <w:shd w:val="clear" w:color="auto" w:fill="FFFFFF"/>
          <w:rtl/>
        </w:rPr>
        <w:t xml:space="preserve"> ועל "</w:t>
      </w:r>
      <w:r w:rsidR="00BF74C2" w:rsidRPr="00317816">
        <w:rPr>
          <w:rFonts w:asciiTheme="majorBidi" w:hAnsiTheme="majorBidi" w:cstheme="majorBidi"/>
          <w:color w:val="000000"/>
          <w:shd w:val="clear" w:color="auto" w:fill="FFFFFF"/>
        </w:rPr>
        <w:t>the Court's complete detachment…from political entanglements…"</w:t>
      </w:r>
      <w:r w:rsidR="00BF74C2" w:rsidRPr="00317816">
        <w:rPr>
          <w:rFonts w:asciiTheme="majorBidi" w:hAnsiTheme="majorBidi" w:cstheme="majorBidi"/>
          <w:color w:val="000000"/>
          <w:shd w:val="clear" w:color="auto" w:fill="FFFFFF"/>
          <w:rtl/>
        </w:rPr>
        <w:t>.</w:t>
      </w:r>
      <w:r w:rsidR="00F5062B">
        <w:rPr>
          <w:rStyle w:val="a5"/>
          <w:rtl/>
        </w:rPr>
        <w:footnoteReference w:id="10"/>
      </w:r>
      <w:r w:rsidR="00F5062B">
        <w:rPr>
          <w:rFonts w:hint="cs"/>
          <w:rtl/>
        </w:rPr>
        <w:t xml:space="preserve"> </w:t>
      </w:r>
      <w:r w:rsidR="00BF74C2">
        <w:rPr>
          <w:rFonts w:hint="cs"/>
          <w:rtl/>
        </w:rPr>
        <w:t xml:space="preserve">ברוח זו </w:t>
      </w:r>
      <w:r>
        <w:rPr>
          <w:rFonts w:hint="cs"/>
          <w:rtl/>
        </w:rPr>
        <w:t xml:space="preserve">פסיקות בתי המשפט בישראל בעשורים הראשונים לקיומה היו פסיקות שמרניות שלא נטו </w:t>
      </w:r>
      <w:r w:rsidR="007D311D">
        <w:rPr>
          <w:rFonts w:hint="cs"/>
          <w:rtl/>
        </w:rPr>
        <w:t xml:space="preserve">באופן שכיח </w:t>
      </w:r>
      <w:r>
        <w:rPr>
          <w:rFonts w:hint="cs"/>
          <w:rtl/>
        </w:rPr>
        <w:t>לאקטיביזם שיפוטי</w:t>
      </w:r>
      <w:r w:rsidR="007D311D">
        <w:rPr>
          <w:rFonts w:hint="cs"/>
          <w:rtl/>
        </w:rPr>
        <w:t xml:space="preserve"> וליצירתיות משפטית</w:t>
      </w:r>
      <w:r w:rsidR="000E57CA">
        <w:rPr>
          <w:rFonts w:hint="cs"/>
          <w:rtl/>
        </w:rPr>
        <w:t xml:space="preserve"> וגם נ</w:t>
      </w:r>
      <w:r w:rsidR="00F04219">
        <w:rPr>
          <w:rFonts w:hint="cs"/>
          <w:rtl/>
        </w:rPr>
        <w:t>ז</w:t>
      </w:r>
      <w:r w:rsidR="000E57CA">
        <w:rPr>
          <w:rFonts w:hint="cs"/>
          <w:rtl/>
        </w:rPr>
        <w:t>הרו ממעורבות בעניינים פוליטיים שנויים במחלוקת</w:t>
      </w:r>
      <w:r>
        <w:rPr>
          <w:rFonts w:hint="cs"/>
          <w:rtl/>
        </w:rPr>
        <w:t xml:space="preserve">. </w:t>
      </w:r>
      <w:r w:rsidR="00F5062B">
        <w:rPr>
          <w:rFonts w:hint="cs"/>
          <w:rtl/>
        </w:rPr>
        <w:t>בעשורים האחרונים חל שינוי במצב זה.</w:t>
      </w:r>
      <w:bookmarkStart w:id="5" w:name="_Ref518420134"/>
      <w:r w:rsidR="00BF74C2">
        <w:rPr>
          <w:rStyle w:val="a5"/>
          <w:rtl/>
        </w:rPr>
        <w:footnoteReference w:id="11"/>
      </w:r>
      <w:bookmarkEnd w:id="5"/>
      <w:r w:rsidR="00317816">
        <w:rPr>
          <w:rFonts w:hint="cs"/>
        </w:rPr>
        <w:t xml:space="preserve"> </w:t>
      </w:r>
      <w:r w:rsidR="00F5062B">
        <w:rPr>
          <w:rFonts w:hint="cs"/>
          <w:rtl/>
        </w:rPr>
        <w:t>שלושה תהליכים מקבילים ה</w:t>
      </w:r>
      <w:r w:rsidR="00B60E1C">
        <w:rPr>
          <w:rFonts w:hint="cs"/>
          <w:rtl/>
        </w:rPr>
        <w:t xml:space="preserve">גבירו </w:t>
      </w:r>
      <w:r w:rsidR="000E57CA">
        <w:rPr>
          <w:rFonts w:hint="cs"/>
          <w:rtl/>
        </w:rPr>
        <w:t xml:space="preserve">בעשורים אלה </w:t>
      </w:r>
      <w:r w:rsidR="00B60E1C">
        <w:rPr>
          <w:rFonts w:hint="cs"/>
          <w:rtl/>
        </w:rPr>
        <w:t xml:space="preserve">את עוצמתו של </w:t>
      </w:r>
      <w:r w:rsidR="00F5062B">
        <w:rPr>
          <w:rFonts w:hint="cs"/>
          <w:rtl/>
        </w:rPr>
        <w:t xml:space="preserve">בית המשפט העליון </w:t>
      </w:r>
      <w:r w:rsidR="00B60E1C">
        <w:rPr>
          <w:rFonts w:hint="cs"/>
          <w:rtl/>
        </w:rPr>
        <w:t xml:space="preserve">במאזן הכוחות </w:t>
      </w:r>
      <w:r w:rsidR="000E57CA">
        <w:rPr>
          <w:rFonts w:hint="cs"/>
          <w:rtl/>
        </w:rPr>
        <w:t xml:space="preserve">מול </w:t>
      </w:r>
      <w:r w:rsidR="00B60E1C">
        <w:rPr>
          <w:rFonts w:hint="cs"/>
          <w:rtl/>
        </w:rPr>
        <w:t>שלוש רשויות השלטון</w:t>
      </w:r>
      <w:r w:rsidR="00240665">
        <w:rPr>
          <w:rFonts w:hint="cs"/>
          <w:rtl/>
        </w:rPr>
        <w:t xml:space="preserve"> </w:t>
      </w:r>
      <w:r w:rsidR="000E57CA">
        <w:rPr>
          <w:rFonts w:hint="cs"/>
          <w:rtl/>
        </w:rPr>
        <w:t xml:space="preserve">האחרות. </w:t>
      </w:r>
    </w:p>
    <w:p w:rsidR="00577064" w:rsidRDefault="000E57CA" w:rsidP="000E57CA">
      <w:pPr>
        <w:spacing w:line="480" w:lineRule="auto"/>
        <w:jc w:val="both"/>
        <w:rPr>
          <w:rtl/>
        </w:rPr>
      </w:pPr>
      <w:r>
        <w:rPr>
          <w:rFonts w:hint="cs"/>
          <w:rtl/>
        </w:rPr>
        <w:t xml:space="preserve">    </w:t>
      </w:r>
      <w:r w:rsidR="007F6B9C">
        <w:rPr>
          <w:rFonts w:hint="cs"/>
          <w:rtl/>
        </w:rPr>
        <w:t>ר</w:t>
      </w:r>
      <w:r w:rsidR="00B60E1C">
        <w:rPr>
          <w:rFonts w:hint="cs"/>
          <w:rtl/>
        </w:rPr>
        <w:t xml:space="preserve">אשית, בית המשפט העליון זנח, בהדרגה, </w:t>
      </w:r>
      <w:r w:rsidR="007F6B9C">
        <w:rPr>
          <w:rFonts w:hint="cs"/>
          <w:rtl/>
        </w:rPr>
        <w:t>את הגישה השמרנית שאפיינה את פסיקותיו בעבר</w:t>
      </w:r>
      <w:r w:rsidR="00B60E1C">
        <w:rPr>
          <w:rFonts w:hint="cs"/>
          <w:rtl/>
        </w:rPr>
        <w:t xml:space="preserve">. הוא </w:t>
      </w:r>
      <w:r w:rsidR="00F5062B">
        <w:rPr>
          <w:rFonts w:hint="cs"/>
          <w:rtl/>
        </w:rPr>
        <w:t>נטה להרחיב את מרחב שיקול הדעת השיפוטי שלו באמצעות פרשנות מאוד רחבה ויצירתית של מושגים שונים בחקיקה, כגון תום לב</w:t>
      </w:r>
      <w:r>
        <w:rPr>
          <w:rFonts w:hint="cs"/>
          <w:rtl/>
        </w:rPr>
        <w:t>,</w:t>
      </w:r>
      <w:r w:rsidR="00F5062B">
        <w:rPr>
          <w:rFonts w:hint="cs"/>
          <w:rtl/>
        </w:rPr>
        <w:t xml:space="preserve"> רשלנות</w:t>
      </w:r>
      <w:r>
        <w:rPr>
          <w:rFonts w:hint="cs"/>
          <w:rtl/>
        </w:rPr>
        <w:t xml:space="preserve"> או סבירות</w:t>
      </w:r>
      <w:r w:rsidR="00F5062B">
        <w:rPr>
          <w:rFonts w:hint="cs"/>
          <w:rtl/>
        </w:rPr>
        <w:t xml:space="preserve">. הוא נטה יותר ויותר לבסס את פסיקותיו על שיקולים ערכיים ולא רק על פרשנות פורמאליסטית של חקיקה. </w:t>
      </w:r>
      <w:r w:rsidR="007033AE">
        <w:rPr>
          <w:rFonts w:hint="cs"/>
          <w:rtl/>
        </w:rPr>
        <w:t>יצירתי</w:t>
      </w:r>
      <w:r w:rsidR="00F5062B">
        <w:rPr>
          <w:rFonts w:hint="cs"/>
          <w:rtl/>
        </w:rPr>
        <w:t>ו</w:t>
      </w:r>
      <w:r w:rsidR="007033AE">
        <w:rPr>
          <w:rFonts w:hint="cs"/>
          <w:rtl/>
        </w:rPr>
        <w:t>ת</w:t>
      </w:r>
      <w:r w:rsidR="00F5062B">
        <w:rPr>
          <w:rFonts w:hint="cs"/>
          <w:rtl/>
        </w:rPr>
        <w:t xml:space="preserve">ו של בית המשפט התרחקה באופן שכיח יותר מהטקסט של חוקים וחוזים ודמתה יותר ל"חקיקה שיפוטית" שהיא יותר פרי יצירתו </w:t>
      </w:r>
      <w:r w:rsidR="00B60E1C">
        <w:rPr>
          <w:rFonts w:hint="cs"/>
          <w:rtl/>
        </w:rPr>
        <w:t xml:space="preserve">העצמאית </w:t>
      </w:r>
      <w:r w:rsidR="00F5062B">
        <w:rPr>
          <w:rFonts w:hint="cs"/>
          <w:rtl/>
        </w:rPr>
        <w:t>של השופט מאשר פרי כוונתו של המחוקק.</w:t>
      </w:r>
      <w:r w:rsidR="007F6B9C">
        <w:rPr>
          <w:rFonts w:hint="cs"/>
          <w:rtl/>
        </w:rPr>
        <w:t xml:space="preserve"> יצירתה של "חקיקה שיפוטית" </w:t>
      </w:r>
      <w:r w:rsidR="00F5062B">
        <w:rPr>
          <w:rFonts w:hint="cs"/>
          <w:rtl/>
        </w:rPr>
        <w:t xml:space="preserve">מעין זו </w:t>
      </w:r>
      <w:r w:rsidR="007F6B9C">
        <w:rPr>
          <w:rFonts w:hint="cs"/>
          <w:rtl/>
        </w:rPr>
        <w:t>אפיינה החל משנות השמונים של המאה הקודמת את פסיקותיו של בית המשפט כמעט בכל ענפי המשפט</w:t>
      </w:r>
      <w:r w:rsidR="007033AE">
        <w:rPr>
          <w:rFonts w:hint="cs"/>
          <w:rtl/>
        </w:rPr>
        <w:t>, לרבות המשפט הפרטי</w:t>
      </w:r>
      <w:r w:rsidR="00B60E1C">
        <w:rPr>
          <w:rFonts w:hint="cs"/>
          <w:rtl/>
        </w:rPr>
        <w:t>,</w:t>
      </w:r>
      <w:r w:rsidR="007033AE">
        <w:rPr>
          <w:rFonts w:hint="cs"/>
          <w:rtl/>
        </w:rPr>
        <w:t xml:space="preserve"> המשפט המנהלי</w:t>
      </w:r>
      <w:r>
        <w:rPr>
          <w:rFonts w:hint="cs"/>
          <w:rtl/>
        </w:rPr>
        <w:t xml:space="preserve"> ו</w:t>
      </w:r>
      <w:r w:rsidR="007033AE">
        <w:rPr>
          <w:rFonts w:hint="cs"/>
          <w:rtl/>
        </w:rPr>
        <w:t>המשפט החוקתי</w:t>
      </w:r>
      <w:r w:rsidR="00F5062B">
        <w:rPr>
          <w:rFonts w:hint="cs"/>
          <w:rtl/>
        </w:rPr>
        <w:t>.</w:t>
      </w:r>
      <w:bookmarkStart w:id="6" w:name="_Ref518390629"/>
      <w:r w:rsidR="00F5062B">
        <w:rPr>
          <w:rStyle w:val="a5"/>
          <w:rtl/>
        </w:rPr>
        <w:footnoteReference w:id="12"/>
      </w:r>
      <w:bookmarkEnd w:id="6"/>
      <w:r w:rsidR="007033AE">
        <w:rPr>
          <w:rFonts w:hint="cs"/>
          <w:rtl/>
        </w:rPr>
        <w:t xml:space="preserve"> </w:t>
      </w:r>
    </w:p>
    <w:p w:rsidR="00B60E1C" w:rsidRDefault="00577064" w:rsidP="00A06D6B">
      <w:pPr>
        <w:spacing w:line="480" w:lineRule="auto"/>
        <w:jc w:val="both"/>
      </w:pPr>
      <w:r>
        <w:rPr>
          <w:rFonts w:hint="cs"/>
          <w:rtl/>
        </w:rPr>
        <w:t xml:space="preserve">  </w:t>
      </w:r>
      <w:r w:rsidR="00F5062B">
        <w:rPr>
          <w:rFonts w:hint="cs"/>
          <w:rtl/>
        </w:rPr>
        <w:t xml:space="preserve">שנית, בשנת 1992 </w:t>
      </w:r>
      <w:r w:rsidR="007033AE">
        <w:rPr>
          <w:rFonts w:hint="cs"/>
          <w:rtl/>
        </w:rPr>
        <w:t>חוקק</w:t>
      </w:r>
      <w:r w:rsidR="00F5062B">
        <w:rPr>
          <w:rFonts w:hint="cs"/>
          <w:rtl/>
        </w:rPr>
        <w:t xml:space="preserve">ה הכנסת </w:t>
      </w:r>
      <w:r w:rsidR="007033AE">
        <w:rPr>
          <w:rFonts w:hint="cs"/>
          <w:rtl/>
        </w:rPr>
        <w:t>את חוק יסוד: כבוד האדם וחירותו</w:t>
      </w:r>
      <w:r w:rsidR="000E57CA">
        <w:rPr>
          <w:rFonts w:hint="cs"/>
          <w:rtl/>
        </w:rPr>
        <w:t xml:space="preserve"> (להלן בפרק הזה: חוק היסוד)</w:t>
      </w:r>
      <w:r w:rsidR="007033AE">
        <w:rPr>
          <w:rFonts w:hint="cs"/>
          <w:rtl/>
        </w:rPr>
        <w:t>.</w:t>
      </w:r>
      <w:bookmarkStart w:id="7" w:name="_Ref505237731"/>
      <w:r w:rsidR="000E57CA" w:rsidRPr="009A7DAD">
        <w:rPr>
          <w:rStyle w:val="a5"/>
          <w:rFonts w:asciiTheme="majorBidi" w:hAnsiTheme="majorBidi" w:cstheme="majorBidi"/>
          <w:rtl/>
        </w:rPr>
        <w:footnoteReference w:id="13"/>
      </w:r>
      <w:bookmarkEnd w:id="7"/>
      <w:r w:rsidR="007033AE">
        <w:rPr>
          <w:rFonts w:hint="cs"/>
          <w:rtl/>
        </w:rPr>
        <w:t xml:space="preserve"> חוק היסוד, שנועד להיות חלק מחוקה עתידית של מדינת ישראל, קבע איסור ע</w:t>
      </w:r>
      <w:r>
        <w:rPr>
          <w:rFonts w:hint="cs"/>
          <w:rtl/>
        </w:rPr>
        <w:t>ל</w:t>
      </w:r>
      <w:r w:rsidR="007033AE">
        <w:rPr>
          <w:rFonts w:hint="cs"/>
          <w:rtl/>
        </w:rPr>
        <w:t xml:space="preserve"> פגיעה בזכויות אדם שונות</w:t>
      </w:r>
      <w:r>
        <w:rPr>
          <w:rFonts w:hint="cs"/>
          <w:rtl/>
        </w:rPr>
        <w:t xml:space="preserve"> ובהן החיים, הגוף, הכבוד</w:t>
      </w:r>
      <w:r w:rsidR="000E57CA">
        <w:rPr>
          <w:rFonts w:hint="cs"/>
          <w:rtl/>
        </w:rPr>
        <w:t xml:space="preserve"> (ס' 2)</w:t>
      </w:r>
      <w:r>
        <w:rPr>
          <w:rFonts w:hint="cs"/>
          <w:rtl/>
        </w:rPr>
        <w:t xml:space="preserve"> והקניין</w:t>
      </w:r>
      <w:r w:rsidR="000E57CA">
        <w:rPr>
          <w:rFonts w:hint="cs"/>
          <w:rtl/>
        </w:rPr>
        <w:t xml:space="preserve"> (ס'3)</w:t>
      </w:r>
      <w:r>
        <w:rPr>
          <w:rFonts w:hint="cs"/>
          <w:rtl/>
        </w:rPr>
        <w:t xml:space="preserve">. </w:t>
      </w:r>
      <w:r w:rsidR="00240665">
        <w:rPr>
          <w:rFonts w:hint="cs"/>
          <w:rtl/>
        </w:rPr>
        <w:t>ס' 8</w:t>
      </w:r>
      <w:r w:rsidR="000E57CA">
        <w:rPr>
          <w:rFonts w:hint="cs"/>
          <w:rtl/>
        </w:rPr>
        <w:t xml:space="preserve"> לחוק,</w:t>
      </w:r>
      <w:r>
        <w:rPr>
          <w:rFonts w:hint="cs"/>
          <w:rtl/>
        </w:rPr>
        <w:t xml:space="preserve"> שעם השנים זכה לכינוי "פסקת ההגבלה"</w:t>
      </w:r>
      <w:r w:rsidR="00F5062B">
        <w:rPr>
          <w:rFonts w:hint="cs"/>
          <w:rtl/>
        </w:rPr>
        <w:t>,</w:t>
      </w:r>
      <w:r w:rsidR="000E57CA">
        <w:rPr>
          <w:rFonts w:hint="cs"/>
          <w:rtl/>
        </w:rPr>
        <w:t xml:space="preserve"> קבע </w:t>
      </w:r>
      <w:r>
        <w:rPr>
          <w:rFonts w:hint="cs"/>
          <w:rtl/>
        </w:rPr>
        <w:t xml:space="preserve"> תנאים לפגיעה מותרת בזכויות האמורות ובהם </w:t>
      </w:r>
      <w:r w:rsidR="000E57CA">
        <w:rPr>
          <w:rFonts w:hint="cs"/>
          <w:rtl/>
        </w:rPr>
        <w:t xml:space="preserve">חקיקה או הסמכה מפורשת בחקיקה, </w:t>
      </w:r>
      <w:r>
        <w:rPr>
          <w:rFonts w:hint="cs"/>
          <w:rtl/>
        </w:rPr>
        <w:t xml:space="preserve">תכלית ראויה, </w:t>
      </w:r>
      <w:r w:rsidR="000E57CA">
        <w:rPr>
          <w:rFonts w:hint="cs"/>
          <w:rtl/>
        </w:rPr>
        <w:t>פגיעה במידה שאינה עולה על הנדרש ("</w:t>
      </w:r>
      <w:r>
        <w:rPr>
          <w:rFonts w:hint="cs"/>
          <w:rtl/>
        </w:rPr>
        <w:t>מידתיות</w:t>
      </w:r>
      <w:r w:rsidR="000E57CA">
        <w:rPr>
          <w:rFonts w:hint="cs"/>
          <w:rtl/>
        </w:rPr>
        <w:t>")</w:t>
      </w:r>
      <w:r>
        <w:rPr>
          <w:rFonts w:hint="cs"/>
          <w:rtl/>
        </w:rPr>
        <w:t xml:space="preserve"> והתאמה לערכיה של מדינת ישראל כמדינה "יהודית ודמוקרטית". בפסק דין תקדימי קבע בית המשפט העליון כי לחוק </w:t>
      </w:r>
      <w:r w:rsidR="00B60E1C">
        <w:rPr>
          <w:rFonts w:hint="cs"/>
          <w:rtl/>
        </w:rPr>
        <w:t xml:space="preserve">יסוד זה וגם לחוקי יסוד אחרים </w:t>
      </w:r>
      <w:r>
        <w:rPr>
          <w:rFonts w:hint="cs"/>
          <w:rtl/>
        </w:rPr>
        <w:t>יש מעמד חוקתי וכי בית המ</w:t>
      </w:r>
      <w:r w:rsidR="00F5062B">
        <w:rPr>
          <w:rFonts w:hint="cs"/>
          <w:rtl/>
        </w:rPr>
        <w:t>ש</w:t>
      </w:r>
      <w:r>
        <w:rPr>
          <w:rFonts w:hint="cs"/>
          <w:rtl/>
        </w:rPr>
        <w:t>פט מוסמך לפסול את תוקפם של חוקים או החלטות שניתנו בהתאם לחוקים אם לפי פרשנותו הם לא עומדים בתנאי חוק היסוד.</w:t>
      </w:r>
      <w:r w:rsidR="00BF4FC8">
        <w:rPr>
          <w:rStyle w:val="a5"/>
          <w:rtl/>
        </w:rPr>
        <w:footnoteReference w:id="14"/>
      </w:r>
      <w:r>
        <w:rPr>
          <w:rFonts w:hint="cs"/>
          <w:rtl/>
        </w:rPr>
        <w:t xml:space="preserve"> </w:t>
      </w:r>
      <w:r w:rsidR="00BF4FC8">
        <w:rPr>
          <w:rFonts w:hint="cs"/>
          <w:rtl/>
        </w:rPr>
        <w:t xml:space="preserve">בית המשפט העליון בישראל בצע בפסק דין זה מהלך דומה למהלך שבצע בית המשפט העליון בארצות הברית בפרשת </w:t>
      </w:r>
      <w:r w:rsidR="00BF4FC8">
        <w:t>Marbury v. Madison</w:t>
      </w:r>
      <w:r w:rsidR="00BF4FC8">
        <w:rPr>
          <w:rFonts w:hint="cs"/>
          <w:rtl/>
        </w:rPr>
        <w:t>.</w:t>
      </w:r>
      <w:r w:rsidR="00BF4FC8">
        <w:rPr>
          <w:rStyle w:val="a5"/>
          <w:rtl/>
        </w:rPr>
        <w:footnoteReference w:id="15"/>
      </w:r>
      <w:r w:rsidR="00BF4FC8">
        <w:rPr>
          <w:rFonts w:hint="cs"/>
          <w:rtl/>
        </w:rPr>
        <w:t xml:space="preserve"> הוא העניק</w:t>
      </w:r>
      <w:r>
        <w:rPr>
          <w:rFonts w:hint="cs"/>
          <w:rtl/>
        </w:rPr>
        <w:t xml:space="preserve"> לחוק היסוד מעמד חוקתי רם מחקיקת הכנסת והעניק לעצמו את סמכות העל לממש את עליונותו של החוק החוקתי על ידי פסילת חוקים</w:t>
      </w:r>
      <w:r w:rsidR="00B60E1C">
        <w:rPr>
          <w:rFonts w:hint="cs"/>
          <w:rtl/>
        </w:rPr>
        <w:t xml:space="preserve"> רגילים</w:t>
      </w:r>
      <w:r>
        <w:rPr>
          <w:rFonts w:hint="cs"/>
          <w:rtl/>
        </w:rPr>
        <w:t xml:space="preserve"> שבית המשפט סובר שהם סותרים את חוק היסוד</w:t>
      </w:r>
      <w:r w:rsidR="00A06D6B">
        <w:rPr>
          <w:rFonts w:hint="cs"/>
          <w:rtl/>
        </w:rPr>
        <w:t>,</w:t>
      </w:r>
      <w:r>
        <w:rPr>
          <w:rFonts w:hint="cs"/>
          <w:rtl/>
        </w:rPr>
        <w:t xml:space="preserve"> או על ידי פרשנותם האקטי</w:t>
      </w:r>
      <w:r w:rsidR="00F5062B">
        <w:rPr>
          <w:rFonts w:hint="cs"/>
          <w:rtl/>
        </w:rPr>
        <w:t>ביסטית של חוקים ברוח חוק היסוד.</w:t>
      </w:r>
      <w:bookmarkStart w:id="8" w:name="_Ref518397926"/>
      <w:r w:rsidR="00F5062B">
        <w:rPr>
          <w:rStyle w:val="a5"/>
          <w:rtl/>
        </w:rPr>
        <w:footnoteReference w:id="16"/>
      </w:r>
      <w:bookmarkEnd w:id="8"/>
      <w:r w:rsidR="00F5062B">
        <w:rPr>
          <w:rFonts w:hint="cs"/>
          <w:rtl/>
        </w:rPr>
        <w:t xml:space="preserve"> חקיקת חוק היסוד והמעמד החוק</w:t>
      </w:r>
      <w:r w:rsidR="00B60E1C">
        <w:rPr>
          <w:rFonts w:hint="cs"/>
          <w:rtl/>
        </w:rPr>
        <w:t>תי הגבוה יותר</w:t>
      </w:r>
      <w:r w:rsidR="00F5062B">
        <w:rPr>
          <w:rFonts w:hint="cs"/>
          <w:rtl/>
        </w:rPr>
        <w:t xml:space="preserve"> שנתן לו בית המשפט זכו בישראל לכינוי "המהפכה החוקתית".</w:t>
      </w:r>
      <w:r w:rsidR="00B60E1C">
        <w:rPr>
          <w:rStyle w:val="a5"/>
          <w:rtl/>
        </w:rPr>
        <w:footnoteReference w:id="17"/>
      </w:r>
      <w:r w:rsidR="00F5062B">
        <w:rPr>
          <w:rFonts w:hint="cs"/>
          <w:rtl/>
        </w:rPr>
        <w:t xml:space="preserve"> </w:t>
      </w:r>
      <w:r>
        <w:rPr>
          <w:rFonts w:hint="cs"/>
          <w:rtl/>
        </w:rPr>
        <w:t>מהלך זה חיזק מאוד את מעמדה של הרשות השופטת והפך אותה למעשה</w:t>
      </w:r>
      <w:r w:rsidR="00A06D6B">
        <w:rPr>
          <w:rFonts w:hint="cs"/>
          <w:rtl/>
        </w:rPr>
        <w:t xml:space="preserve">, ובנוסף לתפקידיה המסורתיים, </w:t>
      </w:r>
      <w:r>
        <w:rPr>
          <w:rFonts w:hint="cs"/>
          <w:rtl/>
        </w:rPr>
        <w:t>למעין בית משפט חוקתי, בדומה לבית המשפט העליון בארה"ב או בדומה לבתי משפט לענייני חוקה באירופה.</w:t>
      </w:r>
      <w:r w:rsidR="00A06D6B">
        <w:rPr>
          <w:rStyle w:val="a5"/>
          <w:rtl/>
        </w:rPr>
        <w:footnoteReference w:id="18"/>
      </w:r>
      <w:r>
        <w:rPr>
          <w:rFonts w:hint="cs"/>
          <w:rtl/>
        </w:rPr>
        <w:t xml:space="preserve"> </w:t>
      </w:r>
    </w:p>
    <w:p w:rsidR="00F5062B" w:rsidRDefault="00240665" w:rsidP="00C52450">
      <w:pPr>
        <w:spacing w:line="480" w:lineRule="auto"/>
        <w:jc w:val="both"/>
        <w:rPr>
          <w:rtl/>
        </w:rPr>
      </w:pPr>
      <w:r>
        <w:rPr>
          <w:rFonts w:hint="cs"/>
          <w:rtl/>
        </w:rPr>
        <w:t xml:space="preserve">   </w:t>
      </w:r>
      <w:r w:rsidR="00F5062B">
        <w:rPr>
          <w:rFonts w:hint="cs"/>
          <w:rtl/>
        </w:rPr>
        <w:t xml:space="preserve">הגורם השלישי שהגביר את עוצמתו של בית המשפט העליון </w:t>
      </w:r>
      <w:r>
        <w:rPr>
          <w:rFonts w:hint="cs"/>
          <w:rtl/>
        </w:rPr>
        <w:t xml:space="preserve">וגם את האקטיביזם שלו </w:t>
      </w:r>
      <w:r w:rsidR="00F5062B">
        <w:rPr>
          <w:rFonts w:hint="cs"/>
          <w:rtl/>
        </w:rPr>
        <w:t>היה היחלשותן של מערכות השלטון האחרות. פיצולה של המערכת הפוליטית בישראל למפלגות קטנות, החל משנות השמונים, החליש מאוד את עוצמתן של הרשות המבצעת והמחוקקת והביא למה שמומחים רבים מכנים "בעיית משילות". בית המשפט העליון ראה את עצמו ולעתים גם נתפס על ידי הציבור</w:t>
      </w:r>
      <w:r w:rsidR="00C52450">
        <w:rPr>
          <w:rFonts w:hint="cs"/>
          <w:rtl/>
        </w:rPr>
        <w:t xml:space="preserve"> או על ידי פוליטיקאים</w:t>
      </w:r>
      <w:r w:rsidR="00F5062B">
        <w:rPr>
          <w:rFonts w:hint="cs"/>
          <w:rtl/>
        </w:rPr>
        <w:t xml:space="preserve"> </w:t>
      </w:r>
      <w:r w:rsidR="00B60E1C">
        <w:rPr>
          <w:rFonts w:hint="cs"/>
          <w:rtl/>
        </w:rPr>
        <w:t>כאי של יציבות</w:t>
      </w:r>
      <w:r w:rsidR="00C52450">
        <w:rPr>
          <w:rFonts w:hint="cs"/>
          <w:rtl/>
        </w:rPr>
        <w:t xml:space="preserve"> ו</w:t>
      </w:r>
      <w:r w:rsidR="00F5062B">
        <w:rPr>
          <w:rFonts w:hint="cs"/>
          <w:rtl/>
        </w:rPr>
        <w:t xml:space="preserve">כמושיע אחרון </w:t>
      </w:r>
      <w:r w:rsidR="00C52450">
        <w:rPr>
          <w:rFonts w:hint="cs"/>
          <w:rtl/>
        </w:rPr>
        <w:t xml:space="preserve">(או אולי אף מועדף) </w:t>
      </w:r>
      <w:r w:rsidR="00F5062B">
        <w:rPr>
          <w:rFonts w:hint="cs"/>
          <w:rtl/>
        </w:rPr>
        <w:t xml:space="preserve">במקום שבו </w:t>
      </w:r>
      <w:r w:rsidR="00C52450">
        <w:rPr>
          <w:rFonts w:hint="cs"/>
          <w:rtl/>
        </w:rPr>
        <w:t>קצרה</w:t>
      </w:r>
      <w:r w:rsidR="00F5062B">
        <w:rPr>
          <w:rFonts w:hint="cs"/>
          <w:rtl/>
        </w:rPr>
        <w:t xml:space="preserve"> ידן של הרשויות האחרות</w:t>
      </w:r>
      <w:r w:rsidR="00C52450">
        <w:rPr>
          <w:rFonts w:hint="cs"/>
          <w:rtl/>
        </w:rPr>
        <w:t xml:space="preserve"> מלהושיע</w:t>
      </w:r>
      <w:r w:rsidR="00F5062B">
        <w:rPr>
          <w:rFonts w:hint="cs"/>
          <w:rtl/>
        </w:rPr>
        <w:t>.</w:t>
      </w:r>
      <w:r w:rsidR="003E5079">
        <w:rPr>
          <w:rStyle w:val="a5"/>
          <w:rtl/>
        </w:rPr>
        <w:footnoteReference w:id="19"/>
      </w:r>
      <w:r w:rsidR="00F5062B">
        <w:rPr>
          <w:rFonts w:hint="cs"/>
          <w:rtl/>
        </w:rPr>
        <w:t xml:space="preserve"> </w:t>
      </w:r>
    </w:p>
    <w:p w:rsidR="00196439" w:rsidRDefault="009E1596" w:rsidP="009D3D9C">
      <w:pPr>
        <w:spacing w:line="480" w:lineRule="auto"/>
        <w:jc w:val="both"/>
        <w:rPr>
          <w:rtl/>
        </w:rPr>
      </w:pPr>
      <w:r>
        <w:rPr>
          <w:rFonts w:hint="cs"/>
          <w:rtl/>
        </w:rPr>
        <w:t xml:space="preserve">   אחד המחוללים המרכזיים של שינוי זה היה השופט ולימים נשיא בית המשפט העליון פרופ' אהרון ברק. האקטיביזם השיפוטי </w:t>
      </w:r>
      <w:r w:rsidR="009D3D9C">
        <w:rPr>
          <w:rFonts w:hint="cs"/>
          <w:rtl/>
        </w:rPr>
        <w:t xml:space="preserve">בפסיקותיו </w:t>
      </w:r>
      <w:r>
        <w:rPr>
          <w:rFonts w:hint="cs"/>
          <w:rtl/>
        </w:rPr>
        <w:t>שיקף את הרקע האקדמי שלו כפרופסור למשפטים, את הרקע המקצועי שלו כיועץ משפטי לממשלה לשעבר, את התרשמותו משיטת המשפט בארצות הברית וגם את הרקע ההיסטורי שלו כמי שניצל כילד מאימת השואה וה</w:t>
      </w:r>
      <w:r w:rsidR="009D3D9C">
        <w:rPr>
          <w:rFonts w:hint="cs"/>
          <w:rtl/>
        </w:rPr>
        <w:t>כיר ב</w:t>
      </w:r>
      <w:r>
        <w:rPr>
          <w:rFonts w:hint="cs"/>
          <w:rtl/>
        </w:rPr>
        <w:t>חשיבות של רשות שיפוטית עצמאית כערובה לקיומה של הדמוקרטיה.</w:t>
      </w:r>
      <w:r>
        <w:rPr>
          <w:rStyle w:val="a5"/>
          <w:rtl/>
        </w:rPr>
        <w:footnoteReference w:id="20"/>
      </w:r>
      <w:r>
        <w:rPr>
          <w:rFonts w:hint="cs"/>
          <w:rtl/>
        </w:rPr>
        <w:t xml:space="preserve"> עם פרישתו פרש את השקפת עולמו בגיליון מיוחד של כתב העת המכובד </w:t>
      </w:r>
      <w:r w:rsidRPr="00412AC4">
        <w:rPr>
          <w:i/>
          <w:iCs/>
        </w:rPr>
        <w:t>Harvard Law Review</w:t>
      </w:r>
      <w:r>
        <w:rPr>
          <w:rFonts w:hint="cs"/>
          <w:rtl/>
        </w:rPr>
        <w:t>.</w:t>
      </w:r>
      <w:r>
        <w:rPr>
          <w:rStyle w:val="a5"/>
          <w:rtl/>
        </w:rPr>
        <w:footnoteReference w:id="21"/>
      </w:r>
      <w:r>
        <w:rPr>
          <w:rFonts w:hint="cs"/>
          <w:rtl/>
        </w:rPr>
        <w:t xml:space="preserve"> בישראל היה ברק למורה דרך של משפטנים רבים. </w:t>
      </w:r>
      <w:r w:rsidR="009D3D9C">
        <w:rPr>
          <w:rFonts w:hint="cs"/>
          <w:rtl/>
        </w:rPr>
        <w:t>פרופ' עוז אלמוג השווה אותו ל</w:t>
      </w:r>
      <w:r>
        <w:rPr>
          <w:rFonts w:hint="cs"/>
          <w:rtl/>
        </w:rPr>
        <w:t xml:space="preserve">אדמו"ר </w:t>
      </w:r>
      <w:r>
        <w:t>(Hassidic rabbi of secular society)</w:t>
      </w:r>
      <w:r>
        <w:rPr>
          <w:rFonts w:hint="cs"/>
          <w:rtl/>
        </w:rPr>
        <w:t>.</w:t>
      </w:r>
      <w:r>
        <w:rPr>
          <w:rStyle w:val="a5"/>
          <w:rtl/>
        </w:rPr>
        <w:footnoteReference w:id="22"/>
      </w:r>
      <w:r>
        <w:rPr>
          <w:rFonts w:hint="cs"/>
          <w:rtl/>
        </w:rPr>
        <w:t xml:space="preserve"> </w:t>
      </w:r>
      <w:r w:rsidR="009D3D9C">
        <w:rPr>
          <w:rFonts w:hint="cs"/>
          <w:rtl/>
        </w:rPr>
        <w:t xml:space="preserve">ברק </w:t>
      </w:r>
      <w:r w:rsidR="00C52450">
        <w:rPr>
          <w:rFonts w:hint="cs"/>
          <w:rtl/>
        </w:rPr>
        <w:t xml:space="preserve">הפך לסמל השינוי וגם ספג עקב כך את הביקורת החריפה של מבקרי השינוי. </w:t>
      </w:r>
    </w:p>
    <w:p w:rsidR="003A61E6" w:rsidRDefault="00196439" w:rsidP="00B603E4">
      <w:pPr>
        <w:spacing w:line="480" w:lineRule="auto"/>
        <w:jc w:val="both"/>
        <w:rPr>
          <w:rtl/>
        </w:rPr>
      </w:pPr>
      <w:r>
        <w:rPr>
          <w:rFonts w:hint="cs"/>
          <w:rtl/>
        </w:rPr>
        <w:t xml:space="preserve">   </w:t>
      </w:r>
      <w:r w:rsidR="00F5062B">
        <w:rPr>
          <w:rFonts w:hint="cs"/>
          <w:rtl/>
        </w:rPr>
        <w:t xml:space="preserve">שלושת התהליכים שתיארנו הגבירו את עוצמתו של בית המשפט העליון </w:t>
      </w:r>
      <w:r w:rsidR="00240665">
        <w:rPr>
          <w:rFonts w:hint="cs"/>
          <w:rtl/>
        </w:rPr>
        <w:t xml:space="preserve">ביחס לרשויות האחרות </w:t>
      </w:r>
      <w:r w:rsidR="00F5062B">
        <w:rPr>
          <w:rFonts w:hint="cs"/>
          <w:rtl/>
        </w:rPr>
        <w:t>במידה כזו ש</w:t>
      </w:r>
      <w:r w:rsidR="00C52450">
        <w:rPr>
          <w:rFonts w:hint="cs"/>
          <w:rtl/>
        </w:rPr>
        <w:t xml:space="preserve">אכן </w:t>
      </w:r>
      <w:r w:rsidR="00F5062B">
        <w:rPr>
          <w:rFonts w:hint="cs"/>
          <w:rtl/>
        </w:rPr>
        <w:t xml:space="preserve">עוררה ביקורת </w:t>
      </w:r>
      <w:r w:rsidR="00B60E1C">
        <w:rPr>
          <w:rFonts w:hint="cs"/>
          <w:rtl/>
        </w:rPr>
        <w:t xml:space="preserve">חריפה על בית המשפט, הן במישור האקדמי והן במישור הפוליטי והציבורי. </w:t>
      </w:r>
      <w:r>
        <w:rPr>
          <w:rFonts w:hint="cs"/>
          <w:rtl/>
        </w:rPr>
        <w:t>פרופ' מאוטנר הגדיר את השינוי שהתחולל בגישתו של בית המשפט כמעבר מפורמליזם לערכים והוא ייחס שינוי זה בין היתר לניסיון של השכבה החברתית שעליה נמנים שופטי בית המשפט העליון לשמר את כוחה ואת ערכיה הליבראליים.</w:t>
      </w:r>
      <w:r>
        <w:rPr>
          <w:rStyle w:val="a5"/>
          <w:rtl/>
        </w:rPr>
        <w:footnoteReference w:id="23"/>
      </w:r>
      <w:r>
        <w:rPr>
          <w:rFonts w:hint="cs"/>
          <w:rtl/>
        </w:rPr>
        <w:t xml:space="preserve"> </w:t>
      </w:r>
      <w:r w:rsidR="00B60E1C">
        <w:rPr>
          <w:rFonts w:hint="cs"/>
          <w:rtl/>
        </w:rPr>
        <w:t xml:space="preserve">מבקרים </w:t>
      </w:r>
      <w:r>
        <w:rPr>
          <w:rFonts w:hint="cs"/>
          <w:rtl/>
        </w:rPr>
        <w:t xml:space="preserve">אחרים טענו </w:t>
      </w:r>
      <w:r w:rsidR="00B60E1C">
        <w:rPr>
          <w:rFonts w:hint="cs"/>
          <w:rtl/>
        </w:rPr>
        <w:t xml:space="preserve">כי בית המשפט לקח לעצמו סמכויות </w:t>
      </w:r>
      <w:r w:rsidR="00330B24">
        <w:rPr>
          <w:rFonts w:hint="cs"/>
          <w:rtl/>
        </w:rPr>
        <w:t>ה</w:t>
      </w:r>
      <w:r w:rsidR="00B60E1C">
        <w:rPr>
          <w:rFonts w:hint="cs"/>
          <w:rtl/>
        </w:rPr>
        <w:t>חורג</w:t>
      </w:r>
      <w:r w:rsidR="00330B24">
        <w:rPr>
          <w:rFonts w:hint="cs"/>
          <w:rtl/>
        </w:rPr>
        <w:t>ות</w:t>
      </w:r>
      <w:r w:rsidR="00B60E1C">
        <w:rPr>
          <w:rFonts w:hint="cs"/>
          <w:rtl/>
        </w:rPr>
        <w:t xml:space="preserve"> מה</w:t>
      </w:r>
      <w:r w:rsidR="003B7D60">
        <w:rPr>
          <w:rFonts w:hint="cs"/>
          <w:rtl/>
        </w:rPr>
        <w:t xml:space="preserve">תפקיד המקובל </w:t>
      </w:r>
      <w:r w:rsidR="00330B24">
        <w:rPr>
          <w:rFonts w:hint="cs"/>
          <w:rtl/>
        </w:rPr>
        <w:t xml:space="preserve">והראוי </w:t>
      </w:r>
      <w:r w:rsidR="003B7D60">
        <w:rPr>
          <w:rFonts w:hint="cs"/>
          <w:rtl/>
        </w:rPr>
        <w:t xml:space="preserve">של בתי המשפט </w:t>
      </w:r>
      <w:r w:rsidR="009E1596">
        <w:rPr>
          <w:rFonts w:hint="cs"/>
          <w:rtl/>
        </w:rPr>
        <w:t xml:space="preserve">ועלול </w:t>
      </w:r>
      <w:r w:rsidR="003B7D60">
        <w:rPr>
          <w:rFonts w:hint="cs"/>
          <w:rtl/>
        </w:rPr>
        <w:t xml:space="preserve">אף </w:t>
      </w:r>
      <w:r w:rsidR="009E1596">
        <w:rPr>
          <w:rFonts w:hint="cs"/>
          <w:rtl/>
        </w:rPr>
        <w:t>לפגוע בבית המשפט עצמו</w:t>
      </w:r>
      <w:r w:rsidR="00B60E1C">
        <w:rPr>
          <w:rFonts w:hint="cs"/>
          <w:rtl/>
        </w:rPr>
        <w:t>.</w:t>
      </w:r>
      <w:r w:rsidR="009A07F8">
        <w:rPr>
          <w:rStyle w:val="a5"/>
          <w:rtl/>
        </w:rPr>
        <w:footnoteReference w:id="24"/>
      </w:r>
      <w:r w:rsidR="009E1596">
        <w:rPr>
          <w:rFonts w:hint="cs"/>
          <w:rtl/>
        </w:rPr>
        <w:t xml:space="preserve"> </w:t>
      </w:r>
      <w:r w:rsidR="00151240">
        <w:rPr>
          <w:rFonts w:hint="cs"/>
          <w:rtl/>
        </w:rPr>
        <w:t>מטבע הדברים, ריבוי פסיקות בסוגיות שנויות במחלוקת פוליטית הניב ביקורת הולכת ומתעצמת של פוליטיקאים על בית המשפט.</w:t>
      </w:r>
      <w:r w:rsidR="00DF4E1E">
        <w:rPr>
          <w:rStyle w:val="a5"/>
          <w:rtl/>
        </w:rPr>
        <w:footnoteReference w:id="25"/>
      </w:r>
      <w:r w:rsidR="00B60E1C">
        <w:rPr>
          <w:rFonts w:hint="cs"/>
          <w:rtl/>
        </w:rPr>
        <w:t xml:space="preserve"> </w:t>
      </w:r>
      <w:r w:rsidR="003A61E6">
        <w:rPr>
          <w:rFonts w:hint="cs"/>
          <w:rtl/>
        </w:rPr>
        <w:t>בשנים האחרונות עומדת סוגיית מעמדו של בית המשפט העליון במרכז</w:t>
      </w:r>
      <w:r w:rsidR="00151240">
        <w:rPr>
          <w:rFonts w:hint="cs"/>
          <w:rtl/>
        </w:rPr>
        <w:t>ו של לחץ פוליטי מתמיד לצמצום האקטיביזם של בית המשפט</w:t>
      </w:r>
      <w:r w:rsidR="003A61E6">
        <w:rPr>
          <w:rFonts w:hint="cs"/>
          <w:rtl/>
        </w:rPr>
        <w:t xml:space="preserve">. שניים משרי המשפטים של מדינת ישראל בעשורים האחרונים הם מבקרים חריפים של האקטיביזם השיפוטי. פרופ' דניאל פרידמן שכהן כשר המשפטים בשנים </w:t>
      </w:r>
      <w:r w:rsidR="009A07F8">
        <w:rPr>
          <w:rFonts w:hint="cs"/>
          <w:rtl/>
        </w:rPr>
        <w:t>2007-2009</w:t>
      </w:r>
      <w:r w:rsidR="003A61E6">
        <w:rPr>
          <w:rFonts w:hint="cs"/>
          <w:rtl/>
        </w:rPr>
        <w:t xml:space="preserve"> סכם את תפיסתו הביקורתית בספרו "הארנק והחרב"</w:t>
      </w:r>
      <w:r w:rsidR="00151240">
        <w:rPr>
          <w:rFonts w:hint="cs"/>
          <w:rtl/>
        </w:rPr>
        <w:t>.</w:t>
      </w:r>
      <w:r w:rsidR="009A07F8">
        <w:rPr>
          <w:rStyle w:val="a5"/>
          <w:rtl/>
        </w:rPr>
        <w:footnoteReference w:id="26"/>
      </w:r>
      <w:r w:rsidR="003A61E6">
        <w:rPr>
          <w:rFonts w:hint="cs"/>
          <w:rtl/>
        </w:rPr>
        <w:t xml:space="preserve"> שר</w:t>
      </w:r>
      <w:r w:rsidR="009A07F8">
        <w:rPr>
          <w:rFonts w:hint="cs"/>
          <w:rtl/>
        </w:rPr>
        <w:t>ת המשפטים המכהנת מאז 2015</w:t>
      </w:r>
      <w:r w:rsidR="003A61E6">
        <w:rPr>
          <w:rFonts w:hint="cs"/>
          <w:rtl/>
        </w:rPr>
        <w:t xml:space="preserve">, איילת שקד, נקטה בצעדים ממשיים להחלשת </w:t>
      </w:r>
      <w:r w:rsidR="00B603E4">
        <w:rPr>
          <w:rFonts w:hint="cs"/>
          <w:rtl/>
        </w:rPr>
        <w:t xml:space="preserve">האקטיביזם השיפוטי </w:t>
      </w:r>
      <w:r w:rsidR="003A61E6">
        <w:rPr>
          <w:rFonts w:hint="cs"/>
          <w:rtl/>
        </w:rPr>
        <w:t>ובהם תמיכה מאסיבית ומוצלחת במינוי שופטים בעלי דעות "שמרניות"</w:t>
      </w:r>
      <w:r w:rsidR="009A07F8">
        <w:rPr>
          <w:rStyle w:val="a5"/>
          <w:rtl/>
        </w:rPr>
        <w:footnoteReference w:id="27"/>
      </w:r>
      <w:r w:rsidR="003A61E6">
        <w:rPr>
          <w:rFonts w:hint="cs"/>
          <w:rtl/>
        </w:rPr>
        <w:t xml:space="preserve"> והגשת הצעת חוק יסוד שתאפשר לכנסת לחוקק חוקים שמתגברים על פסיקות בי</w:t>
      </w:r>
      <w:r w:rsidR="009A07F8">
        <w:rPr>
          <w:rFonts w:hint="cs"/>
          <w:rtl/>
        </w:rPr>
        <w:t>ת המשפט באמצעות "פסקת התגברות".</w:t>
      </w:r>
      <w:r w:rsidR="009A07F8">
        <w:rPr>
          <w:rStyle w:val="a5"/>
          <w:rtl/>
        </w:rPr>
        <w:footnoteReference w:id="28"/>
      </w:r>
      <w:r w:rsidR="003A61E6">
        <w:rPr>
          <w:rFonts w:hint="cs"/>
          <w:rtl/>
        </w:rPr>
        <w:t xml:space="preserve"> </w:t>
      </w:r>
      <w:r w:rsidR="00666E69">
        <w:rPr>
          <w:rFonts w:hint="cs"/>
          <w:rtl/>
        </w:rPr>
        <w:t xml:space="preserve">התגברות האקטיביזם השיפוטי גרמה </w:t>
      </w:r>
      <w:r w:rsidR="00B603E4">
        <w:rPr>
          <w:rFonts w:hint="cs"/>
          <w:rtl/>
        </w:rPr>
        <w:t>גם ל</w:t>
      </w:r>
      <w:r w:rsidR="00666E69">
        <w:rPr>
          <w:rFonts w:hint="cs"/>
          <w:rtl/>
        </w:rPr>
        <w:t xml:space="preserve">ירידה </w:t>
      </w:r>
      <w:r w:rsidR="00B603E4">
        <w:rPr>
          <w:rFonts w:hint="cs"/>
          <w:rtl/>
        </w:rPr>
        <w:t xml:space="preserve">מסוימת והדרגתית </w:t>
      </w:r>
      <w:r w:rsidR="00666E69">
        <w:rPr>
          <w:rFonts w:hint="cs"/>
          <w:rtl/>
        </w:rPr>
        <w:t>באמון הציבור בבית המשפט</w:t>
      </w:r>
      <w:r w:rsidR="00A07FCF">
        <w:rPr>
          <w:rFonts w:hint="cs"/>
          <w:rtl/>
        </w:rPr>
        <w:t xml:space="preserve"> העליון</w:t>
      </w:r>
      <w:r w:rsidR="00625ED3">
        <w:rPr>
          <w:rFonts w:hint="cs"/>
          <w:rtl/>
        </w:rPr>
        <w:t>, אך הסקרים שבוחנים את אמון הציבור מצביעים מאז שנת 2009 על מגמה מתונה ועקבית של חזרה לרמות האמון שקדמו למהפכה החוקתית</w:t>
      </w:r>
      <w:r w:rsidR="00666E69">
        <w:rPr>
          <w:rFonts w:hint="cs"/>
          <w:rtl/>
        </w:rPr>
        <w:t>.</w:t>
      </w:r>
      <w:r w:rsidR="009A07F8">
        <w:rPr>
          <w:rStyle w:val="a5"/>
          <w:rtl/>
        </w:rPr>
        <w:footnoteReference w:id="29"/>
      </w:r>
      <w:r w:rsidR="003A61E6">
        <w:rPr>
          <w:rFonts w:hint="cs"/>
          <w:rtl/>
        </w:rPr>
        <w:t xml:space="preserve"> </w:t>
      </w:r>
    </w:p>
    <w:p w:rsidR="00AC0A33" w:rsidRDefault="00577064" w:rsidP="00B603E4">
      <w:pPr>
        <w:spacing w:line="480" w:lineRule="auto"/>
        <w:jc w:val="both"/>
        <w:rPr>
          <w:rtl/>
        </w:rPr>
      </w:pPr>
      <w:r>
        <w:rPr>
          <w:rFonts w:hint="cs"/>
          <w:rtl/>
        </w:rPr>
        <w:t xml:space="preserve">   </w:t>
      </w:r>
      <w:r w:rsidR="000B2A4F">
        <w:rPr>
          <w:rFonts w:hint="cs"/>
          <w:rtl/>
        </w:rPr>
        <w:t xml:space="preserve">היצירתיות השיפוטית </w:t>
      </w:r>
      <w:r w:rsidR="00B603E4">
        <w:rPr>
          <w:rFonts w:hint="cs"/>
          <w:rtl/>
        </w:rPr>
        <w:t xml:space="preserve">היא אפוא </w:t>
      </w:r>
      <w:r w:rsidR="000B2A4F">
        <w:rPr>
          <w:rFonts w:hint="cs"/>
          <w:rtl/>
        </w:rPr>
        <w:t xml:space="preserve">אחד </w:t>
      </w:r>
      <w:r w:rsidR="00EF0C72">
        <w:rPr>
          <w:rFonts w:hint="cs"/>
          <w:rtl/>
        </w:rPr>
        <w:t>מ</w:t>
      </w:r>
      <w:r w:rsidR="00B603E4">
        <w:rPr>
          <w:rFonts w:hint="cs"/>
          <w:rtl/>
        </w:rPr>
        <w:t>מ</w:t>
      </w:r>
      <w:r w:rsidR="00EF0C72">
        <w:rPr>
          <w:rFonts w:hint="cs"/>
          <w:rtl/>
        </w:rPr>
        <w:t>אפייני הזהות המרכזיים של</w:t>
      </w:r>
      <w:r w:rsidR="00B603E4">
        <w:rPr>
          <w:rFonts w:hint="cs"/>
          <w:rtl/>
        </w:rPr>
        <w:t xml:space="preserve"> מערכת השיפוט בישראל</w:t>
      </w:r>
      <w:r w:rsidR="00EF0C72">
        <w:rPr>
          <w:rFonts w:hint="cs"/>
          <w:rtl/>
        </w:rPr>
        <w:t xml:space="preserve">. </w:t>
      </w:r>
      <w:r>
        <w:rPr>
          <w:rFonts w:hint="cs"/>
          <w:rtl/>
        </w:rPr>
        <w:t>כמו מאפייני זהות אחרים של מדינת ישראל, דיני המקרקעין בישראל</w:t>
      </w:r>
      <w:r w:rsidR="00B603E4">
        <w:rPr>
          <w:rFonts w:hint="cs"/>
          <w:rtl/>
        </w:rPr>
        <w:t xml:space="preserve"> משקפים אותה היטב</w:t>
      </w:r>
      <w:r>
        <w:rPr>
          <w:rFonts w:hint="cs"/>
          <w:rtl/>
        </w:rPr>
        <w:t>. את הפ</w:t>
      </w:r>
      <w:r w:rsidR="00B603E4">
        <w:rPr>
          <w:rFonts w:hint="cs"/>
          <w:rtl/>
        </w:rPr>
        <w:t>סקאות הבאות</w:t>
      </w:r>
      <w:r>
        <w:rPr>
          <w:rFonts w:hint="cs"/>
          <w:rtl/>
        </w:rPr>
        <w:t xml:space="preserve"> הבאים נקדיש לניתוח שני תחומים של דיני המקרקעין שבהם באה לידי ביטוי התעצמות כוחה של הרשות השופטת בישראל: האחד, </w:t>
      </w:r>
      <w:r w:rsidR="003A61E6">
        <w:rPr>
          <w:rFonts w:hint="cs"/>
          <w:rtl/>
        </w:rPr>
        <w:t xml:space="preserve">פיתוח עצמאי של זכויות מן היושר </w:t>
      </w:r>
      <w:r w:rsidR="00EF0C72">
        <w:rPr>
          <w:rFonts w:hint="cs"/>
          <w:rtl/>
        </w:rPr>
        <w:t xml:space="preserve">"תוצרת הארץ" </w:t>
      </w:r>
      <w:r w:rsidR="003A61E6">
        <w:rPr>
          <w:rFonts w:hint="cs"/>
          <w:rtl/>
        </w:rPr>
        <w:t>בישראל (</w:t>
      </w:r>
      <w:r w:rsidR="003A61E6">
        <w:t>equitable rights</w:t>
      </w:r>
      <w:r w:rsidR="003A61E6">
        <w:rPr>
          <w:rFonts w:hint="cs"/>
          <w:rtl/>
        </w:rPr>
        <w:t xml:space="preserve">). השני, התפתחות פסיקותיו של בית המשפט בתחום ההגנה </w:t>
      </w:r>
      <w:r>
        <w:rPr>
          <w:rFonts w:hint="cs"/>
          <w:rtl/>
        </w:rPr>
        <w:t xml:space="preserve">החוקתית </w:t>
      </w:r>
      <w:r w:rsidR="00EF0C72">
        <w:rPr>
          <w:rFonts w:hint="cs"/>
          <w:rtl/>
        </w:rPr>
        <w:t>ע</w:t>
      </w:r>
      <w:r>
        <w:rPr>
          <w:rFonts w:hint="cs"/>
          <w:rtl/>
        </w:rPr>
        <w:t>ל</w:t>
      </w:r>
      <w:r w:rsidR="00EF0C72">
        <w:rPr>
          <w:rFonts w:hint="cs"/>
          <w:rtl/>
        </w:rPr>
        <w:t xml:space="preserve"> ה</w:t>
      </w:r>
      <w:r>
        <w:rPr>
          <w:rFonts w:hint="cs"/>
          <w:rtl/>
        </w:rPr>
        <w:t xml:space="preserve">קניין </w:t>
      </w:r>
      <w:r w:rsidR="00EF0C72">
        <w:rPr>
          <w:rFonts w:hint="cs"/>
          <w:rtl/>
        </w:rPr>
        <w:t xml:space="preserve">הפרטי </w:t>
      </w:r>
      <w:r>
        <w:rPr>
          <w:rFonts w:hint="cs"/>
          <w:rtl/>
        </w:rPr>
        <w:t>בישראל</w:t>
      </w:r>
      <w:r w:rsidR="003A61E6">
        <w:rPr>
          <w:rFonts w:hint="cs"/>
          <w:rtl/>
        </w:rPr>
        <w:t>.</w:t>
      </w:r>
    </w:p>
    <w:p w:rsidR="00A07FCF" w:rsidRDefault="00A07FCF" w:rsidP="00AC0A33">
      <w:pPr>
        <w:spacing w:line="480" w:lineRule="auto"/>
        <w:jc w:val="both"/>
        <w:rPr>
          <w:b/>
          <w:bCs/>
          <w:rtl/>
        </w:rPr>
      </w:pPr>
    </w:p>
    <w:p w:rsidR="00BA5E25" w:rsidRPr="00007158" w:rsidRDefault="00007158" w:rsidP="0053533A">
      <w:pPr>
        <w:spacing w:line="480" w:lineRule="auto"/>
        <w:jc w:val="both"/>
        <w:rPr>
          <w:b/>
          <w:bCs/>
          <w:rtl/>
        </w:rPr>
      </w:pPr>
      <w:r w:rsidRPr="00007158">
        <w:rPr>
          <w:rFonts w:hint="cs"/>
          <w:b/>
          <w:bCs/>
          <w:rtl/>
        </w:rPr>
        <w:t>פיתוח</w:t>
      </w:r>
      <w:r w:rsidR="0053533A">
        <w:rPr>
          <w:rFonts w:hint="cs"/>
          <w:b/>
          <w:bCs/>
          <w:rtl/>
        </w:rPr>
        <w:t xml:space="preserve"> עצמאי של </w:t>
      </w:r>
      <w:r w:rsidR="0053533A">
        <w:rPr>
          <w:b/>
          <w:bCs/>
        </w:rPr>
        <w:t>equitable property rights</w:t>
      </w:r>
    </w:p>
    <w:p w:rsidR="00F91C21" w:rsidRDefault="003B7C36" w:rsidP="00845D0B">
      <w:pPr>
        <w:spacing w:line="480" w:lineRule="auto"/>
        <w:jc w:val="both"/>
        <w:rPr>
          <w:rtl/>
        </w:rPr>
      </w:pPr>
      <w:r>
        <w:rPr>
          <w:rFonts w:hint="cs"/>
          <w:rtl/>
        </w:rPr>
        <w:t xml:space="preserve">   לדיני ה-</w:t>
      </w:r>
      <w:r>
        <w:t>equity</w:t>
      </w:r>
      <w:r>
        <w:rPr>
          <w:rFonts w:hint="cs"/>
          <w:rtl/>
        </w:rPr>
        <w:t xml:space="preserve"> ול-</w:t>
      </w:r>
      <w:r>
        <w:t>common law</w:t>
      </w:r>
      <w:r>
        <w:rPr>
          <w:rFonts w:hint="cs"/>
          <w:rtl/>
        </w:rPr>
        <w:t xml:space="preserve"> האנגליים </w:t>
      </w:r>
      <w:r w:rsidR="009B6CC7">
        <w:rPr>
          <w:rFonts w:hint="cs"/>
          <w:rtl/>
        </w:rPr>
        <w:t xml:space="preserve">היה מעמד חוקי מחייב </w:t>
      </w:r>
      <w:r w:rsidR="00C23555">
        <w:rPr>
          <w:rFonts w:hint="cs"/>
          <w:rtl/>
        </w:rPr>
        <w:t xml:space="preserve">בארץ-ישראל </w:t>
      </w:r>
      <w:r w:rsidR="009B6CC7">
        <w:rPr>
          <w:rFonts w:hint="cs"/>
          <w:rtl/>
        </w:rPr>
        <w:t>בתקופת המנדט. כפי שצוין כבר, המקור לכך הייתה החוקה המנדטורית ש</w:t>
      </w:r>
      <w:r w:rsidR="00C23555">
        <w:rPr>
          <w:rFonts w:hint="cs"/>
          <w:rtl/>
        </w:rPr>
        <w:t xml:space="preserve">המשיכה להיות בתוקף </w:t>
      </w:r>
      <w:r w:rsidR="00180501">
        <w:rPr>
          <w:rFonts w:hint="cs"/>
          <w:rtl/>
        </w:rPr>
        <w:t xml:space="preserve">גם לאחר הקמת </w:t>
      </w:r>
      <w:r w:rsidR="009B6CC7">
        <w:rPr>
          <w:rFonts w:hint="cs"/>
          <w:rtl/>
        </w:rPr>
        <w:t>מדינ</w:t>
      </w:r>
      <w:r w:rsidR="00180501">
        <w:rPr>
          <w:rFonts w:hint="cs"/>
          <w:rtl/>
        </w:rPr>
        <w:t xml:space="preserve">ת ישראל. </w:t>
      </w:r>
      <w:r w:rsidR="009B6CC7">
        <w:rPr>
          <w:rFonts w:hint="cs"/>
          <w:rtl/>
        </w:rPr>
        <w:t xml:space="preserve">הפסיקה האנגלית שמשה באותם שנים כמקור נורמאטיבי לדוקטרינות </w:t>
      </w:r>
      <w:r w:rsidR="00180501">
        <w:rPr>
          <w:rFonts w:hint="cs"/>
          <w:rtl/>
        </w:rPr>
        <w:t>שונות</w:t>
      </w:r>
      <w:r w:rsidR="009B6CC7">
        <w:rPr>
          <w:rFonts w:hint="cs"/>
          <w:rtl/>
        </w:rPr>
        <w:t xml:space="preserve"> בתחום דיני המקרקעין</w:t>
      </w:r>
      <w:r w:rsidR="00180501">
        <w:rPr>
          <w:rFonts w:hint="cs"/>
          <w:rtl/>
        </w:rPr>
        <w:t>, ובעיקר זכויות שפותחו בבתי המשפט של אקוויטי.</w:t>
      </w:r>
      <w:bookmarkStart w:id="10" w:name="_Ref518489692"/>
      <w:r w:rsidR="00180501">
        <w:rPr>
          <w:rStyle w:val="a5"/>
          <w:rtl/>
        </w:rPr>
        <w:footnoteReference w:id="30"/>
      </w:r>
      <w:bookmarkEnd w:id="10"/>
      <w:r w:rsidR="00180501">
        <w:rPr>
          <w:rFonts w:hint="cs"/>
          <w:rtl/>
        </w:rPr>
        <w:t xml:space="preserve"> כך, למשל, הכירו בתי המשפט בישראל בזכויות קניין "מן היושר". </w:t>
      </w:r>
      <w:r w:rsidR="00B57DB4">
        <w:rPr>
          <w:rFonts w:hint="cs"/>
          <w:rtl/>
        </w:rPr>
        <w:t xml:space="preserve">הם פסקו, </w:t>
      </w:r>
      <w:r w:rsidR="00180501">
        <w:rPr>
          <w:rFonts w:hint="cs"/>
          <w:rtl/>
        </w:rPr>
        <w:t xml:space="preserve">לפי הלכות </w:t>
      </w:r>
      <w:r w:rsidR="00C23555">
        <w:rPr>
          <w:rFonts w:hint="cs"/>
          <w:rtl/>
        </w:rPr>
        <w:t>שי</w:t>
      </w:r>
      <w:r w:rsidR="00B57DB4">
        <w:rPr>
          <w:rFonts w:hint="cs"/>
          <w:rtl/>
        </w:rPr>
        <w:t>י</w:t>
      </w:r>
      <w:r w:rsidR="00C23555">
        <w:rPr>
          <w:rFonts w:hint="cs"/>
          <w:rtl/>
        </w:rPr>
        <w:t xml:space="preserve">באו </w:t>
      </w:r>
      <w:r w:rsidR="00B57DB4">
        <w:rPr>
          <w:rFonts w:hint="cs"/>
          <w:rtl/>
        </w:rPr>
        <w:t>מ</w:t>
      </w:r>
      <w:r w:rsidR="00C23555">
        <w:rPr>
          <w:rFonts w:hint="cs"/>
          <w:rtl/>
        </w:rPr>
        <w:t xml:space="preserve">המשפט האנגלי, </w:t>
      </w:r>
      <w:r w:rsidR="00850A0D">
        <w:rPr>
          <w:rFonts w:hint="cs"/>
          <w:rtl/>
        </w:rPr>
        <w:t xml:space="preserve">כי </w:t>
      </w:r>
      <w:r w:rsidR="00180501">
        <w:rPr>
          <w:rFonts w:hint="cs"/>
          <w:rtl/>
        </w:rPr>
        <w:t xml:space="preserve">מי שבידיו חוזה לרכישת </w:t>
      </w:r>
      <w:r w:rsidR="00B57DB4">
        <w:rPr>
          <w:rFonts w:hint="cs"/>
          <w:rtl/>
        </w:rPr>
        <w:t>זכות</w:t>
      </w:r>
      <w:r w:rsidR="00C23555">
        <w:rPr>
          <w:rFonts w:hint="cs"/>
          <w:rtl/>
        </w:rPr>
        <w:t xml:space="preserve"> במקרקעין </w:t>
      </w:r>
      <w:r w:rsidR="00180501">
        <w:rPr>
          <w:rFonts w:hint="cs"/>
          <w:rtl/>
        </w:rPr>
        <w:t>הוא בעל זכות קניין מן היושר בנכס</w:t>
      </w:r>
      <w:r w:rsidR="00B57DB4">
        <w:rPr>
          <w:rFonts w:hint="cs"/>
          <w:rtl/>
        </w:rPr>
        <w:t>,</w:t>
      </w:r>
      <w:r w:rsidR="00180501">
        <w:rPr>
          <w:rFonts w:hint="cs"/>
          <w:rtl/>
        </w:rPr>
        <w:t xml:space="preserve"> אף על פי שהמעביר נותר בעל זכות הקניין שבדין. המשמעות המרכזית של הלכה זו היא שזכות הקניין מן היושר עדיפה על </w:t>
      </w:r>
      <w:r w:rsidR="00C23555">
        <w:rPr>
          <w:rFonts w:hint="cs"/>
          <w:rtl/>
        </w:rPr>
        <w:t>פ</w:t>
      </w:r>
      <w:r w:rsidR="00180501">
        <w:rPr>
          <w:rFonts w:hint="cs"/>
          <w:rtl/>
        </w:rPr>
        <w:t>ני זכותם של כל נושי המעביר, למעט נושים שהשלימו את רכישת הנכס בתמורה (</w:t>
      </w:r>
      <w:r w:rsidR="00180501">
        <w:t>value</w:t>
      </w:r>
      <w:r w:rsidR="00180501">
        <w:rPr>
          <w:rFonts w:hint="cs"/>
          <w:rtl/>
        </w:rPr>
        <w:t>)</w:t>
      </w:r>
      <w:r w:rsidR="00845D0B">
        <w:rPr>
          <w:rFonts w:hint="cs"/>
          <w:rtl/>
        </w:rPr>
        <w:t xml:space="preserve"> ובתום לב (</w:t>
      </w:r>
      <w:r w:rsidR="00845D0B">
        <w:t>without notice</w:t>
      </w:r>
      <w:r w:rsidR="00845D0B">
        <w:rPr>
          <w:rFonts w:hint="cs"/>
          <w:rtl/>
        </w:rPr>
        <w:t>)</w:t>
      </w:r>
      <w:r w:rsidR="00180501">
        <w:rPr>
          <w:rFonts w:hint="cs"/>
          <w:rtl/>
        </w:rPr>
        <w:t xml:space="preserve">. </w:t>
      </w:r>
      <w:r w:rsidR="000271B4">
        <w:rPr>
          <w:rFonts w:hint="cs"/>
          <w:rtl/>
        </w:rPr>
        <w:t>פסיקה זאת התבססה על ההנחה של בתי המשפט של היושר כי בין הבעלים שבדין לבין הבעלים שביושר מתקיימים יחסי נאמנות בכוח (נאמנות קונסטרקוטיבית)</w:t>
      </w:r>
      <w:r w:rsidR="00C23555">
        <w:rPr>
          <w:rFonts w:hint="cs"/>
          <w:rtl/>
        </w:rPr>
        <w:t xml:space="preserve"> ועל כן נושי הנאמן (המעביר) לא יכולים לרדת לנכסים שהוא מחזיק בנאמנות עבור הנהנה (הנעבר)</w:t>
      </w:r>
      <w:r w:rsidR="000271B4">
        <w:rPr>
          <w:rFonts w:hint="cs"/>
          <w:rtl/>
        </w:rPr>
        <w:t>.</w:t>
      </w:r>
      <w:bookmarkStart w:id="11" w:name="_Ref518547722"/>
      <w:r w:rsidR="000B036B">
        <w:rPr>
          <w:rStyle w:val="a5"/>
          <w:rtl/>
        </w:rPr>
        <w:footnoteReference w:id="31"/>
      </w:r>
      <w:bookmarkEnd w:id="11"/>
      <w:r w:rsidR="000271B4">
        <w:rPr>
          <w:rFonts w:hint="cs"/>
          <w:rtl/>
        </w:rPr>
        <w:t xml:space="preserve"> </w:t>
      </w:r>
      <w:r w:rsidR="00180501">
        <w:rPr>
          <w:rFonts w:hint="cs"/>
          <w:rtl/>
        </w:rPr>
        <w:t xml:space="preserve">דוקטרינה נוספת </w:t>
      </w:r>
      <w:r w:rsidR="00B83456">
        <w:rPr>
          <w:rFonts w:hint="cs"/>
          <w:rtl/>
        </w:rPr>
        <w:t xml:space="preserve">שאומצה בישראל הייתה </w:t>
      </w:r>
      <w:r w:rsidR="00D20667">
        <w:rPr>
          <w:rFonts w:hint="cs"/>
          <w:rtl/>
        </w:rPr>
        <w:t>ה</w:t>
      </w:r>
      <w:r w:rsidR="00B83456">
        <w:rPr>
          <w:rFonts w:hint="cs"/>
          <w:rtl/>
        </w:rPr>
        <w:t>דוקטרינ</w:t>
      </w:r>
      <w:r w:rsidR="00D20667">
        <w:rPr>
          <w:rFonts w:hint="cs"/>
          <w:rtl/>
        </w:rPr>
        <w:t xml:space="preserve">ה של </w:t>
      </w:r>
      <w:r w:rsidR="00D20667">
        <w:t>equitable interests by virtue of</w:t>
      </w:r>
      <w:r w:rsidR="00C23555">
        <w:t xml:space="preserve"> estoppel</w:t>
      </w:r>
      <w:r w:rsidR="00B83456">
        <w:rPr>
          <w:rFonts w:hint="cs"/>
          <w:rtl/>
        </w:rPr>
        <w:t>. בתי המ</w:t>
      </w:r>
      <w:r w:rsidR="00F91C21">
        <w:rPr>
          <w:rFonts w:hint="cs"/>
          <w:rtl/>
        </w:rPr>
        <w:t>ש</w:t>
      </w:r>
      <w:r w:rsidR="00B83456">
        <w:rPr>
          <w:rFonts w:hint="cs"/>
          <w:rtl/>
        </w:rPr>
        <w:t xml:space="preserve">פט בישראל פסקו בהתאם </w:t>
      </w:r>
      <w:r w:rsidR="00845D0B">
        <w:rPr>
          <w:rFonts w:hint="cs"/>
          <w:rtl/>
        </w:rPr>
        <w:t xml:space="preserve">לדוקטרינה זו </w:t>
      </w:r>
      <w:r w:rsidR="00B83456">
        <w:rPr>
          <w:rFonts w:hint="cs"/>
          <w:rtl/>
        </w:rPr>
        <w:t xml:space="preserve">כי הבעלים החוקי של מקרקעין מושתק </w:t>
      </w:r>
      <w:r w:rsidR="00845D0B">
        <w:rPr>
          <w:rFonts w:hint="cs"/>
          <w:rtl/>
        </w:rPr>
        <w:t>(</w:t>
      </w:r>
      <w:r w:rsidR="00845D0B">
        <w:t>estopped</w:t>
      </w:r>
      <w:r w:rsidR="00845D0B">
        <w:rPr>
          <w:rFonts w:hint="cs"/>
          <w:rtl/>
        </w:rPr>
        <w:t xml:space="preserve">) </w:t>
      </w:r>
      <w:r w:rsidR="00B83456">
        <w:rPr>
          <w:rFonts w:hint="cs"/>
          <w:rtl/>
        </w:rPr>
        <w:t xml:space="preserve">מלתבוע את זכויותיו ממי שבטעות החזיק, השתמש והשקיע בנכס לאורך זמן ללא רשותו של הבעלים </w:t>
      </w:r>
      <w:r w:rsidR="00F91C21">
        <w:rPr>
          <w:rFonts w:hint="cs"/>
          <w:rtl/>
        </w:rPr>
        <w:t xml:space="preserve">החוקי, </w:t>
      </w:r>
      <w:r w:rsidR="00B83456">
        <w:rPr>
          <w:rFonts w:hint="cs"/>
          <w:rtl/>
        </w:rPr>
        <w:t>אך בידיעתו ובהעדר כל התנגדות מצדו.</w:t>
      </w:r>
      <w:bookmarkStart w:id="12" w:name="_Ref518552316"/>
      <w:r w:rsidR="00B83456">
        <w:rPr>
          <w:rStyle w:val="a5"/>
          <w:rtl/>
        </w:rPr>
        <w:footnoteReference w:id="32"/>
      </w:r>
      <w:bookmarkEnd w:id="12"/>
      <w:r w:rsidR="00B83456">
        <w:rPr>
          <w:rFonts w:hint="cs"/>
          <w:rtl/>
        </w:rPr>
        <w:t xml:space="preserve"> </w:t>
      </w:r>
    </w:p>
    <w:p w:rsidR="000271B4" w:rsidRDefault="00F91C21" w:rsidP="009E62FF">
      <w:pPr>
        <w:spacing w:line="480" w:lineRule="auto"/>
        <w:jc w:val="both"/>
        <w:rPr>
          <w:rtl/>
        </w:rPr>
      </w:pPr>
      <w:r>
        <w:rPr>
          <w:rFonts w:hint="cs"/>
          <w:rtl/>
        </w:rPr>
        <w:t xml:space="preserve">   </w:t>
      </w:r>
      <w:r w:rsidR="00B83456">
        <w:rPr>
          <w:rFonts w:hint="cs"/>
          <w:rtl/>
        </w:rPr>
        <w:t xml:space="preserve">בשנת 1970 </w:t>
      </w:r>
      <w:r>
        <w:rPr>
          <w:rFonts w:hint="cs"/>
          <w:rtl/>
        </w:rPr>
        <w:t>נכנס לתוקף חוק המקרקעין, תשכ"ט-1969 המהווה עד היום דבר החקיקה המרכזי שמתווה את דיני המקרקעין בישראל.</w:t>
      </w:r>
      <w:r w:rsidR="00D20667">
        <w:rPr>
          <w:rStyle w:val="a5"/>
          <w:rtl/>
        </w:rPr>
        <w:footnoteReference w:id="33"/>
      </w:r>
      <w:r>
        <w:rPr>
          <w:rFonts w:hint="cs"/>
          <w:rtl/>
        </w:rPr>
        <w:t xml:space="preserve"> אחת ממטרות החוק הייתה להשתית את דיני המקרקעין בישראל על חקיקה ישראלית עצמאית ולבטל את הנדבכים ההיסטוריים הישנים והזרים של דיני המקרקעין, קרי שאריות של חקיקה </w:t>
      </w:r>
      <w:r w:rsidR="00D20667">
        <w:rPr>
          <w:rFonts w:hint="cs"/>
          <w:rtl/>
        </w:rPr>
        <w:t>עותומאנית</w:t>
      </w:r>
      <w:r>
        <w:rPr>
          <w:rFonts w:hint="cs"/>
          <w:rtl/>
        </w:rPr>
        <w:t xml:space="preserve"> ובריטית. סעיף 161 לחוק המקרקעין</w:t>
      </w:r>
      <w:r w:rsidR="009E62FF">
        <w:rPr>
          <w:rFonts w:hint="cs"/>
          <w:rtl/>
        </w:rPr>
        <w:t xml:space="preserve">, שכותרתו </w:t>
      </w:r>
      <w:r>
        <w:rPr>
          <w:rFonts w:hint="cs"/>
          <w:rtl/>
        </w:rPr>
        <w:t xml:space="preserve"> </w:t>
      </w:r>
      <w:r w:rsidR="009E62FF">
        <w:rPr>
          <w:rFonts w:hint="cs"/>
          <w:rtl/>
        </w:rPr>
        <w:t>"</w:t>
      </w:r>
      <w:r w:rsidR="009E62FF">
        <w:t>No equitable rights</w:t>
      </w:r>
      <w:r w:rsidR="009E62FF">
        <w:rPr>
          <w:rFonts w:hint="cs"/>
          <w:rtl/>
        </w:rPr>
        <w:t xml:space="preserve">", </w:t>
      </w:r>
      <w:r>
        <w:rPr>
          <w:rFonts w:hint="cs"/>
          <w:rtl/>
        </w:rPr>
        <w:t>נת</w:t>
      </w:r>
      <w:r w:rsidR="009E62FF">
        <w:rPr>
          <w:rFonts w:hint="cs"/>
          <w:rtl/>
        </w:rPr>
        <w:t>ן</w:t>
      </w:r>
      <w:r>
        <w:rPr>
          <w:rFonts w:hint="cs"/>
          <w:rtl/>
        </w:rPr>
        <w:t xml:space="preserve"> ביטוי בולט למטרה זו:</w:t>
      </w:r>
      <w:r w:rsidR="009E62FF">
        <w:rPr>
          <w:rFonts w:hint="cs"/>
          <w:rtl/>
        </w:rPr>
        <w:t xml:space="preserve"> </w:t>
      </w:r>
      <w:r w:rsidR="00D20667">
        <w:t>"</w:t>
      </w:r>
      <w:r w:rsidR="00D20667" w:rsidRPr="00D20667">
        <w:t>From the coming into force of this Law, there shall be no rights in immovable property save under an enacted Law</w:t>
      </w:r>
      <w:r w:rsidR="00D20667">
        <w:t>"</w:t>
      </w:r>
      <w:r w:rsidR="00D20667" w:rsidRPr="00D20667">
        <w:rPr>
          <w:rtl/>
        </w:rPr>
        <w:t>.</w:t>
      </w:r>
      <w:r w:rsidR="00D20667">
        <w:rPr>
          <w:rFonts w:hint="cs"/>
        </w:rPr>
        <w:t xml:space="preserve"> </w:t>
      </w:r>
      <w:r>
        <w:rPr>
          <w:rFonts w:hint="cs"/>
          <w:rtl/>
        </w:rPr>
        <w:t xml:space="preserve">כל המשפטנים בישראל הסכימו כי כוונתו של הסעיף הייתה להפסיק, מכאן ואילך, את הפנייה השגרתית והמחייבת לפסיקות אנגליות לשם אימוץ </w:t>
      </w:r>
      <w:r w:rsidR="000271B4">
        <w:rPr>
          <w:rFonts w:hint="cs"/>
          <w:rtl/>
        </w:rPr>
        <w:t>דוקטרינות</w:t>
      </w:r>
      <w:r>
        <w:rPr>
          <w:rFonts w:hint="cs"/>
          <w:rtl/>
        </w:rPr>
        <w:t xml:space="preserve"> אקוויטביליות. עם זאת הסעיף עורר מחלוקת משפטית חריפה בנוגע לשאלה האם ביקש </w:t>
      </w:r>
      <w:r w:rsidR="000271B4">
        <w:rPr>
          <w:rFonts w:hint="cs"/>
          <w:rtl/>
        </w:rPr>
        <w:t>גם לבטל את הדוקטרינות שיובאו כבר ו</w:t>
      </w:r>
      <w:r>
        <w:rPr>
          <w:rFonts w:hint="cs"/>
          <w:rtl/>
        </w:rPr>
        <w:t xml:space="preserve">להביא לשינוי מהותי בדין או </w:t>
      </w:r>
      <w:r w:rsidR="000271B4">
        <w:rPr>
          <w:rFonts w:hint="cs"/>
          <w:rtl/>
        </w:rPr>
        <w:t xml:space="preserve">שמא ביקש </w:t>
      </w:r>
      <w:r>
        <w:rPr>
          <w:rFonts w:hint="cs"/>
          <w:rtl/>
        </w:rPr>
        <w:t>רק לשנו</w:t>
      </w:r>
      <w:r w:rsidR="000271B4">
        <w:rPr>
          <w:rFonts w:hint="cs"/>
          <w:rtl/>
        </w:rPr>
        <w:t>ת את הדרך הנורמטיבית לבסס</w:t>
      </w:r>
      <w:r w:rsidR="009E62FF">
        <w:rPr>
          <w:rFonts w:hint="cs"/>
          <w:rtl/>
        </w:rPr>
        <w:t xml:space="preserve"> אות</w:t>
      </w:r>
      <w:r w:rsidR="000271B4">
        <w:rPr>
          <w:rFonts w:hint="cs"/>
          <w:rtl/>
        </w:rPr>
        <w:t xml:space="preserve">ן. בשנת 1971, זמן קצר לאחר חקיקת חוק המקרקעין, </w:t>
      </w:r>
      <w:r>
        <w:rPr>
          <w:rFonts w:hint="cs"/>
          <w:rtl/>
        </w:rPr>
        <w:t xml:space="preserve">פסק בית המשפט העליון </w:t>
      </w:r>
      <w:r w:rsidR="00C23555">
        <w:rPr>
          <w:rFonts w:hint="cs"/>
          <w:rtl/>
        </w:rPr>
        <w:t xml:space="preserve">בהלכת </w:t>
      </w:r>
      <w:r w:rsidR="00C23555" w:rsidRPr="00C23555">
        <w:rPr>
          <w:rFonts w:hint="cs"/>
          <w:b/>
          <w:bCs/>
          <w:rtl/>
        </w:rPr>
        <w:t>בוקר</w:t>
      </w:r>
      <w:r w:rsidR="00C23555">
        <w:rPr>
          <w:rFonts w:hint="cs"/>
          <w:rtl/>
        </w:rPr>
        <w:t xml:space="preserve"> </w:t>
      </w:r>
      <w:r>
        <w:rPr>
          <w:rFonts w:hint="cs"/>
          <w:rtl/>
        </w:rPr>
        <w:t xml:space="preserve">כי כוונתו של סעיף </w:t>
      </w:r>
      <w:r w:rsidR="000271B4">
        <w:rPr>
          <w:rFonts w:hint="cs"/>
          <w:rtl/>
        </w:rPr>
        <w:t xml:space="preserve">161 </w:t>
      </w:r>
      <w:r w:rsidR="00C23555">
        <w:rPr>
          <w:rFonts w:hint="cs"/>
          <w:rtl/>
        </w:rPr>
        <w:t xml:space="preserve">לא </w:t>
      </w:r>
      <w:r w:rsidR="000271B4">
        <w:rPr>
          <w:rFonts w:hint="cs"/>
          <w:rtl/>
        </w:rPr>
        <w:t xml:space="preserve">הייתה הצהרתית </w:t>
      </w:r>
      <w:r w:rsidR="00C23555">
        <w:rPr>
          <w:rFonts w:hint="cs"/>
          <w:rtl/>
        </w:rPr>
        <w:t xml:space="preserve">בלבד </w:t>
      </w:r>
      <w:r w:rsidR="000271B4">
        <w:rPr>
          <w:rFonts w:hint="cs"/>
          <w:rtl/>
        </w:rPr>
        <w:t xml:space="preserve">אלא גם מהותית, קרי לא תוכרנה עוד זכויות מן היושר אלא רק זכויות שבדין. המשמעות הייתה שמכאן ואילך, למי שבידם זכויות </w:t>
      </w:r>
      <w:r w:rsidR="00C23555">
        <w:rPr>
          <w:rFonts w:hint="cs"/>
          <w:rtl/>
        </w:rPr>
        <w:t>ל</w:t>
      </w:r>
      <w:r w:rsidR="000271B4">
        <w:rPr>
          <w:rFonts w:hint="cs"/>
          <w:rtl/>
        </w:rPr>
        <w:t>מקרקעין על פי חוזה</w:t>
      </w:r>
      <w:r w:rsidR="009E62FF">
        <w:rPr>
          <w:rFonts w:hint="cs"/>
          <w:rtl/>
        </w:rPr>
        <w:t>,</w:t>
      </w:r>
      <w:r w:rsidR="000271B4">
        <w:rPr>
          <w:rFonts w:hint="cs"/>
          <w:rtl/>
        </w:rPr>
        <w:t xml:space="preserve"> שלא הספיקו לרושמן במרשם המקרקעין</w:t>
      </w:r>
      <w:r w:rsidR="009E62FF">
        <w:rPr>
          <w:rFonts w:hint="cs"/>
          <w:rtl/>
        </w:rPr>
        <w:t>,</w:t>
      </w:r>
      <w:r w:rsidR="000271B4">
        <w:rPr>
          <w:rFonts w:hint="cs"/>
          <w:rtl/>
        </w:rPr>
        <w:t xml:space="preserve"> לא יהיה יותר כל יתרון על פני נושים אחרים של הבעלים</w:t>
      </w:r>
      <w:r w:rsidR="00C23555">
        <w:rPr>
          <w:rFonts w:hint="cs"/>
          <w:rtl/>
        </w:rPr>
        <w:t xml:space="preserve"> הרשום</w:t>
      </w:r>
      <w:r w:rsidR="000271B4">
        <w:rPr>
          <w:rFonts w:hint="cs"/>
          <w:rtl/>
        </w:rPr>
        <w:t xml:space="preserve">, גם אם קבלו את החזקה בנכס ושלמו עליו תמורה מלאה. </w:t>
      </w:r>
      <w:r w:rsidR="007C49C5">
        <w:rPr>
          <w:rFonts w:hint="cs"/>
          <w:rtl/>
        </w:rPr>
        <w:t>מטרת ההלכה הייתה לעודד השלמת עסקאות ברישום.</w:t>
      </w:r>
      <w:bookmarkStart w:id="13" w:name="_Ref518492047"/>
      <w:r w:rsidR="007C49C5">
        <w:rPr>
          <w:rStyle w:val="a5"/>
          <w:rtl/>
        </w:rPr>
        <w:footnoteReference w:id="34"/>
      </w:r>
      <w:bookmarkEnd w:id="13"/>
      <w:r w:rsidR="007C49C5">
        <w:rPr>
          <w:rFonts w:hint="cs"/>
          <w:rtl/>
        </w:rPr>
        <w:t xml:space="preserve"> </w:t>
      </w:r>
      <w:r w:rsidR="000271B4">
        <w:rPr>
          <w:rFonts w:hint="cs"/>
          <w:rtl/>
        </w:rPr>
        <w:t xml:space="preserve">את חוות הדעת המרכזית בפסק דין תקדימי זה נתן מי שהיה ראש הועדה שניסחה את הצעת חוק המקרקעין, שופט בית המשפט העליון משה לנדוי. </w:t>
      </w:r>
      <w:r w:rsidR="00C23555">
        <w:rPr>
          <w:rFonts w:hint="cs"/>
          <w:rtl/>
        </w:rPr>
        <w:t xml:space="preserve">פסיקתו </w:t>
      </w:r>
      <w:r w:rsidR="000271B4">
        <w:rPr>
          <w:rFonts w:hint="cs"/>
          <w:rtl/>
        </w:rPr>
        <w:t>שיק</w:t>
      </w:r>
      <w:r w:rsidR="00C23555">
        <w:rPr>
          <w:rFonts w:hint="cs"/>
          <w:rtl/>
        </w:rPr>
        <w:t>פה באופן מ</w:t>
      </w:r>
      <w:r w:rsidR="009E62FF">
        <w:rPr>
          <w:rFonts w:hint="cs"/>
          <w:rtl/>
        </w:rPr>
        <w:t>משי</w:t>
      </w:r>
      <w:r w:rsidR="00C23555">
        <w:rPr>
          <w:rFonts w:hint="cs"/>
          <w:rtl/>
        </w:rPr>
        <w:t xml:space="preserve"> </w:t>
      </w:r>
      <w:r w:rsidR="000271B4">
        <w:rPr>
          <w:rFonts w:hint="cs"/>
          <w:rtl/>
        </w:rPr>
        <w:t>את כוונת המחוקק</w:t>
      </w:r>
      <w:r w:rsidR="00C23555">
        <w:rPr>
          <w:rFonts w:hint="cs"/>
          <w:rtl/>
        </w:rPr>
        <w:t xml:space="preserve"> שכן הוא היה</w:t>
      </w:r>
      <w:r w:rsidR="004165E2">
        <w:rPr>
          <w:rFonts w:hint="cs"/>
          <w:rtl/>
        </w:rPr>
        <w:t xml:space="preserve"> חבר הועדה שניסחה </w:t>
      </w:r>
      <w:r w:rsidR="00C23555">
        <w:rPr>
          <w:rFonts w:hint="cs"/>
          <w:rtl/>
        </w:rPr>
        <w:t>את החוק</w:t>
      </w:r>
      <w:r w:rsidR="000271B4">
        <w:rPr>
          <w:rFonts w:hint="cs"/>
          <w:rtl/>
        </w:rPr>
        <w:t>.</w:t>
      </w:r>
      <w:r w:rsidR="00C23555">
        <w:rPr>
          <w:rStyle w:val="a5"/>
          <w:rtl/>
        </w:rPr>
        <w:footnoteReference w:id="35"/>
      </w:r>
      <w:r w:rsidR="000271B4">
        <w:rPr>
          <w:rFonts w:hint="cs"/>
          <w:rtl/>
        </w:rPr>
        <w:t xml:space="preserve"> </w:t>
      </w:r>
      <w:r w:rsidR="00C23555">
        <w:rPr>
          <w:rFonts w:hint="cs"/>
          <w:rtl/>
        </w:rPr>
        <w:t xml:space="preserve">היא גם ביטאה את </w:t>
      </w:r>
      <w:r w:rsidR="000271B4">
        <w:rPr>
          <w:rFonts w:hint="cs"/>
          <w:rtl/>
        </w:rPr>
        <w:t xml:space="preserve">גישתו השמרנית </w:t>
      </w:r>
      <w:r w:rsidR="00C23555">
        <w:rPr>
          <w:rFonts w:hint="cs"/>
          <w:rtl/>
        </w:rPr>
        <w:t xml:space="preserve">והלא אקטיביסטית של </w:t>
      </w:r>
      <w:r w:rsidR="000271B4">
        <w:rPr>
          <w:rFonts w:hint="cs"/>
          <w:rtl/>
        </w:rPr>
        <w:t>השופט לנדוי בנוגע לתפקידו של שופט</w:t>
      </w:r>
      <w:r w:rsidR="00C23555">
        <w:rPr>
          <w:rFonts w:hint="cs"/>
          <w:rtl/>
        </w:rPr>
        <w:t>.</w:t>
      </w:r>
      <w:r w:rsidR="000271B4">
        <w:rPr>
          <w:rFonts w:hint="cs"/>
          <w:rtl/>
        </w:rPr>
        <w:t xml:space="preserve"> שנים</w:t>
      </w:r>
      <w:r w:rsidR="00221BBD">
        <w:rPr>
          <w:rFonts w:hint="cs"/>
          <w:rtl/>
        </w:rPr>
        <w:t xml:space="preserve"> רבות</w:t>
      </w:r>
      <w:r w:rsidR="000271B4">
        <w:rPr>
          <w:rFonts w:hint="cs"/>
          <w:rtl/>
        </w:rPr>
        <w:t xml:space="preserve"> לאחר מכן, כאשר כבר פרש לגמלאות, היה השופט לנדוי אחד המבקרים הפומביים של האקטיביזם השיפוטי שפיתח בית המשפט העליון לאחר פרישתו.</w:t>
      </w:r>
      <w:r w:rsidR="000271B4">
        <w:rPr>
          <w:rStyle w:val="a5"/>
          <w:rtl/>
        </w:rPr>
        <w:footnoteReference w:id="36"/>
      </w:r>
      <w:r w:rsidR="000271B4">
        <w:rPr>
          <w:rFonts w:hint="cs"/>
          <w:rtl/>
        </w:rPr>
        <w:t xml:space="preserve"> ניצני עמדתו זו צמחו כבר כאשר ביטל את הזכויות מן היושר. </w:t>
      </w:r>
    </w:p>
    <w:p w:rsidR="00343610" w:rsidRDefault="00221BBD" w:rsidP="009E62FF">
      <w:pPr>
        <w:spacing w:line="480" w:lineRule="auto"/>
        <w:jc w:val="both"/>
        <w:rPr>
          <w:rtl/>
        </w:rPr>
      </w:pPr>
      <w:r>
        <w:rPr>
          <w:rFonts w:hint="cs"/>
          <w:rtl/>
        </w:rPr>
        <w:t xml:space="preserve">   </w:t>
      </w:r>
      <w:r w:rsidR="000271B4">
        <w:rPr>
          <w:rFonts w:hint="cs"/>
          <w:rtl/>
        </w:rPr>
        <w:t xml:space="preserve">עם זאת, גישתו השמרנית של לנדוי </w:t>
      </w:r>
      <w:r>
        <w:rPr>
          <w:rFonts w:hint="cs"/>
          <w:rtl/>
        </w:rPr>
        <w:t xml:space="preserve">בפרשת בוקר </w:t>
      </w:r>
      <w:r w:rsidR="000271B4">
        <w:rPr>
          <w:rFonts w:hint="cs"/>
          <w:rtl/>
        </w:rPr>
        <w:t xml:space="preserve">זכתה לביקורת אקדמית חריפה. בראש המבקרים עמד פרופ' יהושע ויסמן, מבכירי המומחים לדיני קניין בישראל. הוא טען כי ניתוק הקשר של המשפט הישראלי מן המקורות האקוויטביליים האנגליים, אינו מחייב שינוי הדין </w:t>
      </w:r>
      <w:r w:rsidR="00C23555">
        <w:rPr>
          <w:rFonts w:hint="cs"/>
          <w:rtl/>
        </w:rPr>
        <w:t xml:space="preserve">המהותי שבוסס עליהם, אלא רק </w:t>
      </w:r>
      <w:r w:rsidR="000271B4">
        <w:rPr>
          <w:rFonts w:hint="cs"/>
          <w:rtl/>
        </w:rPr>
        <w:t xml:space="preserve">שינוי </w:t>
      </w:r>
      <w:r w:rsidR="00C23555">
        <w:rPr>
          <w:rFonts w:hint="cs"/>
          <w:rtl/>
        </w:rPr>
        <w:t xml:space="preserve">של </w:t>
      </w:r>
      <w:r w:rsidR="000271B4">
        <w:rPr>
          <w:rFonts w:hint="cs"/>
          <w:rtl/>
        </w:rPr>
        <w:t>המקור הנורמטיבי לביסוס</w:t>
      </w:r>
      <w:r w:rsidR="00C23555">
        <w:rPr>
          <w:rFonts w:hint="cs"/>
          <w:rtl/>
        </w:rPr>
        <w:t>ו</w:t>
      </w:r>
      <w:r w:rsidR="000271B4">
        <w:rPr>
          <w:rFonts w:hint="cs"/>
          <w:rtl/>
        </w:rPr>
        <w:t xml:space="preserve">. את הזכויות מן היושר המיובאות מאנגליה </w:t>
      </w:r>
      <w:r w:rsidR="00C23555">
        <w:rPr>
          <w:rFonts w:hint="cs"/>
          <w:rtl/>
        </w:rPr>
        <w:t>צריך ו</w:t>
      </w:r>
      <w:r w:rsidR="000271B4">
        <w:rPr>
          <w:rFonts w:hint="cs"/>
          <w:rtl/>
        </w:rPr>
        <w:t>ניתן להפוך לזכויות מן היושר "תוצרת הארץ"</w:t>
      </w:r>
      <w:r w:rsidR="00C23555">
        <w:rPr>
          <w:rFonts w:hint="cs"/>
          <w:rtl/>
        </w:rPr>
        <w:t xml:space="preserve"> </w:t>
      </w:r>
      <w:r w:rsidR="009E62FF">
        <w:rPr>
          <w:rFonts w:hint="cs"/>
          <w:rtl/>
        </w:rPr>
        <w:t xml:space="preserve">ולבססן מעתה </w:t>
      </w:r>
      <w:r w:rsidR="00C23555">
        <w:rPr>
          <w:rFonts w:hint="cs"/>
          <w:rtl/>
        </w:rPr>
        <w:t>על חקיקה ישראלית</w:t>
      </w:r>
      <w:r w:rsidR="000271B4">
        <w:rPr>
          <w:rFonts w:hint="cs"/>
          <w:rtl/>
        </w:rPr>
        <w:t>.</w:t>
      </w:r>
      <w:r w:rsidR="000271B4">
        <w:rPr>
          <w:rStyle w:val="a5"/>
          <w:rtl/>
        </w:rPr>
        <w:footnoteReference w:id="37"/>
      </w:r>
      <w:r w:rsidR="000271B4">
        <w:rPr>
          <w:rFonts w:hint="cs"/>
          <w:rtl/>
        </w:rPr>
        <w:t xml:space="preserve"> </w:t>
      </w:r>
      <w:r w:rsidR="006D2EBC">
        <w:rPr>
          <w:rFonts w:hint="cs"/>
          <w:rtl/>
        </w:rPr>
        <w:t>הקושי ב</w:t>
      </w:r>
      <w:r w:rsidR="00C23555">
        <w:rPr>
          <w:rFonts w:hint="cs"/>
          <w:rtl/>
        </w:rPr>
        <w:t>יישום גישה זו היה שלא תמיד אפשר היה למצוא הורא</w:t>
      </w:r>
      <w:r w:rsidR="006D2EBC">
        <w:rPr>
          <w:rFonts w:hint="cs"/>
          <w:rtl/>
        </w:rPr>
        <w:t>ת חוק ישראלי</w:t>
      </w:r>
      <w:r w:rsidR="00C23555">
        <w:rPr>
          <w:rFonts w:hint="cs"/>
          <w:rtl/>
        </w:rPr>
        <w:t>ת</w:t>
      </w:r>
      <w:r w:rsidR="006D2EBC">
        <w:rPr>
          <w:rFonts w:hint="cs"/>
          <w:rtl/>
        </w:rPr>
        <w:t xml:space="preserve"> מקורית ומפורשת שאפשר לבסס עליה הלכות דומות לאלה שקבעו דיני היושר האנגליים. </w:t>
      </w:r>
      <w:r w:rsidR="00343610">
        <w:rPr>
          <w:rFonts w:hint="cs"/>
          <w:rtl/>
        </w:rPr>
        <w:t xml:space="preserve">במשך שלושים </w:t>
      </w:r>
      <w:r w:rsidR="00C23555">
        <w:rPr>
          <w:rFonts w:hint="cs"/>
          <w:rtl/>
        </w:rPr>
        <w:t>ה</w:t>
      </w:r>
      <w:r w:rsidR="00343610">
        <w:rPr>
          <w:rFonts w:hint="cs"/>
          <w:rtl/>
        </w:rPr>
        <w:t xml:space="preserve">שנה </w:t>
      </w:r>
      <w:r w:rsidR="00C23555">
        <w:rPr>
          <w:rFonts w:hint="cs"/>
          <w:rtl/>
        </w:rPr>
        <w:t xml:space="preserve">שחלפו מאז פרשת בוקר, </w:t>
      </w:r>
      <w:r w:rsidR="006D2EBC">
        <w:rPr>
          <w:rFonts w:hint="cs"/>
          <w:rtl/>
        </w:rPr>
        <w:t>בית המשפט העליון</w:t>
      </w:r>
      <w:r w:rsidR="00343610">
        <w:rPr>
          <w:rFonts w:hint="cs"/>
          <w:rtl/>
        </w:rPr>
        <w:t xml:space="preserve"> </w:t>
      </w:r>
      <w:r w:rsidR="006D2EBC">
        <w:rPr>
          <w:rFonts w:hint="cs"/>
          <w:rtl/>
        </w:rPr>
        <w:t xml:space="preserve">לא </w:t>
      </w:r>
      <w:r w:rsidR="00343610">
        <w:rPr>
          <w:rFonts w:hint="cs"/>
          <w:rtl/>
        </w:rPr>
        <w:t xml:space="preserve">היה מוכן ליטול את המשימה </w:t>
      </w:r>
      <w:r w:rsidR="00C23555">
        <w:rPr>
          <w:rFonts w:hint="cs"/>
          <w:rtl/>
        </w:rPr>
        <w:t xml:space="preserve">הזאת </w:t>
      </w:r>
      <w:r w:rsidR="00343610">
        <w:rPr>
          <w:rFonts w:hint="cs"/>
          <w:rtl/>
        </w:rPr>
        <w:t xml:space="preserve">של יצירת </w:t>
      </w:r>
      <w:r w:rsidR="006D2EBC">
        <w:rPr>
          <w:rFonts w:hint="cs"/>
          <w:rtl/>
        </w:rPr>
        <w:t xml:space="preserve">זכויות מן היושר </w:t>
      </w:r>
      <w:r w:rsidR="00343610">
        <w:rPr>
          <w:rFonts w:hint="cs"/>
          <w:rtl/>
        </w:rPr>
        <w:t>ישראליות</w:t>
      </w:r>
      <w:r w:rsidR="00C23555">
        <w:rPr>
          <w:rFonts w:hint="cs"/>
          <w:rtl/>
        </w:rPr>
        <w:t xml:space="preserve"> ו</w:t>
      </w:r>
      <w:r w:rsidR="00343610">
        <w:rPr>
          <w:rFonts w:hint="cs"/>
          <w:rtl/>
        </w:rPr>
        <w:t>מקוריות</w:t>
      </w:r>
      <w:r w:rsidR="00C23555">
        <w:rPr>
          <w:rFonts w:hint="cs"/>
          <w:rtl/>
        </w:rPr>
        <w:t xml:space="preserve"> בדיני המקרקעין</w:t>
      </w:r>
      <w:r w:rsidR="006D2EBC">
        <w:rPr>
          <w:rFonts w:hint="cs"/>
          <w:rtl/>
        </w:rPr>
        <w:t xml:space="preserve">. </w:t>
      </w:r>
      <w:r w:rsidR="00343610">
        <w:rPr>
          <w:rFonts w:hint="cs"/>
          <w:rtl/>
        </w:rPr>
        <w:t xml:space="preserve">זו הייתה התקופה שבה התחולל בהדרגה תהליך ההתעצמות של </w:t>
      </w:r>
      <w:r w:rsidR="009E62FF">
        <w:rPr>
          <w:rFonts w:hint="cs"/>
          <w:rtl/>
        </w:rPr>
        <w:t xml:space="preserve">בתי המשפט. </w:t>
      </w:r>
      <w:r w:rsidR="00343610">
        <w:rPr>
          <w:rFonts w:hint="cs"/>
          <w:rtl/>
        </w:rPr>
        <w:t>רק בסופה של תקופה זו, בשנת 1999, חש בית המשפט העליון חזק מספיק עד ש</w:t>
      </w:r>
      <w:r w:rsidR="00342E65">
        <w:rPr>
          <w:rFonts w:hint="cs"/>
          <w:rtl/>
        </w:rPr>
        <w:t xml:space="preserve">הרהיב </w:t>
      </w:r>
      <w:r w:rsidR="00343610">
        <w:rPr>
          <w:rFonts w:hint="cs"/>
          <w:rtl/>
        </w:rPr>
        <w:t xml:space="preserve">עוז </w:t>
      </w:r>
      <w:r w:rsidR="00342E65">
        <w:rPr>
          <w:rFonts w:hint="cs"/>
          <w:rtl/>
        </w:rPr>
        <w:t xml:space="preserve">לפתח זכויות מן היושר </w:t>
      </w:r>
      <w:r w:rsidR="00343610">
        <w:rPr>
          <w:rFonts w:hint="cs"/>
          <w:rtl/>
        </w:rPr>
        <w:t>"</w:t>
      </w:r>
      <w:r w:rsidR="00342E65">
        <w:rPr>
          <w:rFonts w:hint="cs"/>
          <w:rtl/>
        </w:rPr>
        <w:t>תוצרת הארץ</w:t>
      </w:r>
      <w:r w:rsidR="00343610">
        <w:rPr>
          <w:rFonts w:hint="cs"/>
          <w:rtl/>
        </w:rPr>
        <w:t>"</w:t>
      </w:r>
      <w:r w:rsidR="00342E65">
        <w:rPr>
          <w:rFonts w:hint="cs"/>
          <w:rtl/>
        </w:rPr>
        <w:t>.</w:t>
      </w:r>
    </w:p>
    <w:p w:rsidR="00D64EBD" w:rsidRDefault="00343610" w:rsidP="009E62FF">
      <w:pPr>
        <w:spacing w:line="480" w:lineRule="auto"/>
        <w:jc w:val="both"/>
        <w:rPr>
          <w:rtl/>
        </w:rPr>
      </w:pPr>
      <w:r>
        <w:rPr>
          <w:rFonts w:hint="cs"/>
          <w:rtl/>
        </w:rPr>
        <w:t xml:space="preserve">   שותפה משנית לפרויקט </w:t>
      </w:r>
      <w:r w:rsidR="00A0589B">
        <w:rPr>
          <w:rFonts w:hint="cs"/>
          <w:rtl/>
        </w:rPr>
        <w:t xml:space="preserve">החדש של בית המשפט העליון </w:t>
      </w:r>
      <w:r>
        <w:rPr>
          <w:rFonts w:hint="cs"/>
          <w:rtl/>
        </w:rPr>
        <w:t>הייתה גב' מזל אהרונוב</w:t>
      </w:r>
      <w:r w:rsidR="009E62FF">
        <w:rPr>
          <w:rFonts w:hint="cs"/>
          <w:rtl/>
        </w:rPr>
        <w:t>.</w:t>
      </w:r>
      <w:r>
        <w:rPr>
          <w:rFonts w:hint="cs"/>
          <w:rtl/>
        </w:rPr>
        <w:t xml:space="preserve"> מזל התגרשה מבעלה בשנת 1990. בהסכם הגירושין התחייב </w:t>
      </w:r>
      <w:r w:rsidR="00CD7707">
        <w:rPr>
          <w:rFonts w:hint="cs"/>
          <w:rtl/>
        </w:rPr>
        <w:t xml:space="preserve">הבעל לשעבר </w:t>
      </w:r>
      <w:r>
        <w:rPr>
          <w:rFonts w:hint="cs"/>
          <w:rtl/>
        </w:rPr>
        <w:t xml:space="preserve">להעביר לה </w:t>
      </w:r>
      <w:r w:rsidR="00CD7707">
        <w:rPr>
          <w:rFonts w:hint="cs"/>
          <w:rtl/>
        </w:rPr>
        <w:t>את הבעלות ב</w:t>
      </w:r>
      <w:r>
        <w:rPr>
          <w:rFonts w:hint="cs"/>
          <w:rtl/>
        </w:rPr>
        <w:t xml:space="preserve">חלקת מקרקעין. בטרם הספיקה מזל לרשום את העסקה במרשם המקרקעין, הטילו נושי הבעל עיקול על </w:t>
      </w:r>
      <w:r w:rsidR="00CD7707">
        <w:rPr>
          <w:rFonts w:hint="cs"/>
          <w:rtl/>
        </w:rPr>
        <w:t>זכויותיו הרשומ</w:t>
      </w:r>
      <w:r w:rsidR="009E62FF">
        <w:rPr>
          <w:rFonts w:hint="cs"/>
          <w:rtl/>
        </w:rPr>
        <w:t>ו</w:t>
      </w:r>
      <w:r w:rsidR="00CD7707">
        <w:rPr>
          <w:rFonts w:hint="cs"/>
          <w:rtl/>
        </w:rPr>
        <w:t>ת ב</w:t>
      </w:r>
      <w:r>
        <w:rPr>
          <w:rFonts w:hint="cs"/>
          <w:rtl/>
        </w:rPr>
        <w:t xml:space="preserve">חלקה. על פי הלכת </w:t>
      </w:r>
      <w:r w:rsidRPr="00CD7707">
        <w:rPr>
          <w:rFonts w:hint="cs"/>
          <w:b/>
          <w:bCs/>
          <w:rtl/>
        </w:rPr>
        <w:t>בוקר</w:t>
      </w:r>
      <w:r>
        <w:rPr>
          <w:rFonts w:hint="cs"/>
          <w:rtl/>
        </w:rPr>
        <w:t>, ששללה זכויות מן היושר, לא יכלה מזל להתגבר על הנושים. באי כוח</w:t>
      </w:r>
      <w:r w:rsidR="00CD7707">
        <w:rPr>
          <w:rFonts w:hint="cs"/>
          <w:rtl/>
        </w:rPr>
        <w:t>ה לא אמרו נואש וניסו לשכנע את ב</w:t>
      </w:r>
      <w:r>
        <w:rPr>
          <w:rFonts w:hint="cs"/>
          <w:rtl/>
        </w:rPr>
        <w:t>ת</w:t>
      </w:r>
      <w:r w:rsidR="00CD7707">
        <w:rPr>
          <w:rFonts w:hint="cs"/>
          <w:rtl/>
        </w:rPr>
        <w:t>י</w:t>
      </w:r>
      <w:r>
        <w:rPr>
          <w:rFonts w:hint="cs"/>
          <w:rtl/>
        </w:rPr>
        <w:t xml:space="preserve"> המשפט כי מרשתם רכשה זכויות מן היושר בחלקה. טענה כזו חייבה כמובן את בתי המשפט לא רק לחרוג מהתקדימים שקבעו כי אין זכויות מן היושר אלא גם לייצר יש מאין זכויות מן </w:t>
      </w:r>
      <w:r w:rsidR="00CD7707">
        <w:rPr>
          <w:rFonts w:hint="cs"/>
          <w:rtl/>
        </w:rPr>
        <w:t>היושר "</w:t>
      </w:r>
      <w:r>
        <w:rPr>
          <w:rFonts w:hint="cs"/>
          <w:rtl/>
        </w:rPr>
        <w:t>תוצרת הארץ</w:t>
      </w:r>
      <w:r w:rsidR="00CD7707">
        <w:rPr>
          <w:rFonts w:hint="cs"/>
          <w:rtl/>
        </w:rPr>
        <w:t>"</w:t>
      </w:r>
      <w:r>
        <w:rPr>
          <w:rFonts w:hint="cs"/>
          <w:rtl/>
        </w:rPr>
        <w:t>. בניגוד לניסיונות כושלים רבים שקדמו לניסיון זה-מזל אהרונוב הצליחה לשכנע את בית המשפט לחצות את הרוביקון.</w:t>
      </w:r>
      <w:r w:rsidR="00CD7707">
        <w:rPr>
          <w:rFonts w:hint="cs"/>
          <w:rtl/>
        </w:rPr>
        <w:t xml:space="preserve"> בפרשת </w:t>
      </w:r>
      <w:r w:rsidR="00CD7707" w:rsidRPr="00CD7707">
        <w:rPr>
          <w:rFonts w:hint="cs"/>
          <w:b/>
          <w:bCs/>
          <w:rtl/>
        </w:rPr>
        <w:t>אהרונוב</w:t>
      </w:r>
      <w:r w:rsidR="00CD7707">
        <w:rPr>
          <w:rStyle w:val="a5"/>
          <w:rtl/>
        </w:rPr>
        <w:footnoteReference w:id="38"/>
      </w:r>
      <w:r w:rsidR="00CD7707">
        <w:rPr>
          <w:rFonts w:hint="cs"/>
          <w:b/>
          <w:bCs/>
          <w:rtl/>
        </w:rPr>
        <w:t xml:space="preserve"> </w:t>
      </w:r>
      <w:r w:rsidR="00A0589B">
        <w:rPr>
          <w:rFonts w:hint="cs"/>
          <w:rtl/>
        </w:rPr>
        <w:t xml:space="preserve">פסק </w:t>
      </w:r>
      <w:r w:rsidR="00CD7707">
        <w:rPr>
          <w:rFonts w:hint="cs"/>
          <w:rtl/>
        </w:rPr>
        <w:t xml:space="preserve">בית המשפט העליון </w:t>
      </w:r>
      <w:r>
        <w:rPr>
          <w:rFonts w:hint="cs"/>
          <w:rtl/>
        </w:rPr>
        <w:t>כי ל</w:t>
      </w:r>
      <w:r w:rsidR="0024223D">
        <w:rPr>
          <w:rFonts w:hint="cs"/>
          <w:rtl/>
        </w:rPr>
        <w:t xml:space="preserve">מי שבידיו חוזה לרכישת זכות במקרקעין </w:t>
      </w:r>
      <w:r>
        <w:rPr>
          <w:rFonts w:hint="cs"/>
          <w:rtl/>
        </w:rPr>
        <w:t xml:space="preserve">יש זכות מן היושר הגוברת על נושי </w:t>
      </w:r>
      <w:r w:rsidR="0024223D">
        <w:rPr>
          <w:rFonts w:hint="cs"/>
          <w:rtl/>
        </w:rPr>
        <w:t>המעביר, למעט צד שלישי שרכש את הנכס בתמורה ובתום לב (</w:t>
      </w:r>
      <w:r w:rsidR="0024223D">
        <w:t>without notice</w:t>
      </w:r>
      <w:r w:rsidR="0024223D">
        <w:rPr>
          <w:rFonts w:hint="cs"/>
          <w:rtl/>
        </w:rPr>
        <w:t>)</w:t>
      </w:r>
      <w:r>
        <w:rPr>
          <w:rFonts w:hint="cs"/>
          <w:rtl/>
        </w:rPr>
        <w:t>.</w:t>
      </w:r>
      <w:r>
        <w:rPr>
          <w:rStyle w:val="a5"/>
          <w:rtl/>
        </w:rPr>
        <w:footnoteReference w:id="39"/>
      </w:r>
      <w:r w:rsidR="0024223D">
        <w:rPr>
          <w:rFonts w:hint="cs"/>
          <w:rtl/>
        </w:rPr>
        <w:t xml:space="preserve"> </w:t>
      </w:r>
      <w:r>
        <w:rPr>
          <w:rFonts w:hint="cs"/>
          <w:rtl/>
        </w:rPr>
        <w:t xml:space="preserve"> </w:t>
      </w:r>
      <w:r w:rsidR="00277D09">
        <w:rPr>
          <w:rFonts w:hint="cs"/>
          <w:rtl/>
        </w:rPr>
        <w:t>בית המ</w:t>
      </w:r>
      <w:r w:rsidR="00AA77AF">
        <w:rPr>
          <w:rFonts w:hint="cs"/>
          <w:rtl/>
        </w:rPr>
        <w:t>ש</w:t>
      </w:r>
      <w:r w:rsidR="00277D09">
        <w:rPr>
          <w:rFonts w:hint="cs"/>
          <w:rtl/>
        </w:rPr>
        <w:t xml:space="preserve">פט לא בסס את הזכות על דיני היושר האנגליים, אלא על </w:t>
      </w:r>
      <w:r w:rsidR="0024223D">
        <w:rPr>
          <w:rFonts w:hint="cs"/>
          <w:rtl/>
        </w:rPr>
        <w:t xml:space="preserve">פרשנות יצירתית ואקטיביסטית של הוראות חוק ישראליות. אמנם </w:t>
      </w:r>
      <w:r w:rsidR="00B523A8">
        <w:rPr>
          <w:rFonts w:hint="cs"/>
          <w:rtl/>
        </w:rPr>
        <w:t xml:space="preserve">אין הוראת חוק ישראלית מפורשת שמקנה עדיפות לרוכש נכס </w:t>
      </w:r>
      <w:r w:rsidR="00CD7707">
        <w:rPr>
          <w:rFonts w:hint="cs"/>
          <w:rtl/>
        </w:rPr>
        <w:t xml:space="preserve">מקרקעין </w:t>
      </w:r>
      <w:r w:rsidR="00B523A8">
        <w:rPr>
          <w:rFonts w:hint="cs"/>
          <w:rtl/>
        </w:rPr>
        <w:t>מול נושי ה</w:t>
      </w:r>
      <w:r w:rsidR="00CD7707">
        <w:rPr>
          <w:rFonts w:hint="cs"/>
          <w:rtl/>
        </w:rPr>
        <w:t xml:space="preserve">מעביר, אך </w:t>
      </w:r>
      <w:r w:rsidR="0024223D">
        <w:rPr>
          <w:rFonts w:hint="cs"/>
          <w:rtl/>
        </w:rPr>
        <w:t xml:space="preserve">בית המשפט הסיק את קיומה </w:t>
      </w:r>
      <w:r w:rsidR="00CD7707">
        <w:rPr>
          <w:rFonts w:hint="cs"/>
          <w:rtl/>
        </w:rPr>
        <w:t xml:space="preserve">של עדיפות כזו </w:t>
      </w:r>
      <w:r w:rsidR="0024223D">
        <w:rPr>
          <w:rFonts w:hint="cs"/>
          <w:rtl/>
        </w:rPr>
        <w:t xml:space="preserve">באמצעות </w:t>
      </w:r>
      <w:r w:rsidR="00B523A8">
        <w:rPr>
          <w:rFonts w:hint="cs"/>
          <w:rtl/>
        </w:rPr>
        <w:t xml:space="preserve">היקש (אנאלוגיה) </w:t>
      </w:r>
      <w:r w:rsidR="0024223D">
        <w:rPr>
          <w:rFonts w:hint="cs"/>
          <w:rtl/>
        </w:rPr>
        <w:t>מ</w:t>
      </w:r>
      <w:r w:rsidR="00B523A8">
        <w:rPr>
          <w:rFonts w:hint="cs"/>
          <w:rtl/>
        </w:rPr>
        <w:t xml:space="preserve">הוראת חוק </w:t>
      </w:r>
      <w:r w:rsidR="00CD7707">
        <w:rPr>
          <w:rFonts w:hint="cs"/>
          <w:rtl/>
        </w:rPr>
        <w:t xml:space="preserve">אחרת. הוראה זו </w:t>
      </w:r>
      <w:r w:rsidR="00B523A8">
        <w:rPr>
          <w:rFonts w:hint="cs"/>
          <w:rtl/>
        </w:rPr>
        <w:t xml:space="preserve">אמנם אינה עוסקת </w:t>
      </w:r>
      <w:r w:rsidR="00CD7707">
        <w:rPr>
          <w:rFonts w:hint="cs"/>
          <w:rtl/>
        </w:rPr>
        <w:t xml:space="preserve">באופן ישיר </w:t>
      </w:r>
      <w:r w:rsidR="00B523A8">
        <w:rPr>
          <w:rFonts w:hint="cs"/>
          <w:rtl/>
        </w:rPr>
        <w:t>בסוגיה ש</w:t>
      </w:r>
      <w:r w:rsidR="009E62FF">
        <w:rPr>
          <w:rFonts w:hint="cs"/>
          <w:rtl/>
        </w:rPr>
        <w:t xml:space="preserve">עמדה </w:t>
      </w:r>
      <w:r w:rsidR="00B523A8">
        <w:rPr>
          <w:rFonts w:hint="cs"/>
          <w:rtl/>
        </w:rPr>
        <w:t>בפניו</w:t>
      </w:r>
      <w:r w:rsidR="009E62FF">
        <w:rPr>
          <w:rFonts w:hint="cs"/>
          <w:rtl/>
        </w:rPr>
        <w:t>,</w:t>
      </w:r>
      <w:r w:rsidR="00B523A8">
        <w:rPr>
          <w:rFonts w:hint="cs"/>
          <w:rtl/>
        </w:rPr>
        <w:t xml:space="preserve"> אך </w:t>
      </w:r>
      <w:r w:rsidR="009E62FF">
        <w:rPr>
          <w:rFonts w:hint="cs"/>
          <w:rtl/>
        </w:rPr>
        <w:t xml:space="preserve">היא </w:t>
      </w:r>
      <w:r w:rsidR="00B523A8">
        <w:rPr>
          <w:rFonts w:hint="cs"/>
          <w:rtl/>
        </w:rPr>
        <w:t xml:space="preserve">מעניקה עדיפות להסכם לרכישת מקרקעין </w:t>
      </w:r>
      <w:r w:rsidR="00220955">
        <w:rPr>
          <w:rFonts w:hint="cs"/>
          <w:rtl/>
        </w:rPr>
        <w:t>כלפי עסקה סותרת מאו</w:t>
      </w:r>
      <w:r w:rsidR="00CD7707">
        <w:rPr>
          <w:rFonts w:hint="cs"/>
          <w:rtl/>
        </w:rPr>
        <w:t>ח</w:t>
      </w:r>
      <w:r w:rsidR="00220955">
        <w:rPr>
          <w:rFonts w:hint="cs"/>
          <w:rtl/>
        </w:rPr>
        <w:t>רת שנעשתה באותו נכס</w:t>
      </w:r>
      <w:r w:rsidR="00B523A8">
        <w:rPr>
          <w:rFonts w:hint="cs"/>
          <w:rtl/>
        </w:rPr>
        <w:t>.</w:t>
      </w:r>
      <w:r w:rsidR="00B523A8">
        <w:rPr>
          <w:rStyle w:val="a5"/>
          <w:rtl/>
        </w:rPr>
        <w:footnoteReference w:id="40"/>
      </w:r>
      <w:r w:rsidR="00B523A8">
        <w:rPr>
          <w:rFonts w:hint="cs"/>
          <w:rtl/>
        </w:rPr>
        <w:t xml:space="preserve"> </w:t>
      </w:r>
      <w:r w:rsidR="00CD7707">
        <w:rPr>
          <w:rFonts w:hint="cs"/>
          <w:rtl/>
        </w:rPr>
        <w:t xml:space="preserve">בית המשפט הסיק כי העדפת ההסכם במקרה האחד מעידה על מעמדה העדיף של הזכות גם במקרים אחרים. שלושים שנה קודם לכן פסל </w:t>
      </w:r>
      <w:r w:rsidR="00B523A8">
        <w:rPr>
          <w:rFonts w:hint="cs"/>
          <w:rtl/>
        </w:rPr>
        <w:t xml:space="preserve">בית המשפט העליון את ההיקש הזה בטענה שמדובר בסעיף חוק </w:t>
      </w:r>
      <w:r w:rsidR="00CD7707">
        <w:rPr>
          <w:rFonts w:hint="cs"/>
          <w:rtl/>
        </w:rPr>
        <w:t>המעיד על עדיפות במקרה יוצא דופן</w:t>
      </w:r>
      <w:r w:rsidR="00B523A8">
        <w:rPr>
          <w:rFonts w:hint="cs"/>
          <w:rtl/>
        </w:rPr>
        <w:t xml:space="preserve"> המהווה חריג לכלל ולא </w:t>
      </w:r>
      <w:r w:rsidR="00CD7707">
        <w:rPr>
          <w:rFonts w:hint="cs"/>
          <w:rtl/>
        </w:rPr>
        <w:t xml:space="preserve">מקרה </w:t>
      </w:r>
      <w:r w:rsidR="00B523A8">
        <w:rPr>
          <w:rFonts w:hint="cs"/>
          <w:rtl/>
        </w:rPr>
        <w:t>פרט</w:t>
      </w:r>
      <w:r w:rsidR="00CD7707">
        <w:rPr>
          <w:rFonts w:hint="cs"/>
          <w:rtl/>
        </w:rPr>
        <w:t>י</w:t>
      </w:r>
      <w:r w:rsidR="00B523A8">
        <w:rPr>
          <w:rFonts w:hint="cs"/>
          <w:rtl/>
        </w:rPr>
        <w:t xml:space="preserve"> </w:t>
      </w:r>
      <w:r w:rsidR="00CD7707">
        <w:rPr>
          <w:rFonts w:hint="cs"/>
          <w:rtl/>
        </w:rPr>
        <w:t xml:space="preserve">של העדפה </w:t>
      </w:r>
      <w:r w:rsidR="00B523A8">
        <w:rPr>
          <w:rFonts w:hint="cs"/>
          <w:rtl/>
        </w:rPr>
        <w:t xml:space="preserve">המעיד על </w:t>
      </w:r>
      <w:r w:rsidR="00CD7707">
        <w:rPr>
          <w:rFonts w:hint="cs"/>
          <w:rtl/>
        </w:rPr>
        <w:t>כלל של עדיפות גם במקרים אחרים</w:t>
      </w:r>
      <w:r w:rsidR="00B523A8">
        <w:rPr>
          <w:rFonts w:hint="cs"/>
          <w:rtl/>
        </w:rPr>
        <w:t>.</w:t>
      </w:r>
      <w:r w:rsidR="00220955">
        <w:rPr>
          <w:rStyle w:val="a5"/>
          <w:rtl/>
        </w:rPr>
        <w:footnoteReference w:id="41"/>
      </w:r>
      <w:r w:rsidR="00B523A8">
        <w:rPr>
          <w:rFonts w:hint="cs"/>
          <w:rtl/>
        </w:rPr>
        <w:t xml:space="preserve"> עתה השתנתה האווירה, השמרנות התחלפה באקטיביזם</w:t>
      </w:r>
      <w:r w:rsidR="009E62FF">
        <w:rPr>
          <w:rFonts w:hint="cs"/>
          <w:rtl/>
        </w:rPr>
        <w:t>,</w:t>
      </w:r>
      <w:r w:rsidR="00B523A8">
        <w:rPr>
          <w:rFonts w:hint="cs"/>
          <w:rtl/>
        </w:rPr>
        <w:t xml:space="preserve"> והנשיא ברק </w:t>
      </w:r>
      <w:r w:rsidR="00CD7707">
        <w:rPr>
          <w:rFonts w:hint="cs"/>
          <w:rtl/>
        </w:rPr>
        <w:t xml:space="preserve">וחבריו </w:t>
      </w:r>
      <w:r w:rsidR="00B523A8">
        <w:rPr>
          <w:rFonts w:hint="cs"/>
          <w:rtl/>
        </w:rPr>
        <w:t>הי</w:t>
      </w:r>
      <w:r w:rsidR="00CD7707">
        <w:rPr>
          <w:rFonts w:hint="cs"/>
          <w:rtl/>
        </w:rPr>
        <w:t>ו</w:t>
      </w:r>
      <w:r w:rsidR="00B523A8">
        <w:rPr>
          <w:rFonts w:hint="cs"/>
          <w:rtl/>
        </w:rPr>
        <w:t xml:space="preserve"> מוכ</w:t>
      </w:r>
      <w:r w:rsidR="00CD7707">
        <w:rPr>
          <w:rFonts w:hint="cs"/>
          <w:rtl/>
        </w:rPr>
        <w:t>נים</w:t>
      </w:r>
      <w:r w:rsidR="00B523A8">
        <w:rPr>
          <w:rFonts w:hint="cs"/>
          <w:rtl/>
        </w:rPr>
        <w:t xml:space="preserve"> לעשות את הצעד האחד הנדרש קדימה ול</w:t>
      </w:r>
      <w:r w:rsidR="00220955">
        <w:rPr>
          <w:rFonts w:hint="cs"/>
          <w:rtl/>
        </w:rPr>
        <w:t xml:space="preserve">בסס זכות מן היושר </w:t>
      </w:r>
      <w:r w:rsidR="009E62FF">
        <w:rPr>
          <w:rFonts w:hint="cs"/>
          <w:rtl/>
        </w:rPr>
        <w:t>"</w:t>
      </w:r>
      <w:r w:rsidR="00220955">
        <w:rPr>
          <w:rFonts w:hint="cs"/>
          <w:rtl/>
        </w:rPr>
        <w:t>תוצרת הארץ</w:t>
      </w:r>
      <w:r w:rsidR="009E62FF">
        <w:rPr>
          <w:rFonts w:hint="cs"/>
          <w:rtl/>
        </w:rPr>
        <w:t>"</w:t>
      </w:r>
      <w:r w:rsidR="00220955">
        <w:rPr>
          <w:rFonts w:hint="cs"/>
          <w:rtl/>
        </w:rPr>
        <w:t xml:space="preserve"> על </w:t>
      </w:r>
      <w:r w:rsidR="00B523A8">
        <w:rPr>
          <w:rFonts w:hint="cs"/>
          <w:rtl/>
        </w:rPr>
        <w:t>פרשנו</w:t>
      </w:r>
      <w:r w:rsidR="00ED7407">
        <w:rPr>
          <w:rFonts w:hint="cs"/>
          <w:rtl/>
        </w:rPr>
        <w:t xml:space="preserve">ת יצירתית </w:t>
      </w:r>
      <w:r w:rsidR="00220955">
        <w:rPr>
          <w:rFonts w:hint="cs"/>
          <w:rtl/>
        </w:rPr>
        <w:t xml:space="preserve">של אותו סעיף, </w:t>
      </w:r>
      <w:r w:rsidR="00ED7407">
        <w:rPr>
          <w:rFonts w:hint="cs"/>
          <w:rtl/>
        </w:rPr>
        <w:t>שקודמי</w:t>
      </w:r>
      <w:r w:rsidR="00CD7707">
        <w:rPr>
          <w:rFonts w:hint="cs"/>
          <w:rtl/>
        </w:rPr>
        <w:t>הם</w:t>
      </w:r>
      <w:r w:rsidR="00ED7407">
        <w:rPr>
          <w:rFonts w:hint="cs"/>
          <w:rtl/>
        </w:rPr>
        <w:t xml:space="preserve"> לא העזו לאמצה.</w:t>
      </w:r>
      <w:r w:rsidR="00B523A8">
        <w:rPr>
          <w:rStyle w:val="a5"/>
          <w:rtl/>
        </w:rPr>
        <w:footnoteReference w:id="42"/>
      </w:r>
      <w:r w:rsidR="00B523A8">
        <w:rPr>
          <w:rFonts w:hint="cs"/>
          <w:rtl/>
        </w:rPr>
        <w:t xml:space="preserve"> </w:t>
      </w:r>
      <w:r w:rsidR="00A0589B">
        <w:rPr>
          <w:rFonts w:hint="cs"/>
          <w:rtl/>
        </w:rPr>
        <w:t xml:space="preserve">בית המשפט </w:t>
      </w:r>
      <w:r w:rsidR="008A381B">
        <w:rPr>
          <w:rFonts w:hint="cs"/>
          <w:rtl/>
        </w:rPr>
        <w:t>לא הסתפק רק בפרשנות של אותו סעיף חוק אלא גם נתן הנמקה ערכית להעדפת הזכות מן היושר על זכות הנושה</w:t>
      </w:r>
      <w:r w:rsidR="009E62FF">
        <w:rPr>
          <w:rFonts w:hint="cs"/>
          <w:rtl/>
        </w:rPr>
        <w:t xml:space="preserve"> המתחרה</w:t>
      </w:r>
      <w:r w:rsidR="008A381B">
        <w:rPr>
          <w:rFonts w:hint="cs"/>
          <w:rtl/>
        </w:rPr>
        <w:t xml:space="preserve">. לפי </w:t>
      </w:r>
      <w:r w:rsidR="009E62FF">
        <w:rPr>
          <w:rFonts w:hint="cs"/>
          <w:rtl/>
        </w:rPr>
        <w:t>ה</w:t>
      </w:r>
      <w:r w:rsidR="008A381B">
        <w:rPr>
          <w:rFonts w:hint="cs"/>
          <w:rtl/>
        </w:rPr>
        <w:t xml:space="preserve">סבר </w:t>
      </w:r>
      <w:r w:rsidR="00CD7707">
        <w:rPr>
          <w:rFonts w:hint="cs"/>
          <w:rtl/>
        </w:rPr>
        <w:t xml:space="preserve">ערכי </w:t>
      </w:r>
      <w:r w:rsidR="009E62FF">
        <w:rPr>
          <w:rFonts w:hint="cs"/>
          <w:rtl/>
        </w:rPr>
        <w:t>זה</w:t>
      </w:r>
      <w:r w:rsidR="00CD7707">
        <w:rPr>
          <w:rFonts w:hint="cs"/>
          <w:rtl/>
        </w:rPr>
        <w:t>,</w:t>
      </w:r>
      <w:r w:rsidR="008A381B">
        <w:rPr>
          <w:rFonts w:hint="cs"/>
          <w:rtl/>
        </w:rPr>
        <w:t xml:space="preserve"> </w:t>
      </w:r>
      <w:r>
        <w:rPr>
          <w:rFonts w:hint="cs"/>
          <w:rtl/>
        </w:rPr>
        <w:t xml:space="preserve">זכות מן היושר ראויה להעדפה משום שבעל הזכות </w:t>
      </w:r>
      <w:r w:rsidR="00924903">
        <w:rPr>
          <w:rFonts w:hint="cs"/>
          <w:rtl/>
        </w:rPr>
        <w:t xml:space="preserve">מבקש זכויות בנכס </w:t>
      </w:r>
      <w:r w:rsidR="00924903">
        <w:rPr>
          <w:rFonts w:hint="cs"/>
          <w:b/>
          <w:bCs/>
          <w:rtl/>
        </w:rPr>
        <w:t>מסוי</w:t>
      </w:r>
      <w:r w:rsidR="00924903" w:rsidRPr="00924903">
        <w:rPr>
          <w:rFonts w:hint="cs"/>
          <w:b/>
          <w:bCs/>
          <w:rtl/>
        </w:rPr>
        <w:t>ם</w:t>
      </w:r>
      <w:r w:rsidR="00924903">
        <w:rPr>
          <w:rFonts w:hint="cs"/>
          <w:rtl/>
        </w:rPr>
        <w:t xml:space="preserve"> ו</w:t>
      </w:r>
      <w:r>
        <w:rPr>
          <w:rFonts w:hint="cs"/>
          <w:rtl/>
        </w:rPr>
        <w:t xml:space="preserve">מסתמך על החוזה בנכס </w:t>
      </w:r>
      <w:r w:rsidRPr="00CD7707">
        <w:rPr>
          <w:rFonts w:hint="cs"/>
          <w:b/>
          <w:bCs/>
          <w:rtl/>
        </w:rPr>
        <w:t>המסוים</w:t>
      </w:r>
      <w:r w:rsidR="00924903">
        <w:rPr>
          <w:rFonts w:hint="cs"/>
          <w:rtl/>
        </w:rPr>
        <w:t>,</w:t>
      </w:r>
      <w:r>
        <w:rPr>
          <w:rFonts w:hint="cs"/>
          <w:rtl/>
        </w:rPr>
        <w:t xml:space="preserve"> בעוד שנושים טיפוסיים אינם מסתמכים על הנכס </w:t>
      </w:r>
      <w:r w:rsidR="009E62FF">
        <w:rPr>
          <w:rFonts w:hint="cs"/>
          <w:rtl/>
        </w:rPr>
        <w:t xml:space="preserve">המסוים </w:t>
      </w:r>
      <w:r>
        <w:rPr>
          <w:rFonts w:hint="cs"/>
          <w:rtl/>
        </w:rPr>
        <w:t xml:space="preserve">בעת שנוצרת נשייתם ועל כן </w:t>
      </w:r>
      <w:r w:rsidR="00A0589B">
        <w:rPr>
          <w:rFonts w:hint="cs"/>
          <w:rtl/>
        </w:rPr>
        <w:t>אין בידם כל מחויבות של הבעלים הנוגעת לנכס המסוים שהם מבקשים להיפרע ממנו</w:t>
      </w:r>
      <w:r w:rsidR="009E62FF">
        <w:rPr>
          <w:rFonts w:hint="cs"/>
          <w:rtl/>
        </w:rPr>
        <w:t xml:space="preserve"> עתה</w:t>
      </w:r>
      <w:r w:rsidR="00A0589B">
        <w:rPr>
          <w:rFonts w:hint="cs"/>
          <w:rtl/>
        </w:rPr>
        <w:t xml:space="preserve">. הם </w:t>
      </w:r>
      <w:r>
        <w:rPr>
          <w:rFonts w:hint="cs"/>
          <w:rtl/>
        </w:rPr>
        <w:t xml:space="preserve">נוטלים על עצמם את הסיכון שלחייב לא יהיו נכסים בעת שיבקשו להיפרע ממנו. </w:t>
      </w:r>
      <w:r w:rsidR="00CD7707">
        <w:rPr>
          <w:rFonts w:hint="cs"/>
          <w:rtl/>
        </w:rPr>
        <w:t xml:space="preserve">בית המשפט סבר </w:t>
      </w:r>
      <w:r w:rsidR="00C707EA">
        <w:rPr>
          <w:rFonts w:hint="cs"/>
          <w:rtl/>
        </w:rPr>
        <w:t xml:space="preserve">אפוא </w:t>
      </w:r>
      <w:r w:rsidR="00CD7707">
        <w:rPr>
          <w:rFonts w:hint="cs"/>
          <w:rtl/>
        </w:rPr>
        <w:t>שיש להעדיף נושה שנשייתו נובעת מ</w:t>
      </w:r>
      <w:r w:rsidR="009E62FF">
        <w:rPr>
          <w:rFonts w:hint="cs"/>
          <w:rtl/>
        </w:rPr>
        <w:t>ה</w:t>
      </w:r>
      <w:r w:rsidR="00CD7707">
        <w:rPr>
          <w:rFonts w:hint="cs"/>
          <w:rtl/>
        </w:rPr>
        <w:t>סתמכות על נכס מסוים על פני נושה שנשייתו אינה נובעת מהסתמכות כזו.</w:t>
      </w:r>
      <w:bookmarkStart w:id="14" w:name="_Ref518581301"/>
      <w:r w:rsidR="00FA1CE5">
        <w:rPr>
          <w:rStyle w:val="a5"/>
          <w:rtl/>
        </w:rPr>
        <w:footnoteReference w:id="43"/>
      </w:r>
      <w:bookmarkEnd w:id="14"/>
      <w:r w:rsidR="00CD7707">
        <w:rPr>
          <w:rFonts w:hint="cs"/>
          <w:rtl/>
        </w:rPr>
        <w:t xml:space="preserve"> זה כלל לוגי, הגיוני ואולי גם מוצדק, אבל אין לו בסיס מפורש בדבר חקיקה </w:t>
      </w:r>
      <w:r w:rsidR="00FA1CE5">
        <w:rPr>
          <w:rFonts w:hint="cs"/>
          <w:rtl/>
        </w:rPr>
        <w:t xml:space="preserve">ישראלי </w:t>
      </w:r>
      <w:r w:rsidR="00CD7707">
        <w:rPr>
          <w:rFonts w:hint="cs"/>
          <w:rtl/>
        </w:rPr>
        <w:t>כלשהו.</w:t>
      </w:r>
      <w:r w:rsidR="008A381B">
        <w:rPr>
          <w:rFonts w:hint="cs"/>
          <w:rtl/>
        </w:rPr>
        <w:t xml:space="preserve"> </w:t>
      </w:r>
      <w:r>
        <w:rPr>
          <w:rFonts w:hint="cs"/>
          <w:rtl/>
        </w:rPr>
        <w:t xml:space="preserve">   </w:t>
      </w:r>
    </w:p>
    <w:p w:rsidR="008E3F00" w:rsidRDefault="00D64EBD" w:rsidP="009E62FF">
      <w:pPr>
        <w:spacing w:line="480" w:lineRule="auto"/>
        <w:jc w:val="both"/>
        <w:rPr>
          <w:rtl/>
        </w:rPr>
      </w:pPr>
      <w:r>
        <w:rPr>
          <w:rFonts w:hint="cs"/>
          <w:rtl/>
        </w:rPr>
        <w:t xml:space="preserve">   כדי לייצר זכות מן היושר מקורית ועצמית היה על בית המשפט להתגבר על כמה מכשולים. הראשון היה קיומו של תקדים בן שלושים שנה של בית המשפט לפיו אין בישראל זכויות מן היושר. </w:t>
      </w:r>
      <w:r w:rsidR="00CD7707">
        <w:rPr>
          <w:rFonts w:hint="cs"/>
          <w:rtl/>
        </w:rPr>
        <w:t>השופטים כמ</w:t>
      </w:r>
      <w:r w:rsidR="00C707EA">
        <w:rPr>
          <w:rFonts w:hint="cs"/>
          <w:rtl/>
        </w:rPr>
        <w:t>ו</w:t>
      </w:r>
      <w:r w:rsidR="00CD7707">
        <w:rPr>
          <w:rFonts w:hint="cs"/>
          <w:rtl/>
        </w:rPr>
        <w:t xml:space="preserve">בן סברו כי התקדים הקודם שגוי לגופו. </w:t>
      </w:r>
      <w:r w:rsidR="00AA77AF">
        <w:rPr>
          <w:rFonts w:hint="cs"/>
          <w:rtl/>
        </w:rPr>
        <w:t xml:space="preserve">הנשיא ברק </w:t>
      </w:r>
      <w:r w:rsidR="00CD7707">
        <w:rPr>
          <w:rFonts w:hint="cs"/>
          <w:rtl/>
        </w:rPr>
        <w:t>נימק את סטייתו מהתקדים, שבעבר דבק בו, בכך ש</w:t>
      </w:r>
      <w:r w:rsidR="00AA77AF">
        <w:rPr>
          <w:rFonts w:hint="cs"/>
          <w:rtl/>
        </w:rPr>
        <w:t>ההלכה הקודמת לא ראתה את תפיסת העומק של המחוקק.</w:t>
      </w:r>
      <w:r w:rsidR="00AA77AF">
        <w:rPr>
          <w:rStyle w:val="a5"/>
          <w:rtl/>
        </w:rPr>
        <w:footnoteReference w:id="44"/>
      </w:r>
      <w:r w:rsidR="00AA77AF">
        <w:rPr>
          <w:rFonts w:hint="cs"/>
          <w:rtl/>
        </w:rPr>
        <w:t xml:space="preserve"> </w:t>
      </w:r>
      <w:r w:rsidR="008E3F00">
        <w:rPr>
          <w:rFonts w:hint="cs"/>
          <w:rtl/>
        </w:rPr>
        <w:t xml:space="preserve">השופטת שטרסברג כהן טענה כי </w:t>
      </w:r>
      <w:r w:rsidR="008E3F00" w:rsidRPr="00277D09">
        <w:rPr>
          <w:rFonts w:hint="cs"/>
          <w:rtl/>
        </w:rPr>
        <w:t>יש לשנות את הדין כדי לממש את "</w:t>
      </w:r>
      <w:r w:rsidR="008E3F00" w:rsidRPr="00277D09">
        <w:rPr>
          <w:rtl/>
        </w:rPr>
        <w:t>התפיסה המקובלת בשיטתנו של הרמוניה משפטית בין הסדרים שונים הנוגעים לאותה מָאטֶרְיה</w:t>
      </w:r>
      <w:r w:rsidR="008E3F00" w:rsidRPr="00277D09">
        <w:rPr>
          <w:rFonts w:hint="cs"/>
          <w:rtl/>
        </w:rPr>
        <w:t>".</w:t>
      </w:r>
      <w:r w:rsidR="008E3F00" w:rsidRPr="00277D09">
        <w:rPr>
          <w:rStyle w:val="a5"/>
          <w:rtl/>
        </w:rPr>
        <w:footnoteReference w:id="45"/>
      </w:r>
      <w:r w:rsidR="008E3F00">
        <w:rPr>
          <w:rFonts w:hint="cs"/>
          <w:rtl/>
        </w:rPr>
        <w:t xml:space="preserve"> עם זאת, </w:t>
      </w:r>
      <w:r w:rsidR="00CD7707">
        <w:rPr>
          <w:rFonts w:hint="cs"/>
          <w:rtl/>
        </w:rPr>
        <w:t xml:space="preserve">אם התקדים שגוי לגופו, </w:t>
      </w:r>
      <w:r w:rsidR="008E3F00">
        <w:rPr>
          <w:rFonts w:hint="cs"/>
          <w:rtl/>
        </w:rPr>
        <w:t>מדוע המתין בית המשפט ק</w:t>
      </w:r>
      <w:r w:rsidR="009E62FF">
        <w:rPr>
          <w:rFonts w:hint="cs"/>
          <w:rtl/>
        </w:rPr>
        <w:t>רוב לשלושה עשורים עד לפסיקתו זו</w:t>
      </w:r>
      <w:r w:rsidR="008E3F00">
        <w:rPr>
          <w:rFonts w:hint="cs"/>
          <w:rtl/>
        </w:rPr>
        <w:t>? השופטת שטרסברג</w:t>
      </w:r>
      <w:r w:rsidR="009E62FF">
        <w:rPr>
          <w:rFonts w:hint="cs"/>
          <w:rtl/>
        </w:rPr>
        <w:t>-</w:t>
      </w:r>
      <w:r w:rsidR="008E3F00">
        <w:rPr>
          <w:rFonts w:hint="cs"/>
          <w:rtl/>
        </w:rPr>
        <w:t>כהן מנתה סיבות שונות לכך שבית המשפט אזר עוז לחדש הלכה דווקא בנקודת זמן זו</w:t>
      </w:r>
      <w:r w:rsidR="00F314B8">
        <w:rPr>
          <w:rFonts w:hint="cs"/>
          <w:rtl/>
        </w:rPr>
        <w:t xml:space="preserve"> ובהן</w:t>
      </w:r>
      <w:r w:rsidR="008E3F00">
        <w:rPr>
          <w:rFonts w:hint="cs"/>
          <w:rtl/>
        </w:rPr>
        <w:t>:</w:t>
      </w:r>
      <w:r w:rsidR="00F314B8">
        <w:rPr>
          <w:rFonts w:hint="cs"/>
          <w:rtl/>
        </w:rPr>
        <w:t xml:space="preserve"> גילה של ההלכה הישנה, הצורך בהתאמתה ל"מציאות החיים המשתנה", ריבוי המקרים הרלוונטיים, הביקורת שנמתחה על ההלכה וגם "</w:t>
      </w:r>
      <w:r w:rsidR="00F314B8" w:rsidRPr="00CC3470">
        <w:rPr>
          <w:rtl/>
        </w:rPr>
        <w:t>ההתפתחויות במשפט, שעבר כברת דרך מפורמאליזם למהות</w:t>
      </w:r>
      <w:r w:rsidR="00F314B8">
        <w:rPr>
          <w:rFonts w:hint="cs"/>
          <w:rtl/>
        </w:rPr>
        <w:t>".</w:t>
      </w:r>
      <w:r w:rsidR="0024223D">
        <w:rPr>
          <w:rStyle w:val="a5"/>
          <w:rtl/>
        </w:rPr>
        <w:footnoteReference w:id="46"/>
      </w:r>
      <w:r w:rsidR="00F314B8">
        <w:rPr>
          <w:rFonts w:hint="cs"/>
          <w:rtl/>
        </w:rPr>
        <w:t xml:space="preserve"> נראה שהטעם האחרון </w:t>
      </w:r>
      <w:r w:rsidR="008E3F00">
        <w:rPr>
          <w:rFonts w:hint="cs"/>
          <w:rtl/>
        </w:rPr>
        <w:t xml:space="preserve">משקף את תוכנה של הרשימה כולה: עוצמתו של בית המשפט ונטייתו </w:t>
      </w:r>
      <w:r w:rsidR="00CD7707">
        <w:rPr>
          <w:rFonts w:hint="cs"/>
          <w:rtl/>
        </w:rPr>
        <w:t>ה</w:t>
      </w:r>
      <w:r w:rsidR="008E3F00">
        <w:rPr>
          <w:rFonts w:hint="cs"/>
          <w:rtl/>
        </w:rPr>
        <w:t xml:space="preserve">כללית הגוברת והולכת לאקטיביזם שיפוטי הגיעו </w:t>
      </w:r>
      <w:r w:rsidR="00FA1CE5">
        <w:rPr>
          <w:rFonts w:hint="cs"/>
          <w:rtl/>
        </w:rPr>
        <w:t xml:space="preserve">ערב המילניום השלישי </w:t>
      </w:r>
      <w:r w:rsidR="008E3F00">
        <w:rPr>
          <w:rFonts w:hint="cs"/>
          <w:rtl/>
        </w:rPr>
        <w:t xml:space="preserve">גם למרחב של דיני המקרקעין. </w:t>
      </w:r>
    </w:p>
    <w:p w:rsidR="00A437CE" w:rsidRDefault="008E3F00" w:rsidP="00BD3EC6">
      <w:pPr>
        <w:spacing w:line="480" w:lineRule="auto"/>
        <w:jc w:val="both"/>
        <w:rPr>
          <w:rtl/>
        </w:rPr>
      </w:pPr>
      <w:r>
        <w:rPr>
          <w:rFonts w:hint="cs"/>
          <w:rtl/>
        </w:rPr>
        <w:t xml:space="preserve">   </w:t>
      </w:r>
      <w:r w:rsidR="00D64EBD">
        <w:rPr>
          <w:rFonts w:hint="cs"/>
          <w:rtl/>
        </w:rPr>
        <w:t xml:space="preserve">מכשול נוסף שעמד בפני בית המשפט היה הצורך </w:t>
      </w:r>
      <w:r w:rsidR="00CD7707">
        <w:rPr>
          <w:rFonts w:hint="cs"/>
          <w:rtl/>
        </w:rPr>
        <w:t xml:space="preserve">למצוא מקור נורמטיבי ישראלי ליצירה העצמאית של זכויות מן היושר. </w:t>
      </w:r>
      <w:r w:rsidR="00D64EBD">
        <w:rPr>
          <w:rFonts w:hint="cs"/>
          <w:rtl/>
        </w:rPr>
        <w:t xml:space="preserve">על מכשול זה התגבר </w:t>
      </w:r>
      <w:r w:rsidR="00CD7707">
        <w:rPr>
          <w:rFonts w:hint="cs"/>
          <w:rtl/>
        </w:rPr>
        <w:t xml:space="preserve">כאמור </w:t>
      </w:r>
      <w:r w:rsidR="00D64EBD">
        <w:rPr>
          <w:rFonts w:hint="cs"/>
          <w:rtl/>
        </w:rPr>
        <w:t>באמצעות פרשנות יצירתית של סעי</w:t>
      </w:r>
      <w:r w:rsidR="00CD7707">
        <w:rPr>
          <w:rFonts w:hint="cs"/>
          <w:rtl/>
        </w:rPr>
        <w:t xml:space="preserve">ף חוק ישראלי </w:t>
      </w:r>
      <w:r w:rsidR="00D64EBD">
        <w:rPr>
          <w:rFonts w:hint="cs"/>
          <w:rtl/>
        </w:rPr>
        <w:t xml:space="preserve">ועל ידי הדגשה חוזרת ונשנית כי מדובר ביצירה </w:t>
      </w:r>
      <w:r w:rsidR="00277D09">
        <w:rPr>
          <w:rFonts w:hint="cs"/>
          <w:rtl/>
        </w:rPr>
        <w:t>ישראלית מקורית</w:t>
      </w:r>
      <w:r>
        <w:rPr>
          <w:rFonts w:hint="cs"/>
          <w:rtl/>
        </w:rPr>
        <w:t xml:space="preserve"> שיש לפתחה באופן מקורי תוך לימוד ממקורות זרים אך מבלי לאמצם כמות שהם</w:t>
      </w:r>
      <w:r w:rsidR="00277D09">
        <w:rPr>
          <w:rFonts w:hint="cs"/>
          <w:rtl/>
        </w:rPr>
        <w:t>.</w:t>
      </w:r>
      <w:r>
        <w:rPr>
          <w:rStyle w:val="a5"/>
          <w:rtl/>
        </w:rPr>
        <w:footnoteReference w:id="47"/>
      </w:r>
      <w:r w:rsidR="00277D09">
        <w:rPr>
          <w:rFonts w:hint="cs"/>
          <w:rtl/>
        </w:rPr>
        <w:t xml:space="preserve"> </w:t>
      </w:r>
      <w:r w:rsidR="00F314B8">
        <w:rPr>
          <w:rFonts w:hint="cs"/>
          <w:rtl/>
        </w:rPr>
        <w:t xml:space="preserve">בית המשפט </w:t>
      </w:r>
      <w:r w:rsidR="00CD7707">
        <w:rPr>
          <w:rFonts w:hint="cs"/>
          <w:rtl/>
        </w:rPr>
        <w:t xml:space="preserve">נזהר </w:t>
      </w:r>
      <w:r w:rsidR="00F314B8">
        <w:rPr>
          <w:rFonts w:hint="cs"/>
          <w:rtl/>
        </w:rPr>
        <w:t xml:space="preserve">שלא לבסס את הזכות מן היושר על הדוקטרינה המשפטית </w:t>
      </w:r>
      <w:r w:rsidR="00CD7707">
        <w:rPr>
          <w:rFonts w:hint="cs"/>
          <w:rtl/>
        </w:rPr>
        <w:t xml:space="preserve">של הנאמנות הקונסטרוקטיבית </w:t>
      </w:r>
      <w:r w:rsidR="00F314B8">
        <w:rPr>
          <w:rFonts w:hint="cs"/>
          <w:rtl/>
        </w:rPr>
        <w:t>שביססה אותה בדיני היושר האנגלים והאמריקאים. דוקטרינה זו מייחסת למ</w:t>
      </w:r>
      <w:r w:rsidR="00CD7707">
        <w:rPr>
          <w:rFonts w:hint="cs"/>
          <w:rtl/>
        </w:rPr>
        <w:t xml:space="preserve">עביר </w:t>
      </w:r>
      <w:r w:rsidR="00F314B8">
        <w:rPr>
          <w:rFonts w:hint="cs"/>
          <w:rtl/>
        </w:rPr>
        <w:t>ול</w:t>
      </w:r>
      <w:r w:rsidR="00CD7707">
        <w:rPr>
          <w:rFonts w:hint="cs"/>
          <w:rtl/>
        </w:rPr>
        <w:t>נעבר</w:t>
      </w:r>
      <w:r w:rsidR="00F314B8">
        <w:rPr>
          <w:rFonts w:hint="cs"/>
          <w:rtl/>
        </w:rPr>
        <w:t xml:space="preserve"> יחסי נאמנות בכוח (קונסטרוקטיבית) ומכאן גוזרת את עדיפות ה</w:t>
      </w:r>
      <w:r w:rsidR="00CD7707">
        <w:rPr>
          <w:rFonts w:hint="cs"/>
          <w:rtl/>
        </w:rPr>
        <w:t>נעבר</w:t>
      </w:r>
      <w:r w:rsidR="00F314B8">
        <w:rPr>
          <w:rFonts w:hint="cs"/>
          <w:rtl/>
        </w:rPr>
        <w:t xml:space="preserve">, כנהנה בנאמנות, על פני נושי </w:t>
      </w:r>
      <w:r w:rsidR="00CD7707">
        <w:rPr>
          <w:rFonts w:hint="cs"/>
          <w:rtl/>
        </w:rPr>
        <w:t>המעביר, הנאמן</w:t>
      </w:r>
      <w:r w:rsidR="00F314B8">
        <w:rPr>
          <w:rFonts w:hint="cs"/>
          <w:rtl/>
        </w:rPr>
        <w:t>. בית המשפט ביקש שלא לבסס את פסיקתו על דוקטרינה זו והעדיף כאמור להראות כי פסיקתו סומכת על הוראת חוק ישראלית.</w:t>
      </w:r>
      <w:r w:rsidR="00F314B8">
        <w:rPr>
          <w:rStyle w:val="a5"/>
          <w:rtl/>
        </w:rPr>
        <w:footnoteReference w:id="48"/>
      </w:r>
      <w:r w:rsidR="00F314B8">
        <w:rPr>
          <w:rFonts w:hint="cs"/>
          <w:rtl/>
        </w:rPr>
        <w:t xml:space="preserve"> </w:t>
      </w:r>
      <w:r w:rsidR="00277D09">
        <w:rPr>
          <w:rFonts w:hint="cs"/>
          <w:rtl/>
        </w:rPr>
        <w:t xml:space="preserve">עם זאת, בסופו של דבר הזכות מן היושר </w:t>
      </w:r>
      <w:r w:rsidR="003750A0">
        <w:rPr>
          <w:rFonts w:hint="cs"/>
          <w:rtl/>
        </w:rPr>
        <w:t>"</w:t>
      </w:r>
      <w:r w:rsidR="00277D09">
        <w:rPr>
          <w:rFonts w:hint="cs"/>
          <w:rtl/>
        </w:rPr>
        <w:t>תוצרת הארץ</w:t>
      </w:r>
      <w:r w:rsidR="003750A0">
        <w:rPr>
          <w:rFonts w:hint="cs"/>
          <w:rtl/>
        </w:rPr>
        <w:t>"</w:t>
      </w:r>
      <w:r w:rsidR="00277D09">
        <w:rPr>
          <w:rFonts w:hint="cs"/>
          <w:rtl/>
        </w:rPr>
        <w:t xml:space="preserve"> הייתה דומה, כתאומה כמעט זהה, לזכות שיצרו דיני היושר האנגליים. אפילו ההסברים הערכיים שנתן בית המ</w:t>
      </w:r>
      <w:r w:rsidR="00D64EBD">
        <w:rPr>
          <w:rFonts w:hint="cs"/>
          <w:rtl/>
        </w:rPr>
        <w:t>ש</w:t>
      </w:r>
      <w:r w:rsidR="00277D09">
        <w:rPr>
          <w:rFonts w:hint="cs"/>
          <w:rtl/>
        </w:rPr>
        <w:t>פט כבר שמשו אותו בעבר כדי להסביר את ההיגיון של הדין האנגלי, כאשר היה בתוקף.</w:t>
      </w:r>
      <w:r w:rsidR="00277D09">
        <w:rPr>
          <w:rStyle w:val="a5"/>
          <w:rtl/>
        </w:rPr>
        <w:footnoteReference w:id="49"/>
      </w:r>
      <w:r w:rsidR="00D64EBD">
        <w:rPr>
          <w:rFonts w:hint="cs"/>
          <w:rtl/>
        </w:rPr>
        <w:t xml:space="preserve"> </w:t>
      </w:r>
    </w:p>
    <w:p w:rsidR="00277D09" w:rsidRDefault="00A437CE" w:rsidP="00640DEE">
      <w:pPr>
        <w:spacing w:line="480" w:lineRule="auto"/>
        <w:jc w:val="both"/>
        <w:rPr>
          <w:rtl/>
        </w:rPr>
      </w:pPr>
      <w:r>
        <w:rPr>
          <w:rFonts w:hint="cs"/>
        </w:rPr>
        <w:t xml:space="preserve">   </w:t>
      </w:r>
      <w:r w:rsidR="00D64EBD">
        <w:rPr>
          <w:rFonts w:hint="cs"/>
          <w:rtl/>
        </w:rPr>
        <w:t>למעשה הפעולה שבצע בית המשפט העליון בשנת 1999 הייתה אותה פעולה שיפוטית שבצעו בתי המשפט של היושר מאות שנים קודם לכן. הלכת אהרונוב הייתה יותר חקיקה שיפוטית בסגנון אנגלי מאשר יישום שמרני של חקיקה מפורשת. בדיוק כמו ההלכה האנגלית, שהתפתחה עקב בצד אגודל מפסיקה לפסיקה, כך המשי</w:t>
      </w:r>
      <w:r w:rsidR="00640DEE">
        <w:rPr>
          <w:rFonts w:hint="cs"/>
          <w:rtl/>
        </w:rPr>
        <w:t>כו בתי המשפט, בכל הערכאות, ל</w:t>
      </w:r>
      <w:r w:rsidR="00D64EBD">
        <w:rPr>
          <w:rFonts w:hint="cs"/>
          <w:rtl/>
        </w:rPr>
        <w:t xml:space="preserve">פתח את הזכות מן היושר באמצעות שרשרת של פסיקות. </w:t>
      </w:r>
      <w:r w:rsidR="00640DEE">
        <w:rPr>
          <w:rFonts w:hint="cs"/>
          <w:rtl/>
        </w:rPr>
        <w:t xml:space="preserve">הם פסקו </w:t>
      </w:r>
      <w:r w:rsidR="00D64EBD">
        <w:rPr>
          <w:rFonts w:hint="cs"/>
          <w:rtl/>
        </w:rPr>
        <w:t>כי הזכות מן היושר רלוונטית גם לגבי התחייבויות לעסקאות שונות מבעלות (כגון משכנתא</w:t>
      </w:r>
      <w:r>
        <w:rPr>
          <w:rFonts w:hint="cs"/>
          <w:rtl/>
        </w:rPr>
        <w:t xml:space="preserve"> או נאמנות</w:t>
      </w:r>
      <w:r w:rsidR="00D64EBD">
        <w:rPr>
          <w:rFonts w:hint="cs"/>
          <w:rtl/>
        </w:rPr>
        <w:t>),</w:t>
      </w:r>
      <w:r>
        <w:rPr>
          <w:rStyle w:val="a5"/>
          <w:rtl/>
        </w:rPr>
        <w:footnoteReference w:id="50"/>
      </w:r>
      <w:r w:rsidR="00D64EBD">
        <w:rPr>
          <w:rFonts w:hint="cs"/>
          <w:rtl/>
        </w:rPr>
        <w:t xml:space="preserve"> היא גוברת על הנושים של המעביר גם בהליכי חדלות פירעון שלו</w:t>
      </w:r>
      <w:r w:rsidR="00D64EBD">
        <w:rPr>
          <w:rStyle w:val="a5"/>
          <w:rtl/>
        </w:rPr>
        <w:footnoteReference w:id="51"/>
      </w:r>
      <w:r w:rsidR="00F314B8">
        <w:rPr>
          <w:rFonts w:hint="cs"/>
          <w:rtl/>
        </w:rPr>
        <w:t xml:space="preserve"> ו</w:t>
      </w:r>
      <w:r w:rsidR="00D64EBD">
        <w:rPr>
          <w:rFonts w:hint="cs"/>
          <w:rtl/>
        </w:rPr>
        <w:t>היא קיימת, אף כי באופן חלש יותר, גם כשהעסקה היא ללא תמורה</w:t>
      </w:r>
      <w:r w:rsidR="00F314B8">
        <w:rPr>
          <w:rFonts w:hint="cs"/>
          <w:rtl/>
        </w:rPr>
        <w:t>.</w:t>
      </w:r>
      <w:r w:rsidR="00D64EBD">
        <w:rPr>
          <w:rStyle w:val="a5"/>
          <w:rtl/>
        </w:rPr>
        <w:footnoteReference w:id="52"/>
      </w:r>
      <w:r w:rsidR="00D64EBD">
        <w:rPr>
          <w:rFonts w:hint="cs"/>
          <w:rtl/>
        </w:rPr>
        <w:t xml:space="preserve"> </w:t>
      </w:r>
      <w:r w:rsidR="00F314B8">
        <w:rPr>
          <w:rFonts w:hint="cs"/>
          <w:rtl/>
        </w:rPr>
        <w:t>בסופו של דבר בית המשפט גם פסק, בדומה להלכה האנגלית אך מבלי להסתמך עליה באופן ישיר</w:t>
      </w:r>
      <w:r w:rsidR="00094054">
        <w:rPr>
          <w:rFonts w:hint="cs"/>
          <w:rtl/>
        </w:rPr>
        <w:t>,</w:t>
      </w:r>
      <w:r w:rsidR="00F314B8">
        <w:rPr>
          <w:rFonts w:hint="cs"/>
          <w:rtl/>
        </w:rPr>
        <w:t xml:space="preserve"> כי בין ה</w:t>
      </w:r>
      <w:r w:rsidR="00CD7707">
        <w:rPr>
          <w:rFonts w:hint="cs"/>
          <w:rtl/>
        </w:rPr>
        <w:t xml:space="preserve">מעביר </w:t>
      </w:r>
      <w:r w:rsidR="00F314B8">
        <w:rPr>
          <w:rFonts w:hint="cs"/>
          <w:rtl/>
        </w:rPr>
        <w:t>ל</w:t>
      </w:r>
      <w:r w:rsidR="00CD7707">
        <w:rPr>
          <w:rFonts w:hint="cs"/>
          <w:rtl/>
        </w:rPr>
        <w:t>נעבר</w:t>
      </w:r>
      <w:r w:rsidR="00F314B8">
        <w:rPr>
          <w:rFonts w:hint="cs"/>
          <w:rtl/>
        </w:rPr>
        <w:t xml:space="preserve"> יש יחסי נאמנות קונסטרוקטיבית</w:t>
      </w:r>
      <w:r w:rsidR="00BD3EC6">
        <w:rPr>
          <w:rFonts w:hint="cs"/>
          <w:rtl/>
        </w:rPr>
        <w:t xml:space="preserve"> וכי</w:t>
      </w:r>
      <w:r w:rsidR="00F314B8">
        <w:rPr>
          <w:rFonts w:hint="cs"/>
          <w:rtl/>
        </w:rPr>
        <w:t xml:space="preserve"> תביעת זכות מן היושר תתיישן </w:t>
      </w:r>
      <w:r w:rsidR="00D64EBD">
        <w:rPr>
          <w:rFonts w:hint="cs"/>
          <w:rtl/>
        </w:rPr>
        <w:t>כפי שמתיישנת תביעת נהנה נגד נאמנות.</w:t>
      </w:r>
      <w:r w:rsidR="00D64EBD">
        <w:rPr>
          <w:rStyle w:val="a5"/>
          <w:rtl/>
        </w:rPr>
        <w:footnoteReference w:id="53"/>
      </w:r>
      <w:r w:rsidR="00BD3EC6">
        <w:rPr>
          <w:rFonts w:hint="cs"/>
          <w:rtl/>
        </w:rPr>
        <w:t xml:space="preserve"> </w:t>
      </w:r>
      <w:r w:rsidR="00D64EBD">
        <w:rPr>
          <w:rFonts w:hint="cs"/>
          <w:rtl/>
        </w:rPr>
        <w:t xml:space="preserve">פיתוחה של הזכות מן היושר הפך להיות חלק מהמשפט המקובל הישראלי. </w:t>
      </w:r>
      <w:r w:rsidR="00F314B8">
        <w:rPr>
          <w:rFonts w:hint="cs"/>
          <w:rtl/>
        </w:rPr>
        <w:t xml:space="preserve">מצד אחד </w:t>
      </w:r>
      <w:r w:rsidR="00D64EBD">
        <w:rPr>
          <w:rFonts w:hint="cs"/>
          <w:rtl/>
        </w:rPr>
        <w:t xml:space="preserve">הוא משקף </w:t>
      </w:r>
      <w:r w:rsidR="00F314B8">
        <w:rPr>
          <w:rFonts w:hint="cs"/>
          <w:rtl/>
        </w:rPr>
        <w:t xml:space="preserve">את </w:t>
      </w:r>
      <w:r w:rsidR="00D64EBD">
        <w:rPr>
          <w:rFonts w:hint="cs"/>
          <w:rtl/>
        </w:rPr>
        <w:t xml:space="preserve">התעצמות כוחו של בית המשפט ואת עצמאותו </w:t>
      </w:r>
      <w:r w:rsidR="00F314B8">
        <w:rPr>
          <w:rFonts w:hint="cs"/>
          <w:rtl/>
        </w:rPr>
        <w:t xml:space="preserve">המחשבתית והפרשנית. מצד שני, </w:t>
      </w:r>
      <w:r w:rsidR="00D64EBD">
        <w:rPr>
          <w:rFonts w:hint="cs"/>
          <w:rtl/>
        </w:rPr>
        <w:t>הוא מצביע על כך שפעולת השפיטה האקטיביסטית של בית המשפט בישראל אינה שונה מפעולות דומות שבצעו בתי משפט עוצמתיים בשיטות משפט אחרות. מלאכת השפיטה היא בסופו של דבר אוניברסאלית גם כאשר מתאמצים להראות מקוריות.</w:t>
      </w:r>
      <w:r w:rsidR="0055362A">
        <w:rPr>
          <w:rStyle w:val="a5"/>
          <w:rtl/>
        </w:rPr>
        <w:footnoteReference w:id="54"/>
      </w:r>
      <w:r w:rsidR="00D64EBD">
        <w:rPr>
          <w:rFonts w:hint="cs"/>
          <w:rtl/>
        </w:rPr>
        <w:t xml:space="preserve"> </w:t>
      </w:r>
    </w:p>
    <w:p w:rsidR="008E3194" w:rsidRDefault="00F314B8" w:rsidP="003750A0">
      <w:pPr>
        <w:spacing w:line="480" w:lineRule="auto"/>
        <w:jc w:val="both"/>
        <w:rPr>
          <w:rtl/>
        </w:rPr>
      </w:pPr>
      <w:r>
        <w:rPr>
          <w:rFonts w:hint="cs"/>
          <w:rtl/>
        </w:rPr>
        <w:t xml:space="preserve">   </w:t>
      </w:r>
      <w:r w:rsidR="00733FF4">
        <w:rPr>
          <w:rFonts w:hint="cs"/>
          <w:rtl/>
        </w:rPr>
        <w:t>ארבע שנים בלבד אחרי פיתוח זכות קניין מן היושר ישראלית מקורית, פיתח בית המשפט העליון באופן עצמאי דוקטרינה נוספת שמוכרת היטב בדיני היושר האנגליים: דוקטרינת ההשתק.</w:t>
      </w:r>
      <w:bookmarkStart w:id="15" w:name="_Ref518575999"/>
      <w:r w:rsidR="00733FF4">
        <w:rPr>
          <w:rStyle w:val="a5"/>
          <w:rtl/>
        </w:rPr>
        <w:footnoteReference w:id="55"/>
      </w:r>
      <w:bookmarkEnd w:id="15"/>
      <w:r w:rsidR="00733FF4">
        <w:rPr>
          <w:rFonts w:hint="cs"/>
          <w:rtl/>
        </w:rPr>
        <w:t xml:space="preserve"> </w:t>
      </w:r>
      <w:r>
        <w:rPr>
          <w:rFonts w:hint="cs"/>
          <w:rtl/>
        </w:rPr>
        <w:t>גם כאן הפך בית המשפט הלכה בת עש</w:t>
      </w:r>
      <w:r w:rsidR="00733FF4">
        <w:rPr>
          <w:rFonts w:hint="cs"/>
          <w:rtl/>
        </w:rPr>
        <w:t>ר</w:t>
      </w:r>
      <w:r>
        <w:rPr>
          <w:rFonts w:hint="cs"/>
          <w:rtl/>
        </w:rPr>
        <w:t>ות שנים</w:t>
      </w:r>
      <w:r w:rsidR="003750A0">
        <w:rPr>
          <w:rFonts w:hint="cs"/>
          <w:rtl/>
        </w:rPr>
        <w:t xml:space="preserve">. </w:t>
      </w:r>
      <w:r>
        <w:rPr>
          <w:rFonts w:hint="cs"/>
          <w:rtl/>
        </w:rPr>
        <w:t xml:space="preserve">גם כאן </w:t>
      </w:r>
      <w:r w:rsidR="00733FF4">
        <w:rPr>
          <w:rFonts w:hint="cs"/>
          <w:rtl/>
        </w:rPr>
        <w:t xml:space="preserve">מדובר בפיתוח ישראלי מקורי הסומך על </w:t>
      </w:r>
      <w:r>
        <w:rPr>
          <w:rFonts w:hint="cs"/>
          <w:rtl/>
        </w:rPr>
        <w:t>פרשנות אקטיביסטית</w:t>
      </w:r>
      <w:r w:rsidR="00733FF4">
        <w:rPr>
          <w:rFonts w:hint="cs"/>
          <w:rtl/>
        </w:rPr>
        <w:t xml:space="preserve">, </w:t>
      </w:r>
      <w:r>
        <w:rPr>
          <w:rFonts w:hint="cs"/>
          <w:rtl/>
        </w:rPr>
        <w:t xml:space="preserve">יצירתית </w:t>
      </w:r>
      <w:r w:rsidR="00733FF4">
        <w:rPr>
          <w:rFonts w:hint="cs"/>
          <w:rtl/>
        </w:rPr>
        <w:t xml:space="preserve">וערכית </w:t>
      </w:r>
      <w:r>
        <w:rPr>
          <w:rFonts w:hint="cs"/>
          <w:rtl/>
        </w:rPr>
        <w:t>של חוק ישראלי</w:t>
      </w:r>
      <w:r w:rsidR="003750A0">
        <w:rPr>
          <w:rFonts w:hint="cs"/>
          <w:rtl/>
        </w:rPr>
        <w:t>.</w:t>
      </w:r>
      <w:r w:rsidR="00733FF4">
        <w:rPr>
          <w:rFonts w:hint="cs"/>
          <w:rtl/>
        </w:rPr>
        <w:t xml:space="preserve"> </w:t>
      </w:r>
      <w:r>
        <w:rPr>
          <w:rFonts w:hint="cs"/>
          <w:rtl/>
        </w:rPr>
        <w:t>גם כאן מוביל המהלך היה הנשיא אהרון ברק</w:t>
      </w:r>
      <w:r w:rsidR="00733FF4">
        <w:rPr>
          <w:rFonts w:hint="cs"/>
          <w:rtl/>
        </w:rPr>
        <w:t xml:space="preserve"> וגם כאן התוצאה של המהלך דומה מאוד לדוקטרינה האנגלית המקורית. בפרשת </w:t>
      </w:r>
      <w:r w:rsidR="00733FF4" w:rsidRPr="00CD7707">
        <w:rPr>
          <w:rFonts w:hint="cs"/>
          <w:b/>
          <w:bCs/>
          <w:rtl/>
        </w:rPr>
        <w:t>גנז</w:t>
      </w:r>
      <w:bookmarkStart w:id="16" w:name="_Ref518568858"/>
      <w:r w:rsidR="00CD7707">
        <w:rPr>
          <w:rStyle w:val="a5"/>
          <w:rtl/>
        </w:rPr>
        <w:footnoteReference w:id="56"/>
      </w:r>
      <w:bookmarkEnd w:id="16"/>
      <w:r w:rsidR="00FD7625">
        <w:rPr>
          <w:rFonts w:hint="cs"/>
          <w:b/>
          <w:bCs/>
          <w:rtl/>
        </w:rPr>
        <w:t xml:space="preserve"> </w:t>
      </w:r>
      <w:r w:rsidR="00733FF4">
        <w:rPr>
          <w:rFonts w:hint="cs"/>
          <w:rtl/>
        </w:rPr>
        <w:t>התחייב בעל מקרקעין להעביר את זכויותיו לאחד (מר גנז) ו</w:t>
      </w:r>
      <w:r w:rsidR="00FD7625">
        <w:rPr>
          <w:rFonts w:hint="cs"/>
          <w:rtl/>
        </w:rPr>
        <w:t>ל</w:t>
      </w:r>
      <w:r w:rsidR="00733FF4">
        <w:rPr>
          <w:rFonts w:hint="cs"/>
          <w:rtl/>
        </w:rPr>
        <w:t xml:space="preserve">אחר שבע </w:t>
      </w:r>
      <w:r w:rsidR="00FD7625">
        <w:rPr>
          <w:rFonts w:hint="cs"/>
          <w:rtl/>
        </w:rPr>
        <w:t>ע</w:t>
      </w:r>
      <w:r w:rsidR="00733FF4">
        <w:rPr>
          <w:rFonts w:hint="cs"/>
          <w:rtl/>
        </w:rPr>
        <w:t>שרה שנה</w:t>
      </w:r>
      <w:r w:rsidR="00FD7625">
        <w:rPr>
          <w:rFonts w:hint="cs"/>
          <w:rtl/>
        </w:rPr>
        <w:t xml:space="preserve"> התחייב להעביר את אותן זכויות לקונה </w:t>
      </w:r>
      <w:r w:rsidR="00733FF4">
        <w:rPr>
          <w:rFonts w:hint="cs"/>
          <w:rtl/>
        </w:rPr>
        <w:t>שני (אפק). אף אחד מהם לא השלים את העסקה ברישום</w:t>
      </w:r>
      <w:r w:rsidR="00CD7707">
        <w:rPr>
          <w:rFonts w:hint="cs"/>
          <w:rtl/>
        </w:rPr>
        <w:t>,</w:t>
      </w:r>
      <w:r w:rsidR="00733FF4">
        <w:rPr>
          <w:rFonts w:hint="cs"/>
          <w:rtl/>
        </w:rPr>
        <w:t xml:space="preserve"> אך הרוכש המאוחר יותר קיבל את הנכס לידיו בתום לב</w:t>
      </w:r>
      <w:r w:rsidR="00FD7625">
        <w:rPr>
          <w:rFonts w:hint="cs"/>
          <w:rtl/>
        </w:rPr>
        <w:t xml:space="preserve">, ללא ידיעה, </w:t>
      </w:r>
      <w:r w:rsidR="00CD7707">
        <w:rPr>
          <w:rFonts w:hint="cs"/>
          <w:rtl/>
        </w:rPr>
        <w:t>ובתמורה</w:t>
      </w:r>
      <w:r w:rsidR="00733FF4">
        <w:rPr>
          <w:rFonts w:hint="cs"/>
          <w:rtl/>
        </w:rPr>
        <w:t xml:space="preserve">. על פי </w:t>
      </w:r>
      <w:r w:rsidR="00FD7625">
        <w:rPr>
          <w:rFonts w:hint="cs"/>
          <w:rtl/>
        </w:rPr>
        <w:t xml:space="preserve">הוראתו המפורשת של ס' 9 לחוק המקרקעין </w:t>
      </w:r>
      <w:r w:rsidR="00733FF4">
        <w:rPr>
          <w:rFonts w:hint="cs"/>
          <w:rtl/>
        </w:rPr>
        <w:t>הישראלי במקרה כזה גוברת זכותו של בעל העסקה ה</w:t>
      </w:r>
      <w:r w:rsidR="00CD7707">
        <w:rPr>
          <w:rFonts w:hint="cs"/>
          <w:rtl/>
        </w:rPr>
        <w:t xml:space="preserve">ראשונה בזמן, </w:t>
      </w:r>
      <w:r w:rsidR="00733FF4">
        <w:rPr>
          <w:rFonts w:hint="cs"/>
          <w:rtl/>
        </w:rPr>
        <w:t>כ</w:t>
      </w:r>
      <w:r w:rsidR="00CD7707">
        <w:rPr>
          <w:rFonts w:hint="cs"/>
          <w:rtl/>
        </w:rPr>
        <w:t>י</w:t>
      </w:r>
      <w:r w:rsidR="00733FF4">
        <w:rPr>
          <w:rFonts w:hint="cs"/>
          <w:rtl/>
        </w:rPr>
        <w:t xml:space="preserve"> </w:t>
      </w:r>
      <w:r w:rsidR="00CD7707">
        <w:rPr>
          <w:rFonts w:hint="cs"/>
          <w:rtl/>
        </w:rPr>
        <w:t xml:space="preserve">העסקה </w:t>
      </w:r>
      <w:r w:rsidR="00733FF4">
        <w:rPr>
          <w:rFonts w:hint="cs"/>
          <w:rtl/>
        </w:rPr>
        <w:t xml:space="preserve">המאוחרת לא נשלמה ברישום בתמורה ובתום לב. </w:t>
      </w:r>
      <w:r w:rsidR="00CD7707">
        <w:rPr>
          <w:rFonts w:hint="cs"/>
          <w:rtl/>
        </w:rPr>
        <w:t xml:space="preserve">אמנם, </w:t>
      </w:r>
      <w:r w:rsidR="00FD7625">
        <w:rPr>
          <w:rFonts w:hint="cs"/>
          <w:rtl/>
        </w:rPr>
        <w:t>הרוכש</w:t>
      </w:r>
      <w:r w:rsidR="003750A0">
        <w:rPr>
          <w:rFonts w:hint="cs"/>
          <w:rtl/>
        </w:rPr>
        <w:t xml:space="preserve"> </w:t>
      </w:r>
      <w:r w:rsidR="00733FF4">
        <w:rPr>
          <w:rFonts w:hint="cs"/>
          <w:rtl/>
        </w:rPr>
        <w:t>הראשו</w:t>
      </w:r>
      <w:r w:rsidR="00FD7625">
        <w:rPr>
          <w:rFonts w:hint="cs"/>
          <w:rtl/>
        </w:rPr>
        <w:t>ן</w:t>
      </w:r>
      <w:r w:rsidR="00733FF4">
        <w:rPr>
          <w:rFonts w:hint="cs"/>
          <w:rtl/>
        </w:rPr>
        <w:t xml:space="preserve"> יכול </w:t>
      </w:r>
      <w:r w:rsidR="00CD7707">
        <w:rPr>
          <w:rFonts w:hint="cs"/>
          <w:rtl/>
        </w:rPr>
        <w:t xml:space="preserve">היה </w:t>
      </w:r>
      <w:r w:rsidR="00733FF4">
        <w:rPr>
          <w:rFonts w:hint="cs"/>
          <w:rtl/>
        </w:rPr>
        <w:t xml:space="preserve">למנוע </w:t>
      </w:r>
      <w:r w:rsidR="00FD7625">
        <w:rPr>
          <w:rFonts w:hint="cs"/>
          <w:rtl/>
        </w:rPr>
        <w:t>את ה</w:t>
      </w:r>
      <w:r w:rsidR="00733FF4">
        <w:rPr>
          <w:rFonts w:hint="cs"/>
          <w:rtl/>
        </w:rPr>
        <w:t xml:space="preserve">עסקה </w:t>
      </w:r>
      <w:r w:rsidR="00FD7625">
        <w:rPr>
          <w:rFonts w:hint="cs"/>
          <w:rtl/>
        </w:rPr>
        <w:t>ה</w:t>
      </w:r>
      <w:r w:rsidR="00733FF4">
        <w:rPr>
          <w:rFonts w:hint="cs"/>
          <w:rtl/>
        </w:rPr>
        <w:t xml:space="preserve">סותרת </w:t>
      </w:r>
      <w:r w:rsidR="00FD7625">
        <w:rPr>
          <w:rFonts w:hint="cs"/>
          <w:rtl/>
        </w:rPr>
        <w:t>ה</w:t>
      </w:r>
      <w:r w:rsidR="00733FF4">
        <w:rPr>
          <w:rFonts w:hint="cs"/>
          <w:rtl/>
        </w:rPr>
        <w:t>מאו</w:t>
      </w:r>
      <w:r w:rsidR="00CD7707">
        <w:rPr>
          <w:rFonts w:hint="cs"/>
          <w:rtl/>
        </w:rPr>
        <w:t>ח</w:t>
      </w:r>
      <w:r w:rsidR="00733FF4">
        <w:rPr>
          <w:rFonts w:hint="cs"/>
          <w:rtl/>
        </w:rPr>
        <w:t>רת על ידי רישום הערת אזהרה (</w:t>
      </w:r>
      <w:r w:rsidR="00733FF4">
        <w:t>Caveat</w:t>
      </w:r>
      <w:r w:rsidR="00733FF4">
        <w:rPr>
          <w:rFonts w:hint="cs"/>
          <w:rtl/>
        </w:rPr>
        <w:t xml:space="preserve">), אך החוק הישראלי לא מחייב </w:t>
      </w:r>
      <w:r w:rsidR="00FD7625">
        <w:rPr>
          <w:rFonts w:hint="cs"/>
          <w:rtl/>
        </w:rPr>
        <w:t xml:space="preserve">רוכש </w:t>
      </w:r>
      <w:r w:rsidR="00733FF4">
        <w:rPr>
          <w:rFonts w:hint="cs"/>
          <w:rtl/>
        </w:rPr>
        <w:t xml:space="preserve">לרשום </w:t>
      </w:r>
      <w:r w:rsidR="00FD7625">
        <w:rPr>
          <w:rFonts w:hint="cs"/>
          <w:rtl/>
        </w:rPr>
        <w:t xml:space="preserve">הערת אזהרה </w:t>
      </w:r>
      <w:r w:rsidR="00CD7707">
        <w:rPr>
          <w:rFonts w:hint="cs"/>
          <w:rtl/>
        </w:rPr>
        <w:t xml:space="preserve">וגם לא קובע כי הימנעות </w:t>
      </w:r>
      <w:r w:rsidR="00FD7625">
        <w:rPr>
          <w:rFonts w:hint="cs"/>
          <w:rtl/>
        </w:rPr>
        <w:t xml:space="preserve">מלרשום אותה </w:t>
      </w:r>
      <w:r w:rsidR="00CD7707">
        <w:rPr>
          <w:rFonts w:hint="cs"/>
          <w:rtl/>
        </w:rPr>
        <w:t>צריכה לפגוע בעדיפותו</w:t>
      </w:r>
      <w:r w:rsidR="00FD7625">
        <w:rPr>
          <w:rFonts w:hint="cs"/>
          <w:rtl/>
        </w:rPr>
        <w:t xml:space="preserve"> של הראשון על פני השני</w:t>
      </w:r>
      <w:r w:rsidR="00733FF4">
        <w:rPr>
          <w:rFonts w:hint="cs"/>
          <w:rtl/>
        </w:rPr>
        <w:t>. בעל הזכות המאוחרת</w:t>
      </w:r>
      <w:r w:rsidR="003750A0">
        <w:rPr>
          <w:rFonts w:hint="cs"/>
          <w:rtl/>
        </w:rPr>
        <w:t>, השניה בזמן</w:t>
      </w:r>
      <w:r w:rsidR="00733FF4">
        <w:rPr>
          <w:rFonts w:hint="cs"/>
          <w:rtl/>
        </w:rPr>
        <w:t xml:space="preserve"> (אפק)</w:t>
      </w:r>
      <w:r w:rsidR="003750A0">
        <w:rPr>
          <w:rFonts w:hint="cs"/>
          <w:rtl/>
        </w:rPr>
        <w:t>,</w:t>
      </w:r>
      <w:r w:rsidR="00733FF4">
        <w:rPr>
          <w:rFonts w:hint="cs"/>
          <w:rtl/>
        </w:rPr>
        <w:t xml:space="preserve"> </w:t>
      </w:r>
      <w:r w:rsidR="00FD7625">
        <w:rPr>
          <w:rFonts w:hint="cs"/>
          <w:rtl/>
        </w:rPr>
        <w:t xml:space="preserve">טען כי </w:t>
      </w:r>
      <w:r w:rsidR="00733FF4">
        <w:rPr>
          <w:rFonts w:hint="cs"/>
          <w:rtl/>
        </w:rPr>
        <w:t>על אף הוראות חוק מפורשות אלה יש להעדי</w:t>
      </w:r>
      <w:r w:rsidR="00FD7625">
        <w:rPr>
          <w:rFonts w:hint="cs"/>
          <w:rtl/>
        </w:rPr>
        <w:t xml:space="preserve">ף אותו </w:t>
      </w:r>
      <w:r w:rsidR="00733FF4">
        <w:rPr>
          <w:rFonts w:hint="cs"/>
          <w:rtl/>
        </w:rPr>
        <w:t xml:space="preserve">על פני </w:t>
      </w:r>
      <w:r w:rsidR="00FD7625">
        <w:rPr>
          <w:rFonts w:hint="cs"/>
          <w:rtl/>
        </w:rPr>
        <w:t xml:space="preserve">הרוכש הראשון </w:t>
      </w:r>
      <w:r w:rsidR="00733FF4">
        <w:rPr>
          <w:rFonts w:hint="cs"/>
          <w:rtl/>
        </w:rPr>
        <w:t xml:space="preserve">בשל </w:t>
      </w:r>
      <w:r w:rsidR="00FD7625">
        <w:rPr>
          <w:rFonts w:hint="cs"/>
          <w:rtl/>
        </w:rPr>
        <w:t>ה</w:t>
      </w:r>
      <w:r w:rsidR="00733FF4">
        <w:rPr>
          <w:rFonts w:hint="cs"/>
          <w:rtl/>
        </w:rPr>
        <w:t>מחדל</w:t>
      </w:r>
      <w:r w:rsidR="00FD7625">
        <w:rPr>
          <w:rFonts w:hint="cs"/>
          <w:rtl/>
        </w:rPr>
        <w:t xml:space="preserve"> הרשלני</w:t>
      </w:r>
      <w:r w:rsidR="00733FF4">
        <w:rPr>
          <w:rFonts w:hint="cs"/>
          <w:rtl/>
        </w:rPr>
        <w:t xml:space="preserve"> של הראשון: הוא נמנע במשך </w:t>
      </w:r>
      <w:r w:rsidR="00FD7625">
        <w:rPr>
          <w:rFonts w:hint="cs"/>
          <w:rtl/>
        </w:rPr>
        <w:t xml:space="preserve">תקופה ארוכה מאוד (שבע עשרה </w:t>
      </w:r>
      <w:r w:rsidR="00733FF4">
        <w:rPr>
          <w:rFonts w:hint="cs"/>
          <w:rtl/>
        </w:rPr>
        <w:t>שנ</w:t>
      </w:r>
      <w:r w:rsidR="00FD7625">
        <w:rPr>
          <w:rFonts w:hint="cs"/>
          <w:rtl/>
        </w:rPr>
        <w:t>ים)</w:t>
      </w:r>
      <w:r w:rsidR="00733FF4">
        <w:rPr>
          <w:rFonts w:hint="cs"/>
          <w:rtl/>
        </w:rPr>
        <w:t xml:space="preserve"> לרשום הערת אזהרה במרשם המקרקעין. כתוצאה ממחדל זה נגרם לשני נזק: הוא לא ידע על קיומו של הראשון ועל כן התקשר בחוזה לקנות את הנכס ואף </w:t>
      </w:r>
      <w:r w:rsidR="00CD7707">
        <w:rPr>
          <w:rFonts w:hint="cs"/>
          <w:rtl/>
        </w:rPr>
        <w:t>שילם תמורה ו</w:t>
      </w:r>
      <w:r w:rsidR="00733FF4">
        <w:rPr>
          <w:rFonts w:hint="cs"/>
          <w:rtl/>
        </w:rPr>
        <w:t>קיבל את החזקה בנכס לפני שנים רבות.</w:t>
      </w:r>
      <w:r w:rsidR="00733FF4">
        <w:rPr>
          <w:rStyle w:val="a5"/>
          <w:rtl/>
        </w:rPr>
        <w:footnoteReference w:id="57"/>
      </w:r>
      <w:r w:rsidR="00733FF4">
        <w:rPr>
          <w:rFonts w:hint="cs"/>
          <w:rtl/>
        </w:rPr>
        <w:t xml:space="preserve"> כאשר נתקל בית המשפט בשאלות דומות לפני חקיקת חוק המקרקעין, הוא יכול היה לפת</w:t>
      </w:r>
      <w:r w:rsidR="00CD7707">
        <w:rPr>
          <w:rFonts w:hint="cs"/>
          <w:rtl/>
        </w:rPr>
        <w:t xml:space="preserve">ור אותן </w:t>
      </w:r>
      <w:r w:rsidR="00733FF4">
        <w:rPr>
          <w:rFonts w:hint="cs"/>
          <w:rtl/>
        </w:rPr>
        <w:t>באמצעות קליטה של דוקטרינת ההשתק מהמשפט האנגלי.</w:t>
      </w:r>
      <w:r w:rsidR="00733FF4">
        <w:rPr>
          <w:rStyle w:val="a5"/>
          <w:rtl/>
        </w:rPr>
        <w:footnoteReference w:id="58"/>
      </w:r>
      <w:r w:rsidR="00733FF4">
        <w:rPr>
          <w:rFonts w:hint="cs"/>
          <w:rtl/>
        </w:rPr>
        <w:t xml:space="preserve"> ל</w:t>
      </w:r>
      <w:r w:rsidR="00CD7707">
        <w:rPr>
          <w:rFonts w:hint="cs"/>
          <w:rtl/>
        </w:rPr>
        <w:t xml:space="preserve">אחר חוק המקרקעין דרך זאת </w:t>
      </w:r>
      <w:r w:rsidR="003750A0">
        <w:rPr>
          <w:rFonts w:hint="cs"/>
          <w:rtl/>
        </w:rPr>
        <w:t xml:space="preserve">הייתה חסומה </w:t>
      </w:r>
      <w:r w:rsidR="00CD7707">
        <w:rPr>
          <w:rFonts w:hint="cs"/>
          <w:rtl/>
        </w:rPr>
        <w:t xml:space="preserve">כי נקבע בחקיקה כי אין זכויות שביושר ויש לבסס כל </w:t>
      </w:r>
      <w:r w:rsidR="00733FF4">
        <w:rPr>
          <w:rFonts w:hint="cs"/>
          <w:rtl/>
        </w:rPr>
        <w:t>פתרון על חקיקה ישראלית</w:t>
      </w:r>
      <w:r w:rsidR="00CD7707">
        <w:rPr>
          <w:rFonts w:hint="cs"/>
          <w:rtl/>
        </w:rPr>
        <w:t xml:space="preserve"> מקורית</w:t>
      </w:r>
      <w:r w:rsidR="00733FF4">
        <w:rPr>
          <w:rFonts w:hint="cs"/>
          <w:rtl/>
        </w:rPr>
        <w:t xml:space="preserve">. במשך שלושים השנה שחלפו מחקיקת חוק המקרקעין ועד פרשת </w:t>
      </w:r>
      <w:r w:rsidR="00733FF4" w:rsidRPr="00CD7707">
        <w:rPr>
          <w:rFonts w:hint="cs"/>
          <w:b/>
          <w:bCs/>
          <w:rtl/>
        </w:rPr>
        <w:t>גנז</w:t>
      </w:r>
      <w:r w:rsidR="00733FF4">
        <w:rPr>
          <w:rFonts w:hint="cs"/>
          <w:rtl/>
        </w:rPr>
        <w:t xml:space="preserve"> סרב בית המשפט </w:t>
      </w:r>
      <w:r w:rsidR="00FD7625">
        <w:rPr>
          <w:rFonts w:hint="cs"/>
          <w:rtl/>
        </w:rPr>
        <w:t xml:space="preserve">העליון </w:t>
      </w:r>
      <w:r w:rsidR="00733FF4">
        <w:rPr>
          <w:rFonts w:hint="cs"/>
          <w:rtl/>
        </w:rPr>
        <w:t>בעקביות להוסיף לחקיקה ישראלית תנאים שלא נכתבו בה. הוא סרב לקבוע כי יש חובה לרשום הערת אזהרה וגם סרב לקבוע כי בתחרות בין שתי עסקאות סותרות יש משמעות למחדל כלשהו של העסקה ה</w:t>
      </w:r>
      <w:r w:rsidR="00CD7707">
        <w:rPr>
          <w:rFonts w:hint="cs"/>
          <w:rtl/>
        </w:rPr>
        <w:t>ראשונה בזמן</w:t>
      </w:r>
      <w:r w:rsidR="00733FF4">
        <w:rPr>
          <w:rFonts w:hint="cs"/>
          <w:rtl/>
        </w:rPr>
        <w:t xml:space="preserve">. </w:t>
      </w:r>
      <w:r w:rsidR="008E3194">
        <w:rPr>
          <w:rFonts w:hint="cs"/>
          <w:rtl/>
        </w:rPr>
        <w:t>הוא עמד על כך גם כאשר ביקורת אקדמית חריפה מנתה טע</w:t>
      </w:r>
      <w:r w:rsidR="00CD7707">
        <w:rPr>
          <w:rFonts w:hint="cs"/>
          <w:rtl/>
        </w:rPr>
        <w:t>ם</w:t>
      </w:r>
      <w:r w:rsidR="008E3194">
        <w:rPr>
          <w:rFonts w:hint="cs"/>
          <w:rtl/>
        </w:rPr>
        <w:t xml:space="preserve"> מהותי </w:t>
      </w:r>
      <w:r w:rsidR="00CD7707">
        <w:rPr>
          <w:rFonts w:hint="cs"/>
          <w:rtl/>
        </w:rPr>
        <w:t>משכנע</w:t>
      </w:r>
      <w:r w:rsidR="008E3194">
        <w:rPr>
          <w:rFonts w:hint="cs"/>
          <w:rtl/>
        </w:rPr>
        <w:t xml:space="preserve"> לשינוי ההלכה. הטענה המרכזית של המבקרים הייתה כי יש </w:t>
      </w:r>
      <w:r w:rsidR="00CD7707">
        <w:rPr>
          <w:rFonts w:hint="cs"/>
          <w:rtl/>
        </w:rPr>
        <w:t xml:space="preserve">למנוע נזק </w:t>
      </w:r>
      <w:r w:rsidR="008E3194">
        <w:rPr>
          <w:rFonts w:hint="cs"/>
          <w:rtl/>
        </w:rPr>
        <w:t>לזולת</w:t>
      </w:r>
      <w:r w:rsidR="00CD7707">
        <w:rPr>
          <w:rFonts w:hint="cs"/>
          <w:rtl/>
        </w:rPr>
        <w:t xml:space="preserve"> ולמנוע מחדלים הגורמים לו</w:t>
      </w:r>
      <w:r w:rsidR="008E3194">
        <w:rPr>
          <w:rFonts w:hint="cs"/>
          <w:rtl/>
        </w:rPr>
        <w:t>, כגון ההימנעות מרישום הערת אזהרה, על ידי הטלת אחריות לתוצאותי</w:t>
      </w:r>
      <w:r w:rsidR="00CD7707">
        <w:rPr>
          <w:rFonts w:hint="cs"/>
          <w:rtl/>
        </w:rPr>
        <w:t>הם</w:t>
      </w:r>
      <w:r w:rsidR="008E3194">
        <w:rPr>
          <w:rFonts w:hint="cs"/>
          <w:rtl/>
        </w:rPr>
        <w:t xml:space="preserve">. כאשר בעל עסקה מוקדמת </w:t>
      </w:r>
      <w:r w:rsidR="00CD7707">
        <w:rPr>
          <w:rFonts w:hint="cs"/>
          <w:rtl/>
        </w:rPr>
        <w:t xml:space="preserve">בזמן </w:t>
      </w:r>
      <w:r w:rsidR="008E3194">
        <w:rPr>
          <w:rFonts w:hint="cs"/>
          <w:rtl/>
        </w:rPr>
        <w:t>לא רשם הערת אזהרה ומחדל זה גרם להתקשרות בתום לב</w:t>
      </w:r>
      <w:r w:rsidR="00CD7707">
        <w:rPr>
          <w:rFonts w:hint="cs"/>
          <w:rtl/>
        </w:rPr>
        <w:t xml:space="preserve"> ובתמורה </w:t>
      </w:r>
      <w:r w:rsidR="008E3194">
        <w:rPr>
          <w:rFonts w:hint="cs"/>
          <w:rtl/>
        </w:rPr>
        <w:t>בעסקה מאוחרת-יש לשלול את עדיפותו של מבצע המחדל.</w:t>
      </w:r>
      <w:r w:rsidR="008E3194">
        <w:rPr>
          <w:rStyle w:val="a5"/>
          <w:rtl/>
        </w:rPr>
        <w:footnoteReference w:id="59"/>
      </w:r>
      <w:r w:rsidR="008E3194">
        <w:rPr>
          <w:rFonts w:hint="cs"/>
          <w:rtl/>
        </w:rPr>
        <w:t xml:space="preserve"> </w:t>
      </w:r>
      <w:r w:rsidR="00CD7707">
        <w:rPr>
          <w:rFonts w:hint="cs"/>
          <w:rtl/>
        </w:rPr>
        <w:t>במשך שנים ארוכות סרב בית המשפט</w:t>
      </w:r>
      <w:r w:rsidR="00BF2C64">
        <w:rPr>
          <w:rFonts w:hint="cs"/>
          <w:rtl/>
        </w:rPr>
        <w:t>, לרבות השופט ברק,</w:t>
      </w:r>
      <w:r w:rsidR="00CD7707">
        <w:rPr>
          <w:rFonts w:hint="cs"/>
          <w:rtl/>
        </w:rPr>
        <w:t xml:space="preserve"> לקבל את המלצות מבקריו</w:t>
      </w:r>
      <w:r w:rsidR="00C571DF">
        <w:rPr>
          <w:rFonts w:hint="cs"/>
          <w:rtl/>
        </w:rPr>
        <w:t>, על אף הזדהות מפורשת עם הרציונאלים שלהם</w:t>
      </w:r>
      <w:r w:rsidR="00BF2C64">
        <w:rPr>
          <w:rFonts w:hint="cs"/>
          <w:rtl/>
        </w:rPr>
        <w:t>. ה</w:t>
      </w:r>
      <w:r w:rsidR="00C571DF">
        <w:rPr>
          <w:rFonts w:hint="cs"/>
          <w:rtl/>
        </w:rPr>
        <w:t>טיעון</w:t>
      </w:r>
      <w:r w:rsidR="00CD7707">
        <w:rPr>
          <w:rFonts w:hint="cs"/>
          <w:rtl/>
        </w:rPr>
        <w:t xml:space="preserve"> </w:t>
      </w:r>
      <w:r w:rsidR="00BF2C64">
        <w:rPr>
          <w:rFonts w:hint="cs"/>
          <w:rtl/>
        </w:rPr>
        <w:t>ה</w:t>
      </w:r>
      <w:r w:rsidR="00CD7707">
        <w:rPr>
          <w:rFonts w:hint="cs"/>
          <w:rtl/>
        </w:rPr>
        <w:t>מרכז</w:t>
      </w:r>
      <w:r w:rsidR="00C571DF">
        <w:rPr>
          <w:rFonts w:hint="cs"/>
          <w:rtl/>
        </w:rPr>
        <w:t>י</w:t>
      </w:r>
      <w:r w:rsidR="00CD7707">
        <w:rPr>
          <w:rFonts w:hint="cs"/>
          <w:rtl/>
        </w:rPr>
        <w:t xml:space="preserve"> </w:t>
      </w:r>
      <w:r w:rsidR="00BF2C64">
        <w:rPr>
          <w:rFonts w:hint="cs"/>
          <w:rtl/>
        </w:rPr>
        <w:t xml:space="preserve">לסירוב זה היה טמון בהוראות החוק המפורשות: </w:t>
      </w:r>
      <w:r w:rsidR="00C571DF">
        <w:rPr>
          <w:rFonts w:hint="cs"/>
          <w:rtl/>
        </w:rPr>
        <w:t>החוק לא מטיל כל חובה מפורשת על בעל העסקה</w:t>
      </w:r>
      <w:r w:rsidR="008E3194">
        <w:rPr>
          <w:rFonts w:hint="cs"/>
          <w:rtl/>
        </w:rPr>
        <w:t>.</w:t>
      </w:r>
      <w:r w:rsidR="008E3194">
        <w:rPr>
          <w:rStyle w:val="a5"/>
          <w:rtl/>
        </w:rPr>
        <w:footnoteReference w:id="60"/>
      </w:r>
      <w:r w:rsidR="008E3194">
        <w:rPr>
          <w:rFonts w:hint="cs"/>
          <w:rtl/>
        </w:rPr>
        <w:t xml:space="preserve"> זו הייתה דוגמא מובהקת לשמרנות שיפוטית. </w:t>
      </w:r>
    </w:p>
    <w:p w:rsidR="007A1F5B" w:rsidRDefault="008E3194" w:rsidP="007A1F5B">
      <w:pPr>
        <w:spacing w:line="480" w:lineRule="auto"/>
        <w:jc w:val="both"/>
        <w:rPr>
          <w:rtl/>
        </w:rPr>
      </w:pPr>
      <w:r>
        <w:rPr>
          <w:rFonts w:hint="cs"/>
          <w:rtl/>
        </w:rPr>
        <w:t xml:space="preserve">   שמרנותו של בית המשפט הסתיימה בפרשת </w:t>
      </w:r>
      <w:r w:rsidRPr="00CD7707">
        <w:rPr>
          <w:rFonts w:hint="cs"/>
          <w:b/>
          <w:bCs/>
          <w:rtl/>
        </w:rPr>
        <w:t>גנז</w:t>
      </w:r>
      <w:r>
        <w:rPr>
          <w:rFonts w:hint="cs"/>
          <w:rtl/>
        </w:rPr>
        <w:t>. המשימה הראשונה שעמדה בפניו הייתה למצוא סעיף חוק ישראל</w:t>
      </w:r>
      <w:r w:rsidR="00CD7707">
        <w:rPr>
          <w:rFonts w:hint="cs"/>
          <w:rtl/>
        </w:rPr>
        <w:t>י</w:t>
      </w:r>
      <w:r>
        <w:rPr>
          <w:rFonts w:hint="cs"/>
          <w:rtl/>
        </w:rPr>
        <w:t xml:space="preserve"> מקורי שעליו ניתן יהיה לבסס שלילת עדיפותו של גנז</w:t>
      </w:r>
      <w:r w:rsidR="00CD7707">
        <w:rPr>
          <w:rFonts w:hint="cs"/>
          <w:rtl/>
        </w:rPr>
        <w:t xml:space="preserve">, הראשון בזמן, אשר במחדלו רב השנים גרם נזק לאפק. </w:t>
      </w:r>
      <w:r>
        <w:rPr>
          <w:rFonts w:hint="cs"/>
          <w:rtl/>
        </w:rPr>
        <w:t xml:space="preserve">אף כי במשך שנים טען בית המשפט כי </w:t>
      </w:r>
      <w:r w:rsidR="00CD7707">
        <w:rPr>
          <w:rFonts w:hint="cs"/>
          <w:rtl/>
        </w:rPr>
        <w:t>אין סעיף כזה, הוא מצא</w:t>
      </w:r>
      <w:r w:rsidR="0014169F">
        <w:rPr>
          <w:rFonts w:hint="cs"/>
          <w:rtl/>
        </w:rPr>
        <w:t xml:space="preserve"> אותו</w:t>
      </w:r>
      <w:r w:rsidR="00CD7707">
        <w:rPr>
          <w:rFonts w:hint="cs"/>
          <w:rtl/>
        </w:rPr>
        <w:t xml:space="preserve"> עתה על-</w:t>
      </w:r>
      <w:r>
        <w:rPr>
          <w:rFonts w:hint="cs"/>
          <w:rtl/>
        </w:rPr>
        <w:t>נקלה, ממש מתחת לפנס. השופט ברק, בתמיכת חלק מהשופטים אך לא כולם, פסק כי החובה למנוע נזק</w:t>
      </w:r>
      <w:r w:rsidR="00CD7707">
        <w:rPr>
          <w:rFonts w:hint="cs"/>
          <w:rtl/>
        </w:rPr>
        <w:t>,</w:t>
      </w:r>
      <w:r>
        <w:rPr>
          <w:rFonts w:hint="cs"/>
          <w:rtl/>
        </w:rPr>
        <w:t xml:space="preserve"> כמו גם החובה לרשום הערת אזהרה</w:t>
      </w:r>
      <w:r w:rsidR="00CD7707">
        <w:rPr>
          <w:rFonts w:hint="cs"/>
          <w:rtl/>
        </w:rPr>
        <w:t xml:space="preserve"> כדי למונעו,</w:t>
      </w:r>
      <w:r>
        <w:rPr>
          <w:rFonts w:hint="cs"/>
          <w:rtl/>
        </w:rPr>
        <w:t xml:space="preserve"> נובעת מעקרון כללי החל במשפט</w:t>
      </w:r>
      <w:r w:rsidR="0076334D">
        <w:rPr>
          <w:rFonts w:hint="cs"/>
          <w:rtl/>
        </w:rPr>
        <w:t xml:space="preserve"> הישראלי</w:t>
      </w:r>
      <w:r>
        <w:rPr>
          <w:rFonts w:hint="cs"/>
          <w:rtl/>
        </w:rPr>
        <w:t>: עקרון תום הלב.</w:t>
      </w:r>
      <w:r w:rsidR="007A1F5B">
        <w:rPr>
          <w:rFonts w:hint="cs"/>
          <w:rtl/>
        </w:rPr>
        <w:t xml:space="preserve"> </w:t>
      </w:r>
      <w:r w:rsidR="007A1F5B" w:rsidRPr="007A1F5B">
        <w:rPr>
          <w:rFonts w:hint="cs"/>
          <w:b/>
          <w:bCs/>
          <w:rtl/>
        </w:rPr>
        <w:t>ברק</w:t>
      </w:r>
      <w:r w:rsidR="007A1F5B">
        <w:rPr>
          <w:rFonts w:hint="cs"/>
          <w:rtl/>
        </w:rPr>
        <w:t xml:space="preserve"> מציג עקרון זה בראשית פסק דינו בפרשת </w:t>
      </w:r>
      <w:r w:rsidR="007A1F5B" w:rsidRPr="007A1F5B">
        <w:rPr>
          <w:rFonts w:hint="cs"/>
          <w:b/>
          <w:bCs/>
          <w:rtl/>
        </w:rPr>
        <w:t>גנז</w:t>
      </w:r>
      <w:r w:rsidR="007A1F5B">
        <w:rPr>
          <w:rFonts w:hint="cs"/>
          <w:rtl/>
        </w:rPr>
        <w:t>:</w:t>
      </w:r>
      <w:r w:rsidR="007A1F5B">
        <w:rPr>
          <w:rStyle w:val="a5"/>
          <w:rtl/>
        </w:rPr>
        <w:footnoteReference w:id="61"/>
      </w:r>
    </w:p>
    <w:p w:rsidR="007A1F5B" w:rsidRDefault="007A1F5B" w:rsidP="007A1F5B">
      <w:pPr>
        <w:spacing w:line="480" w:lineRule="auto"/>
        <w:jc w:val="both"/>
        <w:rPr>
          <w:rtl/>
        </w:rPr>
      </w:pPr>
      <w:r w:rsidRPr="007F680B">
        <w:rPr>
          <w:rFonts w:hint="cs"/>
          <w:rtl/>
        </w:rPr>
        <w:t>"</w:t>
      </w:r>
      <w:r w:rsidRPr="007F680B">
        <w:rPr>
          <w:rtl/>
        </w:rPr>
        <w:t>הדוקטרינות הכלליות של המשפט חלות על כל חלקי המשפט. דבר חקיקה ספציפי אינו עומד בבדידותו.</w:t>
      </w:r>
      <w:r w:rsidRPr="007F680B">
        <w:rPr>
          <w:rFonts w:hint="cs"/>
          <w:rtl/>
        </w:rPr>
        <w:t>..</w:t>
      </w:r>
      <w:r w:rsidRPr="007F680B">
        <w:rPr>
          <w:rtl/>
        </w:rPr>
        <w:t>אחת מאותן דוקטרינות כלליות החלות בכל תחומי המשפט היא עקרון תום-הלב</w:t>
      </w:r>
      <w:r w:rsidRPr="007F680B">
        <w:rPr>
          <w:rFonts w:hint="cs"/>
          <w:rtl/>
        </w:rPr>
        <w:t>..</w:t>
      </w:r>
      <w:r w:rsidRPr="007F680B">
        <w:rPr>
          <w:rtl/>
        </w:rPr>
        <w:t>.תום-הלב קובע אמת</w:t>
      </w:r>
      <w:r w:rsidRPr="007F680B">
        <w:rPr>
          <w:rFonts w:hint="cs"/>
          <w:rtl/>
        </w:rPr>
        <w:t>-</w:t>
      </w:r>
      <w:r w:rsidRPr="007F680B">
        <w:rPr>
          <w:rtl/>
        </w:rPr>
        <w:t>מידה אובייקטיבית של התנהגות הוגנת של בעל זכות המבקש על רקע האינטרס החברתי הכולל להגשים את האינטרס העצמי תוך התחשבות באינטרס של הזולת</w:t>
      </w:r>
      <w:r w:rsidRPr="007F680B">
        <w:rPr>
          <w:rFonts w:hint="cs"/>
          <w:rtl/>
        </w:rPr>
        <w:t>...</w:t>
      </w:r>
      <w:r w:rsidRPr="007F680B">
        <w:rPr>
          <w:rtl/>
        </w:rPr>
        <w:t>עקרון תום-הלב חל גם במסגרת דיני הקנ</w:t>
      </w:r>
      <w:r w:rsidRPr="007F680B">
        <w:rPr>
          <w:rFonts w:hint="cs"/>
          <w:rtl/>
        </w:rPr>
        <w:t>י</w:t>
      </w:r>
      <w:r w:rsidRPr="007F680B">
        <w:rPr>
          <w:rtl/>
        </w:rPr>
        <w:t>ין</w:t>
      </w:r>
      <w:r w:rsidRPr="007F680B">
        <w:rPr>
          <w:rFonts w:hint="cs"/>
          <w:rtl/>
        </w:rPr>
        <w:t>..</w:t>
      </w:r>
      <w:r w:rsidRPr="007F680B">
        <w:rPr>
          <w:rtl/>
        </w:rPr>
        <w:t>.</w:t>
      </w:r>
      <w:r w:rsidRPr="007F680B">
        <w:rPr>
          <w:rFonts w:hint="cs"/>
          <w:rtl/>
        </w:rPr>
        <w:t>"</w:t>
      </w:r>
      <w:r>
        <w:rPr>
          <w:rtl/>
        </w:rPr>
        <w:t xml:space="preserve"> </w:t>
      </w:r>
    </w:p>
    <w:p w:rsidR="007A1F5B" w:rsidRDefault="008E3194" w:rsidP="003750A0">
      <w:pPr>
        <w:spacing w:line="480" w:lineRule="auto"/>
        <w:jc w:val="both"/>
      </w:pPr>
      <w:r>
        <w:rPr>
          <w:rFonts w:hint="cs"/>
          <w:rtl/>
        </w:rPr>
        <w:t>כמובן ש</w:t>
      </w:r>
      <w:r w:rsidR="00CD7707">
        <w:rPr>
          <w:rFonts w:hint="cs"/>
          <w:rtl/>
        </w:rPr>
        <w:t xml:space="preserve">ברק לא </w:t>
      </w:r>
      <w:r w:rsidR="0076334D">
        <w:rPr>
          <w:rFonts w:hint="cs"/>
          <w:rtl/>
        </w:rPr>
        <w:t>"גילה" את העיקרון ר</w:t>
      </w:r>
      <w:r w:rsidR="00CD7707">
        <w:rPr>
          <w:rFonts w:hint="cs"/>
          <w:rtl/>
        </w:rPr>
        <w:t xml:space="preserve">ק </w:t>
      </w:r>
      <w:r>
        <w:rPr>
          <w:rFonts w:hint="cs"/>
          <w:rtl/>
        </w:rPr>
        <w:t xml:space="preserve">בפרשת </w:t>
      </w:r>
      <w:r w:rsidRPr="007A1F5B">
        <w:rPr>
          <w:rFonts w:hint="cs"/>
          <w:b/>
          <w:bCs/>
          <w:rtl/>
        </w:rPr>
        <w:t>גנז</w:t>
      </w:r>
      <w:r>
        <w:rPr>
          <w:rFonts w:hint="cs"/>
          <w:rtl/>
        </w:rPr>
        <w:t xml:space="preserve">. הוא מוזכר </w:t>
      </w:r>
      <w:r w:rsidR="0014169F">
        <w:rPr>
          <w:rFonts w:hint="cs"/>
          <w:rtl/>
        </w:rPr>
        <w:t xml:space="preserve">כעקרון כללי </w:t>
      </w:r>
      <w:r>
        <w:rPr>
          <w:rFonts w:hint="cs"/>
          <w:rtl/>
        </w:rPr>
        <w:t xml:space="preserve">בחיקוקים </w:t>
      </w:r>
      <w:r w:rsidR="00CD7707">
        <w:rPr>
          <w:rFonts w:hint="cs"/>
          <w:rtl/>
        </w:rPr>
        <w:t>ישראלים</w:t>
      </w:r>
      <w:r w:rsidR="0014169F">
        <w:rPr>
          <w:rFonts w:hint="cs"/>
          <w:rtl/>
        </w:rPr>
        <w:t xml:space="preserve"> שונים</w:t>
      </w:r>
      <w:r w:rsidR="0076334D">
        <w:rPr>
          <w:rFonts w:hint="cs"/>
          <w:rtl/>
        </w:rPr>
        <w:t>,</w:t>
      </w:r>
      <w:r w:rsidR="0014169F">
        <w:rPr>
          <w:rStyle w:val="a5"/>
          <w:rtl/>
        </w:rPr>
        <w:footnoteReference w:id="62"/>
      </w:r>
      <w:r w:rsidR="00CD7707">
        <w:rPr>
          <w:rFonts w:hint="cs"/>
          <w:rtl/>
        </w:rPr>
        <w:t xml:space="preserve"> </w:t>
      </w:r>
      <w:r w:rsidR="0076334D">
        <w:rPr>
          <w:rFonts w:hint="cs"/>
          <w:rtl/>
        </w:rPr>
        <w:t xml:space="preserve">ובמשך העשורים שקדמו לפרשת </w:t>
      </w:r>
      <w:r w:rsidR="0076334D" w:rsidRPr="003750A0">
        <w:rPr>
          <w:rFonts w:hint="cs"/>
          <w:b/>
          <w:bCs/>
          <w:rtl/>
        </w:rPr>
        <w:t>גנז</w:t>
      </w:r>
      <w:r w:rsidR="0076334D">
        <w:rPr>
          <w:rFonts w:hint="cs"/>
          <w:rtl/>
        </w:rPr>
        <w:t xml:space="preserve"> כתבו עליו מאמרים אקדמיים רבים, אשר חלקם אף הצביעו על האפשרות לבסס עליו עקרונות שמבוססים במשפט האנגלי על דוקטרינה של השתק.</w:t>
      </w:r>
      <w:bookmarkStart w:id="17" w:name="_Ref518572258"/>
      <w:r w:rsidR="0076334D">
        <w:rPr>
          <w:rStyle w:val="a5"/>
          <w:rtl/>
        </w:rPr>
        <w:footnoteReference w:id="63"/>
      </w:r>
      <w:bookmarkEnd w:id="17"/>
      <w:r w:rsidR="0076334D">
        <w:rPr>
          <w:rFonts w:hint="cs"/>
          <w:rtl/>
        </w:rPr>
        <w:t xml:space="preserve">  </w:t>
      </w:r>
      <w:r>
        <w:rPr>
          <w:rFonts w:hint="cs"/>
          <w:rtl/>
        </w:rPr>
        <w:t xml:space="preserve">ברק עצמו הזכיר </w:t>
      </w:r>
      <w:r w:rsidR="0014169F">
        <w:rPr>
          <w:rFonts w:hint="cs"/>
          <w:rtl/>
        </w:rPr>
        <w:t xml:space="preserve">ופיתח </w:t>
      </w:r>
      <w:r w:rsidR="00B72F81">
        <w:rPr>
          <w:rFonts w:hint="cs"/>
          <w:rtl/>
        </w:rPr>
        <w:t>אותו בפסיקות</w:t>
      </w:r>
      <w:r>
        <w:rPr>
          <w:rFonts w:hint="cs"/>
          <w:rtl/>
        </w:rPr>
        <w:t xml:space="preserve">יו </w:t>
      </w:r>
      <w:r w:rsidR="00CD7707">
        <w:rPr>
          <w:rFonts w:hint="cs"/>
          <w:rtl/>
        </w:rPr>
        <w:t>בעבר</w:t>
      </w:r>
      <w:r w:rsidR="0014169F">
        <w:rPr>
          <w:rFonts w:hint="cs"/>
          <w:rtl/>
        </w:rPr>
        <w:t>.</w:t>
      </w:r>
      <w:r w:rsidR="0014169F">
        <w:rPr>
          <w:rStyle w:val="a5"/>
          <w:rtl/>
        </w:rPr>
        <w:footnoteReference w:id="64"/>
      </w:r>
      <w:r>
        <w:rPr>
          <w:rFonts w:hint="cs"/>
          <w:rtl/>
        </w:rPr>
        <w:t xml:space="preserve"> </w:t>
      </w:r>
      <w:r w:rsidR="00E321F6">
        <w:rPr>
          <w:rFonts w:hint="cs"/>
          <w:rtl/>
        </w:rPr>
        <w:t>הוא אף הגדיר את האופן שבו טיפלה הפסיקה בעקרון זה כ- "</w:t>
      </w:r>
      <w:r w:rsidR="00E321F6">
        <w:t>salutary</w:t>
      </w:r>
      <w:r w:rsidR="00E321F6">
        <w:rPr>
          <w:rFonts w:hint="cs"/>
          <w:rtl/>
        </w:rPr>
        <w:t>".</w:t>
      </w:r>
      <w:r w:rsidR="00E321F6">
        <w:rPr>
          <w:rStyle w:val="a5"/>
          <w:rtl/>
        </w:rPr>
        <w:footnoteReference w:id="65"/>
      </w:r>
      <w:r w:rsidR="00E321F6">
        <w:rPr>
          <w:rFonts w:hint="cs"/>
          <w:rtl/>
        </w:rPr>
        <w:t xml:space="preserve"> </w:t>
      </w:r>
      <w:r>
        <w:rPr>
          <w:rFonts w:hint="cs"/>
          <w:rtl/>
        </w:rPr>
        <w:t>זו פלטפורמה נוחה מאוד, גמישה</w:t>
      </w:r>
      <w:r w:rsidR="003750A0">
        <w:rPr>
          <w:rFonts w:hint="cs"/>
          <w:rtl/>
        </w:rPr>
        <w:t>,</w:t>
      </w:r>
      <w:r>
        <w:rPr>
          <w:rFonts w:hint="cs"/>
          <w:rtl/>
        </w:rPr>
        <w:t xml:space="preserve"> ליצירתיות פרשנית והלכתית. </w:t>
      </w:r>
      <w:r w:rsidR="007A1F5B">
        <w:rPr>
          <w:rFonts w:hint="cs"/>
          <w:rtl/>
        </w:rPr>
        <w:t xml:space="preserve">רק </w:t>
      </w:r>
      <w:r>
        <w:rPr>
          <w:rFonts w:hint="cs"/>
          <w:rtl/>
        </w:rPr>
        <w:t xml:space="preserve">בפרשת גנז היא </w:t>
      </w:r>
      <w:r w:rsidR="007A1F5B">
        <w:rPr>
          <w:rFonts w:hint="cs"/>
          <w:rtl/>
        </w:rPr>
        <w:t>אומצה,</w:t>
      </w:r>
      <w:r>
        <w:rPr>
          <w:rFonts w:hint="cs"/>
          <w:rtl/>
        </w:rPr>
        <w:t xml:space="preserve"> באיחור של שלושים שנה, </w:t>
      </w:r>
      <w:r w:rsidR="007A1F5B">
        <w:rPr>
          <w:rFonts w:hint="cs"/>
          <w:rtl/>
        </w:rPr>
        <w:t xml:space="preserve">כדי לחולל בדיני הקניין במקרקעין </w:t>
      </w:r>
      <w:r w:rsidR="003750A0">
        <w:rPr>
          <w:rFonts w:hint="cs"/>
          <w:rtl/>
        </w:rPr>
        <w:t xml:space="preserve">שינוי </w:t>
      </w:r>
      <w:r w:rsidR="007A1F5B">
        <w:rPr>
          <w:rFonts w:hint="cs"/>
          <w:rtl/>
        </w:rPr>
        <w:t>שברק עצמו הסס לבצעו בעבר</w:t>
      </w:r>
      <w:r>
        <w:rPr>
          <w:rFonts w:hint="cs"/>
          <w:rtl/>
        </w:rPr>
        <w:t>.</w:t>
      </w:r>
      <w:r w:rsidR="007F680B">
        <w:rPr>
          <w:rFonts w:hint="cs"/>
          <w:rtl/>
        </w:rPr>
        <w:t xml:space="preserve"> </w:t>
      </w:r>
    </w:p>
    <w:p w:rsidR="008E3194" w:rsidRDefault="008E3194" w:rsidP="003750A0">
      <w:pPr>
        <w:spacing w:line="480" w:lineRule="auto"/>
        <w:jc w:val="both"/>
        <w:rPr>
          <w:rtl/>
        </w:rPr>
      </w:pPr>
      <w:r>
        <w:rPr>
          <w:rFonts w:hint="cs"/>
          <w:rtl/>
        </w:rPr>
        <w:t xml:space="preserve">   משנמצא העיקרון, לא נותר לברק אלא לנסוך בו עור וגידים</w:t>
      </w:r>
      <w:r w:rsidR="007F680B">
        <w:rPr>
          <w:rFonts w:hint="cs"/>
          <w:rtl/>
        </w:rPr>
        <w:t>. ברק מ</w:t>
      </w:r>
      <w:r w:rsidR="007A1F5B">
        <w:rPr>
          <w:rFonts w:hint="cs"/>
          <w:rtl/>
        </w:rPr>
        <w:t xml:space="preserve">אמץ </w:t>
      </w:r>
      <w:r w:rsidR="007F680B">
        <w:rPr>
          <w:rFonts w:hint="cs"/>
          <w:rtl/>
        </w:rPr>
        <w:t>את ההנמקות הביקורתיות של מלומדים אקדמיים מדוע יש להטיל על רוכש מקרקעין חובה לרשום הערת אזהרה: ה</w:t>
      </w:r>
      <w:r w:rsidR="007F680B">
        <w:rPr>
          <w:rtl/>
        </w:rPr>
        <w:t>ה</w:t>
      </w:r>
      <w:r w:rsidR="007F680B">
        <w:rPr>
          <w:rFonts w:hint="cs"/>
          <w:rtl/>
        </w:rPr>
        <w:t>י</w:t>
      </w:r>
      <w:r w:rsidR="007F680B">
        <w:rPr>
          <w:rtl/>
        </w:rPr>
        <w:t>מנעות</w:t>
      </w:r>
      <w:r w:rsidR="007F680B">
        <w:rPr>
          <w:rFonts w:hint="cs"/>
          <w:rtl/>
        </w:rPr>
        <w:t xml:space="preserve"> מרישום ההערה יוצרת </w:t>
      </w:r>
      <w:r w:rsidR="007F680B">
        <w:rPr>
          <w:rtl/>
        </w:rPr>
        <w:t>"תאונה המשפטית"</w:t>
      </w:r>
      <w:r w:rsidR="007F680B">
        <w:rPr>
          <w:rFonts w:hint="cs"/>
          <w:rtl/>
        </w:rPr>
        <w:t xml:space="preserve"> לרוכש המאוחר ועל כן מוטלת על הראשון החובה למנ</w:t>
      </w:r>
      <w:r w:rsidR="003750A0">
        <w:rPr>
          <w:rFonts w:hint="cs"/>
          <w:rtl/>
        </w:rPr>
        <w:t>ו</w:t>
      </w:r>
      <w:r w:rsidR="007F680B">
        <w:rPr>
          <w:rFonts w:hint="cs"/>
          <w:rtl/>
        </w:rPr>
        <w:t>ע</w:t>
      </w:r>
      <w:r w:rsidR="003750A0">
        <w:rPr>
          <w:rFonts w:hint="cs"/>
          <w:rtl/>
        </w:rPr>
        <w:t xml:space="preserve"> את התאונה</w:t>
      </w:r>
      <w:r w:rsidR="007F680B">
        <w:rPr>
          <w:rFonts w:hint="cs"/>
          <w:rtl/>
        </w:rPr>
        <w:t>.</w:t>
      </w:r>
      <w:r w:rsidR="007F680B">
        <w:rPr>
          <w:rStyle w:val="a5"/>
          <w:rtl/>
        </w:rPr>
        <w:footnoteReference w:id="66"/>
      </w:r>
      <w:r w:rsidR="007F680B">
        <w:rPr>
          <w:rFonts w:hint="cs"/>
          <w:rtl/>
        </w:rPr>
        <w:t xml:space="preserve"> עתה לא נותר לברק אלא לנסח את החובה על ידי חקיקה שיפוטית פרי קולמוסו</w:t>
      </w:r>
      <w:r>
        <w:rPr>
          <w:rFonts w:hint="cs"/>
          <w:rtl/>
        </w:rPr>
        <w:t>:</w:t>
      </w:r>
      <w:r>
        <w:rPr>
          <w:rStyle w:val="a5"/>
          <w:rtl/>
        </w:rPr>
        <w:footnoteReference w:id="67"/>
      </w:r>
    </w:p>
    <w:p w:rsidR="007F680B" w:rsidRDefault="008E3194" w:rsidP="007F680B">
      <w:pPr>
        <w:spacing w:line="480" w:lineRule="auto"/>
        <w:jc w:val="both"/>
        <w:rPr>
          <w:rtl/>
        </w:rPr>
      </w:pPr>
      <w:r>
        <w:rPr>
          <w:rFonts w:hint="cs"/>
          <w:rtl/>
        </w:rPr>
        <w:t>"..</w:t>
      </w:r>
      <w:r>
        <w:rPr>
          <w:rtl/>
        </w:rPr>
        <w:t>.</w:t>
      </w:r>
      <w:r w:rsidRPr="008E3194">
        <w:rPr>
          <w:rtl/>
        </w:rPr>
        <w:t xml:space="preserve"> </w:t>
      </w:r>
      <w:r>
        <w:rPr>
          <w:rtl/>
        </w:rPr>
        <w:t>עקרון תום</w:t>
      </w:r>
      <w:r w:rsidRPr="007F680B">
        <w:rPr>
          <w:rtl/>
        </w:rPr>
        <w:t>-</w:t>
      </w:r>
      <w:r>
        <w:rPr>
          <w:rtl/>
        </w:rPr>
        <w:t>הלב דורש כי בעל העיסקה הראשונה יפעל בהגינות, תוך התחשבות בציפי</w:t>
      </w:r>
      <w:r>
        <w:rPr>
          <w:rFonts w:hint="cs"/>
          <w:rtl/>
        </w:rPr>
        <w:t>י</w:t>
      </w:r>
      <w:r>
        <w:rPr>
          <w:rtl/>
        </w:rPr>
        <w:t>ה הסבירה של בעל העיסקה השנייה. על</w:t>
      </w:r>
      <w:r w:rsidRPr="007F680B">
        <w:rPr>
          <w:rFonts w:hint="cs"/>
          <w:rtl/>
        </w:rPr>
        <w:t>-</w:t>
      </w:r>
      <w:r>
        <w:rPr>
          <w:rtl/>
        </w:rPr>
        <w:t xml:space="preserve">כן נגזר, </w:t>
      </w:r>
      <w:r w:rsidRPr="007F680B">
        <w:rPr>
          <w:rtl/>
        </w:rPr>
        <w:t>עקרונית</w:t>
      </w:r>
      <w:r>
        <w:rPr>
          <w:rtl/>
        </w:rPr>
        <w:t>, מעקרון תום</w:t>
      </w:r>
      <w:r w:rsidRPr="007F680B">
        <w:rPr>
          <w:rtl/>
        </w:rPr>
        <w:t>-</w:t>
      </w:r>
      <w:r>
        <w:rPr>
          <w:rtl/>
        </w:rPr>
        <w:t xml:space="preserve">הלב כי בעל העיסקה הראשונה יעשה ככל יכולתו לרשום הערת אזהרה ובכך </w:t>
      </w:r>
      <w:r>
        <w:rPr>
          <w:rFonts w:hint="cs"/>
          <w:rtl/>
        </w:rPr>
        <w:t>י</w:t>
      </w:r>
      <w:r>
        <w:rPr>
          <w:rtl/>
        </w:rPr>
        <w:t>מנע את כניסתו של בעל העיסקה השנייה להתקשרות עם המוכר</w:t>
      </w:r>
      <w:r>
        <w:rPr>
          <w:rFonts w:hint="cs"/>
          <w:rtl/>
        </w:rPr>
        <w:t>."</w:t>
      </w:r>
    </w:p>
    <w:p w:rsidR="008E3194" w:rsidRDefault="008E3194" w:rsidP="003750A0">
      <w:pPr>
        <w:spacing w:line="480" w:lineRule="auto"/>
        <w:jc w:val="both"/>
        <w:rPr>
          <w:rtl/>
        </w:rPr>
      </w:pPr>
      <w:r>
        <w:rPr>
          <w:rFonts w:hint="cs"/>
          <w:rtl/>
        </w:rPr>
        <w:t>ברק כמחוקק שיפוטי לא הסתפק בקביעת העיקרון והמשיך לקבוע סייגים לעקרון. חלקם היו בגדר אוביטר</w:t>
      </w:r>
      <w:r w:rsidR="003750A0">
        <w:rPr>
          <w:rFonts w:hint="cs"/>
          <w:rtl/>
        </w:rPr>
        <w:t>-</w:t>
      </w:r>
      <w:r>
        <w:rPr>
          <w:rFonts w:hint="cs"/>
          <w:rtl/>
        </w:rPr>
        <w:t xml:space="preserve"> דיקטום שלא היה קשור כלל לעובדות התיק שבפניו</w:t>
      </w:r>
      <w:r w:rsidR="003750A0">
        <w:rPr>
          <w:rFonts w:hint="cs"/>
          <w:rtl/>
        </w:rPr>
        <w:t xml:space="preserve">. </w:t>
      </w:r>
      <w:r>
        <w:rPr>
          <w:rFonts w:hint="cs"/>
          <w:rtl/>
        </w:rPr>
        <w:t xml:space="preserve">אחד מהם היה כה כללי כך שאפשר לבית המשפט בעתיד לסייג את הכלל בצורה לא פחות </w:t>
      </w:r>
      <w:r w:rsidR="003750A0">
        <w:rPr>
          <w:rFonts w:hint="cs"/>
          <w:rtl/>
        </w:rPr>
        <w:t xml:space="preserve">חופשית מהדרך שבה קבע אותו. כך </w:t>
      </w:r>
      <w:r>
        <w:rPr>
          <w:rFonts w:hint="cs"/>
          <w:rtl/>
        </w:rPr>
        <w:t>פסק ברק כי הימנעות מרישום הערת אזהרה לא תיחשב כמחדל "</w:t>
      </w:r>
      <w:r>
        <w:rPr>
          <w:rtl/>
        </w:rPr>
        <w:t>אם בנסיבות העניין קיימים שיקולים כבדי משקל של מדיניות משפטית המצדיקים אי</w:t>
      </w:r>
      <w:r>
        <w:rPr>
          <w:rFonts w:hint="cs"/>
          <w:position w:val="4"/>
          <w:rtl/>
        </w:rPr>
        <w:t>-</w:t>
      </w:r>
      <w:r>
        <w:rPr>
          <w:rtl/>
        </w:rPr>
        <w:t>רישומה של הערת אזהרה</w:t>
      </w:r>
      <w:r>
        <w:rPr>
          <w:rFonts w:hint="cs"/>
          <w:rtl/>
        </w:rPr>
        <w:t>"</w:t>
      </w:r>
      <w:r>
        <w:rPr>
          <w:rtl/>
        </w:rPr>
        <w:t>.</w:t>
      </w:r>
      <w:r>
        <w:rPr>
          <w:rStyle w:val="a5"/>
          <w:rtl/>
        </w:rPr>
        <w:footnoteReference w:id="68"/>
      </w:r>
      <w:r>
        <w:rPr>
          <w:rtl/>
        </w:rPr>
        <w:t xml:space="preserve"> </w:t>
      </w:r>
      <w:r>
        <w:rPr>
          <w:rFonts w:hint="cs"/>
          <w:rtl/>
        </w:rPr>
        <w:t>הוא גם נתן דוגמא ל</w:t>
      </w:r>
      <w:r w:rsidR="007F680B">
        <w:rPr>
          <w:rFonts w:hint="cs"/>
          <w:rtl/>
        </w:rPr>
        <w:t>שיקול כזה: הימנעות של בן זוג לר</w:t>
      </w:r>
      <w:r>
        <w:rPr>
          <w:rFonts w:hint="cs"/>
          <w:rtl/>
        </w:rPr>
        <w:t>ש</w:t>
      </w:r>
      <w:r w:rsidR="007F680B">
        <w:rPr>
          <w:rFonts w:hint="cs"/>
          <w:rtl/>
        </w:rPr>
        <w:t xml:space="preserve">ום הערה על </w:t>
      </w:r>
      <w:r>
        <w:rPr>
          <w:rFonts w:hint="cs"/>
          <w:rtl/>
        </w:rPr>
        <w:t>נ</w:t>
      </w:r>
      <w:r w:rsidR="007F680B">
        <w:rPr>
          <w:rFonts w:hint="cs"/>
          <w:rtl/>
        </w:rPr>
        <w:t>כ</w:t>
      </w:r>
      <w:r>
        <w:rPr>
          <w:rFonts w:hint="cs"/>
          <w:rtl/>
        </w:rPr>
        <w:t>ס של בן זוגו "</w:t>
      </w:r>
      <w:r>
        <w:rPr>
          <w:rtl/>
        </w:rPr>
        <w:t>מטעמים של אחדות המשפחה</w:t>
      </w:r>
      <w:r>
        <w:rPr>
          <w:rFonts w:hint="cs"/>
          <w:rtl/>
        </w:rPr>
        <w:t>".</w:t>
      </w:r>
      <w:r>
        <w:rPr>
          <w:rStyle w:val="a5"/>
          <w:rtl/>
        </w:rPr>
        <w:footnoteReference w:id="69"/>
      </w:r>
      <w:r>
        <w:rPr>
          <w:rFonts w:hint="cs"/>
          <w:rtl/>
        </w:rPr>
        <w:t xml:space="preserve"> פסק דינו של ברק ב</w:t>
      </w:r>
      <w:r w:rsidR="007F680B">
        <w:rPr>
          <w:rFonts w:hint="cs"/>
          <w:rtl/>
        </w:rPr>
        <w:t xml:space="preserve">פרשת </w:t>
      </w:r>
      <w:r w:rsidRPr="007F680B">
        <w:rPr>
          <w:rFonts w:hint="cs"/>
          <w:b/>
          <w:bCs/>
          <w:rtl/>
        </w:rPr>
        <w:t>גנז</w:t>
      </w:r>
      <w:r>
        <w:rPr>
          <w:rFonts w:hint="cs"/>
          <w:rtl/>
        </w:rPr>
        <w:t xml:space="preserve"> היה אפוא מלאכת מחשבת של חקיקה שיפוטית. ב</w:t>
      </w:r>
      <w:r w:rsidR="007A1F5B">
        <w:rPr>
          <w:rFonts w:hint="cs"/>
          <w:rtl/>
        </w:rPr>
        <w:t xml:space="preserve">אמצעות </w:t>
      </w:r>
      <w:r>
        <w:rPr>
          <w:rFonts w:hint="cs"/>
          <w:rtl/>
        </w:rPr>
        <w:t xml:space="preserve">פרשנות עקרון כללי המעוגן בחקיקה ישראלית, קבע ברק הן חובה והן סייגים שאין להם זכר מפורש בחקיקה ואשר במשך שנים בית המשפט, לרבות ברק עצמו, טען כי לא ניתן לבססם על חקיקה ישראלית. זה הוא ביטוי מובהק לעוצמת כוחו של ברק ושל בית המשפט בעת שניתן פסק הדין בפרשת </w:t>
      </w:r>
      <w:r w:rsidRPr="007F680B">
        <w:rPr>
          <w:rFonts w:hint="cs"/>
          <w:b/>
          <w:bCs/>
          <w:rtl/>
        </w:rPr>
        <w:t>גנז</w:t>
      </w:r>
      <w:r>
        <w:rPr>
          <w:rFonts w:hint="cs"/>
          <w:rtl/>
        </w:rPr>
        <w:t xml:space="preserve">. </w:t>
      </w:r>
    </w:p>
    <w:p w:rsidR="008E3194" w:rsidRDefault="008E3194" w:rsidP="003750A0">
      <w:pPr>
        <w:spacing w:line="480" w:lineRule="auto"/>
        <w:jc w:val="both"/>
        <w:rPr>
          <w:rtl/>
        </w:rPr>
      </w:pPr>
      <w:r>
        <w:rPr>
          <w:rFonts w:hint="cs"/>
          <w:rtl/>
        </w:rPr>
        <w:t xml:space="preserve">  </w:t>
      </w:r>
      <w:r w:rsidR="007F680B">
        <w:rPr>
          <w:rFonts w:hint="cs"/>
          <w:rtl/>
        </w:rPr>
        <w:t xml:space="preserve">חלק מחבריו של ברק להרכב בפרשת גנז </w:t>
      </w:r>
      <w:r>
        <w:rPr>
          <w:rFonts w:hint="cs"/>
          <w:rtl/>
        </w:rPr>
        <w:t xml:space="preserve">הסתייגו </w:t>
      </w:r>
      <w:r w:rsidR="005511E7">
        <w:rPr>
          <w:rFonts w:hint="cs"/>
          <w:rtl/>
        </w:rPr>
        <w:t>מרוחבה של החובה שיצר</w:t>
      </w:r>
      <w:r w:rsidR="003750A0">
        <w:rPr>
          <w:rFonts w:hint="cs"/>
          <w:rtl/>
        </w:rPr>
        <w:t xml:space="preserve">. </w:t>
      </w:r>
      <w:r w:rsidR="005511E7">
        <w:rPr>
          <w:rFonts w:hint="cs"/>
          <w:rtl/>
        </w:rPr>
        <w:t xml:space="preserve">כולם </w:t>
      </w:r>
      <w:r w:rsidR="007F680B">
        <w:rPr>
          <w:rFonts w:hint="cs"/>
          <w:rtl/>
        </w:rPr>
        <w:t>הסכימו שבמקרה הספציפי הזה יש לפקוד את גנז על התנהגותו</w:t>
      </w:r>
      <w:r w:rsidR="003750A0">
        <w:rPr>
          <w:rFonts w:hint="cs"/>
          <w:rtl/>
        </w:rPr>
        <w:t xml:space="preserve"> וכי ניתן להשתית את ההחלטה </w:t>
      </w:r>
      <w:r w:rsidR="005511E7">
        <w:rPr>
          <w:rFonts w:hint="cs"/>
          <w:rtl/>
        </w:rPr>
        <w:t>על עקרון תום הלב הישראלי</w:t>
      </w:r>
      <w:r w:rsidR="003750A0">
        <w:rPr>
          <w:rFonts w:hint="cs"/>
          <w:rtl/>
        </w:rPr>
        <w:t>,</w:t>
      </w:r>
      <w:r w:rsidR="005511E7">
        <w:rPr>
          <w:rFonts w:hint="cs"/>
          <w:rtl/>
        </w:rPr>
        <w:t xml:space="preserve"> אך רובם נטו לסייג את </w:t>
      </w:r>
      <w:r w:rsidR="003750A0">
        <w:rPr>
          <w:rFonts w:hint="cs"/>
          <w:rtl/>
        </w:rPr>
        <w:t xml:space="preserve">הכלל </w:t>
      </w:r>
      <w:r w:rsidR="005511E7">
        <w:rPr>
          <w:rFonts w:hint="cs"/>
          <w:rtl/>
        </w:rPr>
        <w:t xml:space="preserve">רק לנסיבות המיוחדות של פרשת </w:t>
      </w:r>
      <w:r w:rsidR="005511E7" w:rsidRPr="003750A0">
        <w:rPr>
          <w:rFonts w:hint="cs"/>
          <w:b/>
          <w:bCs/>
          <w:rtl/>
        </w:rPr>
        <w:t>גנז</w:t>
      </w:r>
      <w:r w:rsidR="005511E7">
        <w:rPr>
          <w:rFonts w:hint="cs"/>
          <w:rtl/>
        </w:rPr>
        <w:t xml:space="preserve">: ההתמשכות הארוכה של מחדלו של בעל הזכות המוקדמת בזמן (17 שנה) וההסתמכות המשמעותית </w:t>
      </w:r>
      <w:r w:rsidR="003750A0">
        <w:rPr>
          <w:rFonts w:hint="cs"/>
          <w:rtl/>
        </w:rPr>
        <w:t xml:space="preserve">והממושכת </w:t>
      </w:r>
      <w:r w:rsidR="005511E7">
        <w:rPr>
          <w:rFonts w:hint="cs"/>
          <w:rtl/>
        </w:rPr>
        <w:t>של הרוכש המאוחר יותר.</w:t>
      </w:r>
      <w:r w:rsidR="005511E7">
        <w:rPr>
          <w:rStyle w:val="a5"/>
          <w:rtl/>
        </w:rPr>
        <w:footnoteReference w:id="70"/>
      </w:r>
      <w:r w:rsidR="005511E7">
        <w:rPr>
          <w:rFonts w:hint="cs"/>
          <w:rtl/>
        </w:rPr>
        <w:t xml:space="preserve"> אלה תנאים שדומים מאוד לתנאים של דוקטרינת ההשתק האקוויטבילית באנגליה: השתקה של תובע זכות בשל מחדל ארוך זמן והסתמכות מתמשכת וארוכת טווח שגמרה לנזק ולאדם אחר.</w:t>
      </w:r>
      <w:r w:rsidR="005511E7">
        <w:rPr>
          <w:rStyle w:val="a5"/>
          <w:rtl/>
        </w:rPr>
        <w:footnoteReference w:id="71"/>
      </w:r>
      <w:r w:rsidR="005511E7">
        <w:rPr>
          <w:rFonts w:hint="cs"/>
          <w:rtl/>
        </w:rPr>
        <w:t xml:space="preserve"> פרשת גנז סמלה אפוא את הלידה </w:t>
      </w:r>
      <w:r w:rsidR="007F680B">
        <w:rPr>
          <w:rFonts w:hint="cs"/>
          <w:rtl/>
        </w:rPr>
        <w:t xml:space="preserve">של אחות </w:t>
      </w:r>
      <w:r w:rsidR="005511E7">
        <w:rPr>
          <w:rFonts w:hint="cs"/>
          <w:rtl/>
        </w:rPr>
        <w:t xml:space="preserve">ישראלית תאומה ועצמאית </w:t>
      </w:r>
      <w:r w:rsidR="007F680B">
        <w:rPr>
          <w:rFonts w:hint="cs"/>
          <w:rtl/>
        </w:rPr>
        <w:t>לדוקטרינת ההשתק</w:t>
      </w:r>
      <w:r w:rsidR="007A1F5B">
        <w:rPr>
          <w:rFonts w:hint="cs"/>
          <w:rtl/>
        </w:rPr>
        <w:t xml:space="preserve"> </w:t>
      </w:r>
      <w:r w:rsidR="007F680B">
        <w:rPr>
          <w:rFonts w:hint="cs"/>
          <w:rtl/>
        </w:rPr>
        <w:t>הא</w:t>
      </w:r>
      <w:r w:rsidR="007A1F5B">
        <w:rPr>
          <w:rFonts w:hint="cs"/>
          <w:rtl/>
        </w:rPr>
        <w:t>נגלית הא</w:t>
      </w:r>
      <w:r w:rsidR="007F680B">
        <w:rPr>
          <w:rFonts w:hint="cs"/>
          <w:rtl/>
        </w:rPr>
        <w:t>קוויטבילית</w:t>
      </w:r>
      <w:r w:rsidR="005511E7">
        <w:rPr>
          <w:rFonts w:hint="cs"/>
          <w:rtl/>
        </w:rPr>
        <w:t>: דוקטרינת ההשתק הישראלית. אף כי כאמור השופט</w:t>
      </w:r>
      <w:r w:rsidR="001839C5">
        <w:rPr>
          <w:rFonts w:hint="cs"/>
          <w:rtl/>
        </w:rPr>
        <w:t>י</w:t>
      </w:r>
      <w:r w:rsidR="005511E7">
        <w:rPr>
          <w:rFonts w:hint="cs"/>
          <w:rtl/>
        </w:rPr>
        <w:t>ם ביססו אותה על עקרון תום ה</w:t>
      </w:r>
      <w:r w:rsidR="007A1F5B">
        <w:rPr>
          <w:rFonts w:hint="cs"/>
          <w:rtl/>
        </w:rPr>
        <w:t>ל</w:t>
      </w:r>
      <w:r w:rsidR="005511E7">
        <w:rPr>
          <w:rFonts w:hint="cs"/>
          <w:rtl/>
        </w:rPr>
        <w:t>ב הישראלי</w:t>
      </w:r>
      <w:r w:rsidR="007A1F5B">
        <w:rPr>
          <w:rFonts w:hint="cs"/>
          <w:rtl/>
        </w:rPr>
        <w:t>,</w:t>
      </w:r>
      <w:r w:rsidR="005511E7">
        <w:rPr>
          <w:rFonts w:hint="cs"/>
          <w:rtl/>
        </w:rPr>
        <w:t xml:space="preserve"> השופטים הרבו להשתמש במונח "השתק" הלקוח מדיני היושר האנגליים.</w:t>
      </w:r>
      <w:r w:rsidR="005511E7">
        <w:rPr>
          <w:rStyle w:val="a5"/>
          <w:rtl/>
        </w:rPr>
        <w:footnoteReference w:id="72"/>
      </w:r>
      <w:r w:rsidR="005511E7">
        <w:rPr>
          <w:rFonts w:hint="cs"/>
          <w:rtl/>
        </w:rPr>
        <w:t xml:space="preserve"> גם השופט </w:t>
      </w:r>
      <w:r w:rsidR="00CD4032">
        <w:rPr>
          <w:rFonts w:hint="cs"/>
          <w:rtl/>
        </w:rPr>
        <w:t xml:space="preserve">ברק לא הסתייג מביסוס קביעותיו באופן חלופי על </w:t>
      </w:r>
      <w:r w:rsidR="003750A0">
        <w:rPr>
          <w:rFonts w:hint="cs"/>
          <w:rtl/>
        </w:rPr>
        <w:t>מונח ה"</w:t>
      </w:r>
      <w:r w:rsidR="00CD4032">
        <w:rPr>
          <w:rFonts w:hint="cs"/>
          <w:rtl/>
        </w:rPr>
        <w:t>השתק</w:t>
      </w:r>
      <w:r w:rsidR="003750A0">
        <w:rPr>
          <w:rFonts w:hint="cs"/>
          <w:rtl/>
        </w:rPr>
        <w:t>"</w:t>
      </w:r>
      <w:r w:rsidR="00CD4032">
        <w:rPr>
          <w:rFonts w:hint="cs"/>
          <w:rtl/>
        </w:rPr>
        <w:t>.</w:t>
      </w:r>
      <w:r w:rsidR="00CD4032">
        <w:rPr>
          <w:rStyle w:val="a5"/>
          <w:rtl/>
        </w:rPr>
        <w:footnoteReference w:id="73"/>
      </w:r>
      <w:r w:rsidR="00CD4032">
        <w:rPr>
          <w:rFonts w:hint="cs"/>
          <w:rtl/>
        </w:rPr>
        <w:t xml:space="preserve"> </w:t>
      </w:r>
      <w:r w:rsidR="005511E7">
        <w:rPr>
          <w:rFonts w:hint="cs"/>
          <w:rtl/>
        </w:rPr>
        <w:t xml:space="preserve">הלכת גנז הניחה אפוא נדבך עצמאי נוסף בדיני היושר הישראלים: השתקת בעל זכות שהשתהה וגרם נזק משמעותי לאחרים. </w:t>
      </w:r>
    </w:p>
    <w:p w:rsidR="00413977" w:rsidRDefault="008E3194" w:rsidP="003750A0">
      <w:pPr>
        <w:spacing w:line="480" w:lineRule="auto"/>
        <w:jc w:val="both"/>
        <w:rPr>
          <w:rtl/>
        </w:rPr>
      </w:pPr>
      <w:r>
        <w:rPr>
          <w:rFonts w:hint="cs"/>
          <w:rtl/>
        </w:rPr>
        <w:t xml:space="preserve">   </w:t>
      </w:r>
      <w:r w:rsidR="005511E7">
        <w:rPr>
          <w:rFonts w:hint="cs"/>
          <w:rtl/>
        </w:rPr>
        <w:t xml:space="preserve">גם הלכת </w:t>
      </w:r>
      <w:r w:rsidR="005511E7" w:rsidRPr="003750A0">
        <w:rPr>
          <w:rFonts w:hint="cs"/>
          <w:b/>
          <w:bCs/>
          <w:rtl/>
        </w:rPr>
        <w:t>גנז</w:t>
      </w:r>
      <w:r w:rsidR="005511E7">
        <w:rPr>
          <w:rFonts w:hint="cs"/>
          <w:rtl/>
        </w:rPr>
        <w:t xml:space="preserve">, כמו הלכת </w:t>
      </w:r>
      <w:r w:rsidR="005511E7" w:rsidRPr="003750A0">
        <w:rPr>
          <w:rFonts w:hint="cs"/>
          <w:b/>
          <w:bCs/>
          <w:rtl/>
        </w:rPr>
        <w:t>אהרונוב</w:t>
      </w:r>
      <w:r w:rsidR="005511E7">
        <w:rPr>
          <w:rFonts w:hint="cs"/>
          <w:rtl/>
        </w:rPr>
        <w:t xml:space="preserve"> לפניה וככל חקיקה שיפוטית שמרחיבה את שיקול הדעת השפוטי, פתחה פתח לפיתוח נוסף של דיני היושר הישראלים. היא גם יצרה חוסר וודאות </w:t>
      </w:r>
      <w:r w:rsidR="00C62490">
        <w:rPr>
          <w:rFonts w:hint="cs"/>
          <w:rtl/>
        </w:rPr>
        <w:t>ו</w:t>
      </w:r>
      <w:r>
        <w:rPr>
          <w:rFonts w:hint="cs"/>
          <w:rtl/>
        </w:rPr>
        <w:t xml:space="preserve">הותירה סימני שאלה רבים: </w:t>
      </w:r>
      <w:r w:rsidR="005511E7">
        <w:rPr>
          <w:rFonts w:hint="cs"/>
          <w:rtl/>
        </w:rPr>
        <w:t xml:space="preserve">האם להעדיף פרשנות רחבה או צרה של עקרון תום הלב? </w:t>
      </w:r>
      <w:r>
        <w:rPr>
          <w:rFonts w:hint="cs"/>
          <w:rtl/>
        </w:rPr>
        <w:t>מה דינ</w:t>
      </w:r>
      <w:r w:rsidR="005511E7">
        <w:rPr>
          <w:rFonts w:hint="cs"/>
          <w:rtl/>
        </w:rPr>
        <w:t xml:space="preserve">ם של מחדלים פחות חמורים ממחדלו של </w:t>
      </w:r>
      <w:r>
        <w:rPr>
          <w:rFonts w:hint="cs"/>
          <w:rtl/>
        </w:rPr>
        <w:t>גנז</w:t>
      </w:r>
      <w:r w:rsidR="005511E7">
        <w:rPr>
          <w:rFonts w:hint="cs"/>
          <w:rtl/>
        </w:rPr>
        <w:t xml:space="preserve">? </w:t>
      </w:r>
      <w:r w:rsidR="00C62490">
        <w:rPr>
          <w:rFonts w:hint="cs"/>
          <w:rtl/>
        </w:rPr>
        <w:t>בתי המשפט בישראל, בכל הערכאות</w:t>
      </w:r>
      <w:r w:rsidR="003750A0">
        <w:rPr>
          <w:rFonts w:hint="cs"/>
          <w:rtl/>
        </w:rPr>
        <w:t>,</w:t>
      </w:r>
      <w:r w:rsidR="00C62490">
        <w:rPr>
          <w:rFonts w:hint="cs"/>
          <w:rtl/>
        </w:rPr>
        <w:t xml:space="preserve"> עוסקים מאז במרץ ביישומה של הלכת גנז ו</w:t>
      </w:r>
      <w:r w:rsidR="003750A0">
        <w:rPr>
          <w:rFonts w:hint="cs"/>
          <w:rtl/>
        </w:rPr>
        <w:t>ב</w:t>
      </w:r>
      <w:r w:rsidR="00C62490">
        <w:rPr>
          <w:rFonts w:hint="cs"/>
          <w:rtl/>
        </w:rPr>
        <w:t xml:space="preserve">פיתוחה. </w:t>
      </w:r>
      <w:r w:rsidR="005511E7">
        <w:rPr>
          <w:rFonts w:hint="cs"/>
          <w:rtl/>
        </w:rPr>
        <w:t>כך, למשל נקבעו תנאים לתחולתה או אי תחולתה במקרים שבהם המחדלים שגרמו לנזק היו קצרים יותר או חמורים פחות.</w:t>
      </w:r>
      <w:bookmarkStart w:id="18" w:name="_Ref518578262"/>
      <w:r w:rsidR="005511E7">
        <w:rPr>
          <w:rStyle w:val="a5"/>
          <w:rtl/>
        </w:rPr>
        <w:footnoteReference w:id="74"/>
      </w:r>
      <w:bookmarkEnd w:id="18"/>
      <w:r w:rsidR="005511E7">
        <w:rPr>
          <w:rFonts w:hint="cs"/>
          <w:rtl/>
        </w:rPr>
        <w:t xml:space="preserve"> נקבעו הלכות בנוגע למחדלים שנגרמו כתוצאה מיחסי אמון בין </w:t>
      </w:r>
      <w:r>
        <w:rPr>
          <w:rFonts w:hint="cs"/>
          <w:rtl/>
        </w:rPr>
        <w:t xml:space="preserve">שכנים או </w:t>
      </w:r>
      <w:r w:rsidR="005511E7">
        <w:rPr>
          <w:rFonts w:hint="cs"/>
          <w:rtl/>
        </w:rPr>
        <w:t xml:space="preserve">בין </w:t>
      </w:r>
      <w:r>
        <w:rPr>
          <w:rFonts w:hint="cs"/>
          <w:rtl/>
        </w:rPr>
        <w:t>בני משפחה רחוקים</w:t>
      </w:r>
      <w:r w:rsidR="00C62490">
        <w:rPr>
          <w:rFonts w:hint="cs"/>
          <w:rtl/>
        </w:rPr>
        <w:t xml:space="preserve"> בכפר ערבי מסורתי</w:t>
      </w:r>
      <w:r>
        <w:rPr>
          <w:rFonts w:hint="cs"/>
          <w:rtl/>
        </w:rPr>
        <w:t>.</w:t>
      </w:r>
      <w:r w:rsidR="005511E7">
        <w:rPr>
          <w:rStyle w:val="a5"/>
          <w:rtl/>
        </w:rPr>
        <w:footnoteReference w:id="75"/>
      </w:r>
      <w:r w:rsidR="005511E7">
        <w:rPr>
          <w:rFonts w:hint="cs"/>
          <w:rtl/>
        </w:rPr>
        <w:t xml:space="preserve"> בית המשפט אף החיל את ההלכה </w:t>
      </w:r>
      <w:r>
        <w:rPr>
          <w:rFonts w:hint="cs"/>
          <w:rtl/>
        </w:rPr>
        <w:t>על מחדלי</w:t>
      </w:r>
      <w:r w:rsidR="005511E7">
        <w:rPr>
          <w:rFonts w:hint="cs"/>
          <w:rtl/>
        </w:rPr>
        <w:t xml:space="preserve"> רישום אחרים </w:t>
      </w:r>
      <w:r w:rsidR="00EA3B3F">
        <w:rPr>
          <w:rFonts w:hint="cs"/>
          <w:rtl/>
        </w:rPr>
        <w:t>כגון הימנעות מרישום ה</w:t>
      </w:r>
      <w:r w:rsidR="003750A0">
        <w:rPr>
          <w:rFonts w:hint="cs"/>
          <w:rtl/>
        </w:rPr>
        <w:t>סכ</w:t>
      </w:r>
      <w:r w:rsidR="00EA3B3F">
        <w:rPr>
          <w:rFonts w:hint="cs"/>
          <w:rtl/>
        </w:rPr>
        <w:t>ם בין שותפים במקרקעין (</w:t>
      </w:r>
      <w:r w:rsidR="00EA3B3F">
        <w:t>common owners</w:t>
      </w:r>
      <w:r w:rsidR="00EA3B3F">
        <w:rPr>
          <w:rFonts w:hint="cs"/>
          <w:rtl/>
        </w:rPr>
        <w:t>)</w:t>
      </w:r>
      <w:r w:rsidR="005511E7">
        <w:rPr>
          <w:rFonts w:hint="cs"/>
          <w:rtl/>
        </w:rPr>
        <w:t>.</w:t>
      </w:r>
      <w:r w:rsidR="005511E7">
        <w:rPr>
          <w:rStyle w:val="a5"/>
          <w:rtl/>
        </w:rPr>
        <w:footnoteReference w:id="76"/>
      </w:r>
      <w:r>
        <w:rPr>
          <w:rFonts w:hint="cs"/>
          <w:rtl/>
        </w:rPr>
        <w:t xml:space="preserve"> </w:t>
      </w:r>
      <w:r w:rsidR="005511E7">
        <w:rPr>
          <w:rFonts w:hint="cs"/>
          <w:rtl/>
        </w:rPr>
        <w:t>דוקטרינת ההשתק אף יושמה על מחדלים שלא נוגעים לרישום</w:t>
      </w:r>
      <w:r w:rsidR="003750A0">
        <w:rPr>
          <w:rFonts w:hint="cs"/>
          <w:rtl/>
        </w:rPr>
        <w:t>,</w:t>
      </w:r>
      <w:r w:rsidR="005511E7">
        <w:rPr>
          <w:rFonts w:hint="cs"/>
          <w:rtl/>
        </w:rPr>
        <w:t xml:space="preserve"> כגון </w:t>
      </w:r>
      <w:r>
        <w:rPr>
          <w:rFonts w:hint="cs"/>
          <w:rtl/>
        </w:rPr>
        <w:t>מצג</w:t>
      </w:r>
      <w:r w:rsidR="005511E7">
        <w:rPr>
          <w:rFonts w:hint="cs"/>
          <w:rtl/>
        </w:rPr>
        <w:t>י</w:t>
      </w:r>
      <w:r>
        <w:rPr>
          <w:rFonts w:hint="cs"/>
          <w:rtl/>
        </w:rPr>
        <w:t xml:space="preserve"> שווא בכתב או בעל פה</w:t>
      </w:r>
      <w:r w:rsidR="005511E7">
        <w:rPr>
          <w:rFonts w:hint="cs"/>
          <w:rtl/>
        </w:rPr>
        <w:t>.</w:t>
      </w:r>
      <w:r>
        <w:rPr>
          <w:rStyle w:val="a5"/>
          <w:rtl/>
        </w:rPr>
        <w:footnoteReference w:id="77"/>
      </w:r>
      <w:r w:rsidR="005511E7">
        <w:rPr>
          <w:rFonts w:hint="cs"/>
          <w:rtl/>
        </w:rPr>
        <w:t xml:space="preserve"> </w:t>
      </w:r>
      <w:r w:rsidR="00413977">
        <w:rPr>
          <w:rFonts w:hint="cs"/>
          <w:rtl/>
        </w:rPr>
        <w:t>בית המשפט אף הבהיר את היחס בין הלכת גנז להלכת אהרונוב. לכאורה אלה הלכות סותרות</w:t>
      </w:r>
      <w:r w:rsidR="003750A0">
        <w:rPr>
          <w:rFonts w:hint="cs"/>
          <w:rtl/>
        </w:rPr>
        <w:t>,</w:t>
      </w:r>
      <w:r w:rsidR="00413977">
        <w:rPr>
          <w:rFonts w:hint="cs"/>
          <w:rtl/>
        </w:rPr>
        <w:t xml:space="preserve"> שכן פרשת אהרונוב קבעה כי זכות מן היושר עדיפה על נושי המעביר אף ללא רישום הערת אזהרה בעוד שהלכת גנז קבעה כי מי שלא רשם הערה כזו עלול להפסיד את עדיפותו. השופט ברק, שהיה שותף לשתי ההלכות</w:t>
      </w:r>
      <w:r w:rsidR="00DC2E19">
        <w:rPr>
          <w:rFonts w:hint="cs"/>
          <w:rtl/>
        </w:rPr>
        <w:t>,</w:t>
      </w:r>
      <w:r w:rsidR="00413977">
        <w:rPr>
          <w:rFonts w:hint="cs"/>
          <w:rtl/>
        </w:rPr>
        <w:t xml:space="preserve"> הבהיר כי בעוד הראשונה </w:t>
      </w:r>
      <w:r w:rsidR="00DC2E19">
        <w:rPr>
          <w:rFonts w:hint="cs"/>
          <w:rtl/>
        </w:rPr>
        <w:t xml:space="preserve">(אהרונוב) </w:t>
      </w:r>
      <w:r w:rsidR="00413977">
        <w:rPr>
          <w:rFonts w:hint="cs"/>
          <w:rtl/>
        </w:rPr>
        <w:t>נועדה להקנ</w:t>
      </w:r>
      <w:r w:rsidR="003750A0">
        <w:rPr>
          <w:rFonts w:hint="cs"/>
          <w:rtl/>
        </w:rPr>
        <w:t>ות עדיפות כלפי נושים ש</w:t>
      </w:r>
      <w:r w:rsidR="00413977">
        <w:rPr>
          <w:rFonts w:hint="cs"/>
          <w:rtl/>
        </w:rPr>
        <w:t>לא הסתמכו על הנכס שבמחלוקת</w:t>
      </w:r>
      <w:r w:rsidR="00DC2E19">
        <w:rPr>
          <w:rFonts w:hint="cs"/>
          <w:rtl/>
        </w:rPr>
        <w:t>,</w:t>
      </w:r>
      <w:r w:rsidR="00413977">
        <w:rPr>
          <w:rFonts w:hint="cs"/>
          <w:rtl/>
        </w:rPr>
        <w:t xml:space="preserve"> השנייה</w:t>
      </w:r>
      <w:r w:rsidR="00DC2E19">
        <w:rPr>
          <w:rFonts w:hint="cs"/>
          <w:rtl/>
        </w:rPr>
        <w:t xml:space="preserve"> (גנז)</w:t>
      </w:r>
      <w:r w:rsidR="00413977">
        <w:rPr>
          <w:rFonts w:hint="cs"/>
          <w:rtl/>
        </w:rPr>
        <w:t xml:space="preserve"> מדברת על הכרעת התחרות בין שני נ</w:t>
      </w:r>
      <w:r w:rsidR="00DC2E19">
        <w:rPr>
          <w:rFonts w:hint="cs"/>
          <w:rtl/>
        </w:rPr>
        <w:t>ו</w:t>
      </w:r>
      <w:r w:rsidR="00413977">
        <w:rPr>
          <w:rFonts w:hint="cs"/>
          <w:rtl/>
        </w:rPr>
        <w:t>שי</w:t>
      </w:r>
      <w:r w:rsidR="00DC2E19">
        <w:rPr>
          <w:rFonts w:hint="cs"/>
          <w:rtl/>
        </w:rPr>
        <w:t>ם</w:t>
      </w:r>
      <w:r w:rsidR="00413977">
        <w:rPr>
          <w:rFonts w:hint="cs"/>
          <w:rtl/>
        </w:rPr>
        <w:t xml:space="preserve"> שכן הסתמכו על הנכס</w:t>
      </w:r>
      <w:r w:rsidR="003750A0">
        <w:rPr>
          <w:rFonts w:hint="cs"/>
          <w:rtl/>
        </w:rPr>
        <w:t>,</w:t>
      </w:r>
      <w:r w:rsidR="00413977">
        <w:rPr>
          <w:rFonts w:hint="cs"/>
          <w:rtl/>
        </w:rPr>
        <w:t xml:space="preserve"> בזה אחר זה. במקרה הראשון אין ההימנעות מרישום הער</w:t>
      </w:r>
      <w:r w:rsidR="003750A0">
        <w:rPr>
          <w:rFonts w:hint="cs"/>
          <w:rtl/>
        </w:rPr>
        <w:t xml:space="preserve">ת אזהרה </w:t>
      </w:r>
      <w:r w:rsidR="00413977">
        <w:rPr>
          <w:rFonts w:hint="cs"/>
          <w:rtl/>
        </w:rPr>
        <w:t>לטובת הראשון מזיקה לנושה שלא התעניין כלל בנכס. במקרה השני ההימנעות מרישום הערה לט</w:t>
      </w:r>
      <w:r w:rsidR="00DC2E19">
        <w:rPr>
          <w:rFonts w:hint="cs"/>
          <w:rtl/>
        </w:rPr>
        <w:t>ו</w:t>
      </w:r>
      <w:r w:rsidR="00413977">
        <w:rPr>
          <w:rFonts w:hint="cs"/>
          <w:rtl/>
        </w:rPr>
        <w:t>בת הראשון מטעה את השני וגורמת לו לנזק.</w:t>
      </w:r>
      <w:r w:rsidR="00413977">
        <w:rPr>
          <w:rStyle w:val="a5"/>
          <w:rtl/>
        </w:rPr>
        <w:footnoteReference w:id="78"/>
      </w:r>
      <w:r w:rsidR="00413977">
        <w:rPr>
          <w:rFonts w:hint="cs"/>
          <w:rtl/>
        </w:rPr>
        <w:t xml:space="preserve">  </w:t>
      </w:r>
    </w:p>
    <w:p w:rsidR="00883BA8" w:rsidRDefault="00413977" w:rsidP="004E754E">
      <w:pPr>
        <w:spacing w:line="480" w:lineRule="auto"/>
        <w:jc w:val="both"/>
        <w:rPr>
          <w:rtl/>
        </w:rPr>
      </w:pPr>
      <w:r>
        <w:rPr>
          <w:rFonts w:hint="cs"/>
          <w:rtl/>
        </w:rPr>
        <w:t xml:space="preserve">    </w:t>
      </w:r>
      <w:r w:rsidR="008E3194">
        <w:rPr>
          <w:rFonts w:hint="cs"/>
          <w:rtl/>
        </w:rPr>
        <w:t>הלכת גנז ובנותיה ה</w:t>
      </w:r>
      <w:r>
        <w:rPr>
          <w:rFonts w:hint="cs"/>
          <w:rtl/>
        </w:rPr>
        <w:t>צטרפה להלכת אהרונוב וה</w:t>
      </w:r>
      <w:r w:rsidR="008E3194">
        <w:rPr>
          <w:rFonts w:hint="cs"/>
          <w:rtl/>
        </w:rPr>
        <w:t>פכ</w:t>
      </w:r>
      <w:r>
        <w:rPr>
          <w:rFonts w:hint="cs"/>
          <w:rtl/>
        </w:rPr>
        <w:t>ה</w:t>
      </w:r>
      <w:r w:rsidR="008E3194">
        <w:rPr>
          <w:rFonts w:hint="cs"/>
          <w:rtl/>
        </w:rPr>
        <w:t xml:space="preserve"> לחלק חשוב מדיני היושר הישראלים העצמאיים.</w:t>
      </w:r>
      <w:r>
        <w:rPr>
          <w:rFonts w:hint="cs"/>
          <w:rtl/>
        </w:rPr>
        <w:t xml:space="preserve">   אלה דינים שדומים לדיני היושר האנגליים</w:t>
      </w:r>
      <w:r w:rsidR="004E754E">
        <w:rPr>
          <w:rFonts w:hint="cs"/>
          <w:rtl/>
        </w:rPr>
        <w:t>,</w:t>
      </w:r>
      <w:r>
        <w:rPr>
          <w:rFonts w:hint="cs"/>
          <w:rtl/>
        </w:rPr>
        <w:t xml:space="preserve"> אך הם פרי פיתוח ישראלי מקורי. מדוע הושקעה כל כך הרבה </w:t>
      </w:r>
      <w:r w:rsidR="008E3194">
        <w:rPr>
          <w:rFonts w:hint="cs"/>
          <w:rtl/>
        </w:rPr>
        <w:t>אנרגי</w:t>
      </w:r>
      <w:r>
        <w:rPr>
          <w:rFonts w:hint="cs"/>
          <w:rtl/>
        </w:rPr>
        <w:t xml:space="preserve">ה </w:t>
      </w:r>
      <w:r w:rsidR="008E3194">
        <w:rPr>
          <w:rFonts w:hint="cs"/>
          <w:rtl/>
        </w:rPr>
        <w:t>שיפוטית ביצירה העצמאית אם בסופו של דבר היא מובילה לתוצאה שניתן היה לייבאה</w:t>
      </w:r>
      <w:r>
        <w:rPr>
          <w:rFonts w:hint="cs"/>
          <w:rtl/>
        </w:rPr>
        <w:t>?</w:t>
      </w:r>
      <w:r w:rsidR="008E3194">
        <w:rPr>
          <w:rFonts w:hint="cs"/>
          <w:rtl/>
        </w:rPr>
        <w:t xml:space="preserve"> התשובה לשאלה זאת טמונה בקשר העמוק שיש בין דרך יצירת הפסיקה </w:t>
      </w:r>
      <w:r>
        <w:rPr>
          <w:rFonts w:hint="cs"/>
          <w:rtl/>
        </w:rPr>
        <w:t>ל</w:t>
      </w:r>
      <w:r w:rsidR="008E3194">
        <w:rPr>
          <w:rFonts w:hint="cs"/>
          <w:rtl/>
        </w:rPr>
        <w:t xml:space="preserve">בין זהותה של המדינה. </w:t>
      </w:r>
      <w:r>
        <w:rPr>
          <w:rFonts w:hint="cs"/>
          <w:rtl/>
        </w:rPr>
        <w:t>הפיתוח העצמאי של פסיקה הוא ביטוי ל</w:t>
      </w:r>
      <w:r w:rsidR="008E3194">
        <w:rPr>
          <w:rFonts w:hint="cs"/>
          <w:rtl/>
        </w:rPr>
        <w:t>זהותה העצמאית והייחודית</w:t>
      </w:r>
      <w:r>
        <w:rPr>
          <w:rFonts w:hint="cs"/>
          <w:rtl/>
        </w:rPr>
        <w:t xml:space="preserve"> של מערכת ה</w:t>
      </w:r>
      <w:r w:rsidR="004E754E">
        <w:rPr>
          <w:rFonts w:hint="cs"/>
          <w:rtl/>
        </w:rPr>
        <w:t>שיפוט</w:t>
      </w:r>
      <w:r w:rsidR="008E3194">
        <w:rPr>
          <w:rFonts w:hint="cs"/>
          <w:rtl/>
        </w:rPr>
        <w:t xml:space="preserve">. </w:t>
      </w:r>
    </w:p>
    <w:p w:rsidR="00883BA8" w:rsidRDefault="00883BA8" w:rsidP="00883BA8">
      <w:pPr>
        <w:spacing w:line="480" w:lineRule="auto"/>
        <w:jc w:val="both"/>
        <w:rPr>
          <w:rtl/>
        </w:rPr>
      </w:pPr>
    </w:p>
    <w:p w:rsidR="003A61E6" w:rsidRPr="00007158" w:rsidRDefault="0053533A" w:rsidP="0053533A">
      <w:pPr>
        <w:spacing w:line="480" w:lineRule="auto"/>
        <w:jc w:val="both"/>
        <w:rPr>
          <w:b/>
          <w:bCs/>
          <w:rtl/>
        </w:rPr>
      </w:pPr>
      <w:r>
        <w:rPr>
          <w:b/>
          <w:bCs/>
        </w:rPr>
        <w:t xml:space="preserve">Constitutional safeguards to property </w:t>
      </w:r>
    </w:p>
    <w:p w:rsidR="003C5BB3" w:rsidRDefault="00A251E5" w:rsidP="0053533A">
      <w:pPr>
        <w:spacing w:line="480" w:lineRule="auto"/>
        <w:jc w:val="both"/>
        <w:rPr>
          <w:rtl/>
        </w:rPr>
      </w:pPr>
      <w:r>
        <w:rPr>
          <w:rFonts w:hint="cs"/>
          <w:rtl/>
        </w:rPr>
        <w:t xml:space="preserve">   </w:t>
      </w:r>
      <w:r w:rsidR="004E754E">
        <w:rPr>
          <w:rFonts w:hint="cs"/>
          <w:rtl/>
        </w:rPr>
        <w:t xml:space="preserve">ביטוי בולט נוסף </w:t>
      </w:r>
      <w:r w:rsidR="003C5BB3">
        <w:rPr>
          <w:rFonts w:hint="cs"/>
          <w:rtl/>
        </w:rPr>
        <w:t xml:space="preserve">לעצמאותה והתעצמותה של מערכת השיפוט בישראל בעשורים האחרונים טמון ביכולתה לבקר ביקורת חוקתית של חוקים. סמכות זו באה לידי ביטוי גם בתחום ההגנה החוקתית על הקניין הפרטי. הפקעות או פגיעות תכנוניות במקרקעין הן הדוגמאות הבולטות ביותר לפגיעה כזו ולכן ניתן היה לצפות כי עוצמתה של מערכת השיפוט הישראלית תבלוט במיוחד בתחום זה. כפי שיוסבר להלן, </w:t>
      </w:r>
      <w:r w:rsidR="0053533A">
        <w:rPr>
          <w:rFonts w:hint="cs"/>
          <w:rtl/>
        </w:rPr>
        <w:t xml:space="preserve">דווקא בתחום זה לא הפגין </w:t>
      </w:r>
      <w:r w:rsidR="003C5BB3">
        <w:rPr>
          <w:rFonts w:hint="cs"/>
          <w:rtl/>
        </w:rPr>
        <w:t xml:space="preserve">בית המשפט העליון את </w:t>
      </w:r>
      <w:r w:rsidR="0053533A">
        <w:rPr>
          <w:rFonts w:hint="cs"/>
          <w:rtl/>
        </w:rPr>
        <w:t xml:space="preserve">מלוא </w:t>
      </w:r>
      <w:r w:rsidR="003C5BB3">
        <w:rPr>
          <w:rFonts w:hint="cs"/>
          <w:rtl/>
        </w:rPr>
        <w:t>עוצמתו וגזר על עצמו ריסון שיפוטי</w:t>
      </w:r>
      <w:r w:rsidR="0053533A">
        <w:rPr>
          <w:rFonts w:hint="cs"/>
          <w:rtl/>
        </w:rPr>
        <w:t xml:space="preserve"> מסוים</w:t>
      </w:r>
      <w:r w:rsidR="003C5BB3">
        <w:rPr>
          <w:rFonts w:hint="cs"/>
          <w:rtl/>
        </w:rPr>
        <w:t xml:space="preserve">. אחת הסיבות לכך היא, ככל הנראה, </w:t>
      </w:r>
      <w:r w:rsidR="0053533A">
        <w:rPr>
          <w:rFonts w:hint="cs"/>
          <w:rtl/>
        </w:rPr>
        <w:t xml:space="preserve">השקפת עולם חלוקתית של חלק </w:t>
      </w:r>
      <w:r w:rsidR="003C5BB3">
        <w:rPr>
          <w:rFonts w:hint="cs"/>
          <w:rtl/>
        </w:rPr>
        <w:t xml:space="preserve">מהשופטים. </w:t>
      </w:r>
    </w:p>
    <w:p w:rsidR="005960CC" w:rsidRDefault="003C5BB3" w:rsidP="005960CC">
      <w:pPr>
        <w:spacing w:line="480" w:lineRule="auto"/>
        <w:jc w:val="both"/>
        <w:rPr>
          <w:rtl/>
        </w:rPr>
      </w:pPr>
      <w:r>
        <w:rPr>
          <w:rFonts w:hint="cs"/>
          <w:rtl/>
        </w:rPr>
        <w:t xml:space="preserve">   </w:t>
      </w:r>
      <w:r w:rsidR="00A251E5">
        <w:rPr>
          <w:rFonts w:hint="cs"/>
          <w:rtl/>
        </w:rPr>
        <w:t xml:space="preserve">בתי המשפט בישראל הכירו במעמד החשוב של </w:t>
      </w:r>
      <w:r w:rsidR="00526EF6">
        <w:rPr>
          <w:rFonts w:hint="cs"/>
          <w:rtl/>
        </w:rPr>
        <w:t xml:space="preserve">זכות הקניין הפרטי והחובה לפצות על הפקעת מקרקעין </w:t>
      </w:r>
      <w:r w:rsidR="00A251E5">
        <w:rPr>
          <w:rFonts w:hint="cs"/>
          <w:rtl/>
        </w:rPr>
        <w:t>עוד לפני המהפכה החוקתית</w:t>
      </w:r>
      <w:r>
        <w:rPr>
          <w:rFonts w:hint="cs"/>
          <w:rtl/>
        </w:rPr>
        <w:t>.</w:t>
      </w:r>
      <w:bookmarkStart w:id="19" w:name="_Ref518637374"/>
      <w:r w:rsidR="00A251E5">
        <w:rPr>
          <w:rStyle w:val="a5"/>
          <w:rtl/>
        </w:rPr>
        <w:footnoteReference w:id="79"/>
      </w:r>
      <w:bookmarkEnd w:id="19"/>
      <w:r w:rsidR="00A251E5">
        <w:rPr>
          <w:rFonts w:hint="cs"/>
          <w:rtl/>
        </w:rPr>
        <w:t xml:space="preserve"> </w:t>
      </w:r>
      <w:r w:rsidR="00526EF6">
        <w:rPr>
          <w:rFonts w:hint="cs"/>
          <w:rtl/>
        </w:rPr>
        <w:t>כמו כן, החקיקה המרכזית שעוסקת בהפקעות בישראל קבעה תמיד זכות לפיצוי</w:t>
      </w:r>
      <w:r w:rsidR="00215B59">
        <w:rPr>
          <w:rFonts w:hint="cs"/>
          <w:rtl/>
        </w:rPr>
        <w:t>, גם אם חלקית ולא מלאה,</w:t>
      </w:r>
      <w:r w:rsidR="00526EF6">
        <w:rPr>
          <w:rFonts w:hint="cs"/>
          <w:rtl/>
        </w:rPr>
        <w:t xml:space="preserve"> בגין הפקעות ובגין פגיעות תכנוניות</w:t>
      </w:r>
      <w:r w:rsidR="00215B59">
        <w:rPr>
          <w:rFonts w:hint="cs"/>
          <w:rtl/>
        </w:rPr>
        <w:t>.</w:t>
      </w:r>
      <w:bookmarkStart w:id="20" w:name="_Ref518640772"/>
      <w:r w:rsidR="00526EF6">
        <w:rPr>
          <w:rStyle w:val="a5"/>
          <w:rtl/>
        </w:rPr>
        <w:footnoteReference w:id="80"/>
      </w:r>
      <w:bookmarkEnd w:id="20"/>
      <w:r w:rsidR="00526EF6">
        <w:rPr>
          <w:rFonts w:hint="cs"/>
          <w:rtl/>
        </w:rPr>
        <w:t xml:space="preserve"> חקיקתו </w:t>
      </w:r>
      <w:r w:rsidR="00A251E5">
        <w:rPr>
          <w:rFonts w:hint="cs"/>
          <w:rtl/>
        </w:rPr>
        <w:t xml:space="preserve">של </w:t>
      </w:r>
      <w:r w:rsidR="004F0269">
        <w:rPr>
          <w:rFonts w:hint="cs"/>
          <w:rtl/>
        </w:rPr>
        <w:t>ס' 3 ל</w:t>
      </w:r>
      <w:r w:rsidR="00A251E5">
        <w:rPr>
          <w:rFonts w:hint="cs"/>
          <w:rtl/>
        </w:rPr>
        <w:t>חוק יסוד: כבוד האדם וחירותו בשנת 1992 כי "אין פוגעים בקנינו של אדם" אלא בחוק</w:t>
      </w:r>
      <w:r>
        <w:rPr>
          <w:rFonts w:hint="cs"/>
          <w:rtl/>
        </w:rPr>
        <w:t>, חיזקה הכרה זאת</w:t>
      </w:r>
      <w:r w:rsidR="004F0269">
        <w:rPr>
          <w:rFonts w:hint="cs"/>
          <w:rtl/>
        </w:rPr>
        <w:t xml:space="preserve"> לכאורה</w:t>
      </w:r>
      <w:r>
        <w:rPr>
          <w:rFonts w:hint="cs"/>
          <w:rtl/>
        </w:rPr>
        <w:t>.</w:t>
      </w:r>
      <w:r w:rsidR="004F0269">
        <w:rPr>
          <w:rStyle w:val="a5"/>
          <w:rtl/>
        </w:rPr>
        <w:footnoteReference w:id="81"/>
      </w:r>
      <w:r>
        <w:rPr>
          <w:rFonts w:hint="cs"/>
          <w:rtl/>
        </w:rPr>
        <w:t xml:space="preserve"> </w:t>
      </w:r>
    </w:p>
    <w:p w:rsidR="004E7B4E" w:rsidRDefault="005960CC" w:rsidP="00875367">
      <w:pPr>
        <w:spacing w:line="480" w:lineRule="auto"/>
        <w:jc w:val="both"/>
        <w:rPr>
          <w:rtl/>
        </w:rPr>
      </w:pPr>
      <w:r>
        <w:rPr>
          <w:rFonts w:hint="cs"/>
          <w:rtl/>
        </w:rPr>
        <w:t>עם</w:t>
      </w:r>
      <w:r w:rsidR="003C5BB3">
        <w:rPr>
          <w:rFonts w:hint="cs"/>
          <w:rtl/>
        </w:rPr>
        <w:t xml:space="preserve"> </w:t>
      </w:r>
      <w:r w:rsidR="00A251E5">
        <w:rPr>
          <w:rFonts w:hint="cs"/>
          <w:rtl/>
        </w:rPr>
        <w:t>זאת,</w:t>
      </w:r>
      <w:r>
        <w:rPr>
          <w:rFonts w:hint="cs"/>
          <w:rtl/>
        </w:rPr>
        <w:t xml:space="preserve"> הסמכות של בתי המשפט לבצע ביקורת חוקתית של הפקעות ופגיעות תכנוניות במקרקעין הוגבלה מלכתחילה בסעיף שמירת הדינים בחוק היסוד (ס' 10), לפיו ה</w:t>
      </w:r>
      <w:r w:rsidR="00A251E5">
        <w:rPr>
          <w:rFonts w:hint="cs"/>
          <w:rtl/>
        </w:rPr>
        <w:t xml:space="preserve">חוק לא </w:t>
      </w:r>
      <w:r>
        <w:rPr>
          <w:rFonts w:hint="cs"/>
          <w:rtl/>
        </w:rPr>
        <w:t xml:space="preserve">יחול </w:t>
      </w:r>
      <w:r w:rsidR="00A251E5">
        <w:rPr>
          <w:rFonts w:hint="cs"/>
          <w:rtl/>
        </w:rPr>
        <w:t>על חקיקה שקדמה לכניסתו לתוקף</w:t>
      </w:r>
      <w:r>
        <w:rPr>
          <w:rFonts w:hint="cs"/>
          <w:rtl/>
        </w:rPr>
        <w:t>.</w:t>
      </w:r>
      <w:r w:rsidR="00A251E5">
        <w:rPr>
          <w:rFonts w:hint="cs"/>
          <w:rtl/>
        </w:rPr>
        <w:t xml:space="preserve"> </w:t>
      </w:r>
      <w:r>
        <w:rPr>
          <w:rFonts w:hint="cs"/>
          <w:rtl/>
        </w:rPr>
        <w:t xml:space="preserve">מגבלה זו מנעה מבית המשפט את הסמכות לבטל חוקים קודמים הפוגעים בקניין הפרטי. </w:t>
      </w:r>
      <w:r w:rsidR="00A251E5">
        <w:rPr>
          <w:rFonts w:hint="cs"/>
          <w:rtl/>
        </w:rPr>
        <w:t xml:space="preserve">עם זאת, </w:t>
      </w:r>
      <w:r w:rsidR="00141A1A">
        <w:rPr>
          <w:rFonts w:hint="cs"/>
          <w:rtl/>
        </w:rPr>
        <w:t xml:space="preserve">בית המשפט העליון אימץ את הגישה לפיה הוא בהחלט מוסמך לפרש </w:t>
      </w:r>
      <w:r>
        <w:rPr>
          <w:rFonts w:hint="cs"/>
          <w:rtl/>
        </w:rPr>
        <w:t xml:space="preserve">חוקים קודמים באופן שונה לאור </w:t>
      </w:r>
      <w:r w:rsidR="00141A1A">
        <w:rPr>
          <w:rFonts w:hint="cs"/>
          <w:rtl/>
        </w:rPr>
        <w:t xml:space="preserve">חוק היסוד. על פי גישה זו </w:t>
      </w:r>
      <w:r w:rsidR="00144D25">
        <w:rPr>
          <w:rFonts w:hint="cs"/>
          <w:rtl/>
        </w:rPr>
        <w:t xml:space="preserve">בית המשפט מוסמך לבצע </w:t>
      </w:r>
      <w:r w:rsidR="00141A1A">
        <w:rPr>
          <w:rFonts w:hint="cs"/>
          <w:rtl/>
        </w:rPr>
        <w:t xml:space="preserve">ביקורת שיפוטית </w:t>
      </w:r>
      <w:r w:rsidR="00144D25">
        <w:rPr>
          <w:rFonts w:hint="cs"/>
          <w:rtl/>
        </w:rPr>
        <w:t xml:space="preserve">חוקתית </w:t>
      </w:r>
      <w:r w:rsidR="00141A1A">
        <w:rPr>
          <w:rFonts w:hint="cs"/>
          <w:rtl/>
        </w:rPr>
        <w:t xml:space="preserve">של פעולות הנסמכות על חקיקה ישנה </w:t>
      </w:r>
      <w:r w:rsidR="00144D25">
        <w:rPr>
          <w:rFonts w:hint="cs"/>
          <w:rtl/>
        </w:rPr>
        <w:t xml:space="preserve">תוך פירוש חקיקה זו </w:t>
      </w:r>
      <w:r w:rsidR="00141A1A">
        <w:rPr>
          <w:rFonts w:hint="cs"/>
          <w:rtl/>
        </w:rPr>
        <w:t xml:space="preserve">באופן </w:t>
      </w:r>
      <w:r w:rsidR="00144D25">
        <w:rPr>
          <w:rFonts w:hint="cs"/>
          <w:rtl/>
        </w:rPr>
        <w:t xml:space="preserve">המסמיך רק פעולות </w:t>
      </w:r>
      <w:r w:rsidR="00141A1A">
        <w:rPr>
          <w:rFonts w:hint="cs"/>
          <w:rtl/>
        </w:rPr>
        <w:t>התוא</w:t>
      </w:r>
      <w:r w:rsidR="00144D25">
        <w:rPr>
          <w:rFonts w:hint="cs"/>
          <w:rtl/>
        </w:rPr>
        <w:t xml:space="preserve">מות </w:t>
      </w:r>
      <w:r w:rsidR="00141A1A">
        <w:rPr>
          <w:rFonts w:hint="cs"/>
          <w:rtl/>
        </w:rPr>
        <w:t>את מבחני חוק היסוד</w:t>
      </w:r>
      <w:r w:rsidR="00144D25">
        <w:rPr>
          <w:rFonts w:hint="cs"/>
          <w:rtl/>
        </w:rPr>
        <w:t>.</w:t>
      </w:r>
      <w:bookmarkStart w:id="21" w:name="_Ref518645762"/>
      <w:r w:rsidR="00A46AB6">
        <w:rPr>
          <w:rStyle w:val="a5"/>
          <w:rtl/>
        </w:rPr>
        <w:footnoteReference w:id="82"/>
      </w:r>
      <w:bookmarkEnd w:id="21"/>
      <w:r w:rsidR="00A46AB6">
        <w:rPr>
          <w:rStyle w:val="a5"/>
          <w:rFonts w:hint="cs"/>
          <w:rtl/>
        </w:rPr>
        <w:t xml:space="preserve"> </w:t>
      </w:r>
      <w:r w:rsidR="003C5BB3">
        <w:rPr>
          <w:rFonts w:hint="cs"/>
          <w:rtl/>
        </w:rPr>
        <w:t xml:space="preserve">על כן, למרות הסייגים, </w:t>
      </w:r>
      <w:r w:rsidR="00144D25">
        <w:rPr>
          <w:rFonts w:hint="cs"/>
          <w:rtl/>
        </w:rPr>
        <w:t>חקיקתו של חוק היסוד יצרה בקרב משפטנים וגם בקרב בעלי קרקעות ציפיות מרחיקות לכת ל"מהפכה" שתחזק את ההגנה על הקניין הפרטי במקרקעין יותר מזו שהייתה נהוגה לפני חוק היסוד.</w:t>
      </w:r>
      <w:bookmarkStart w:id="22" w:name="_Ref518643409"/>
      <w:r w:rsidR="00144D25">
        <w:rPr>
          <w:rStyle w:val="a5"/>
          <w:rtl/>
        </w:rPr>
        <w:footnoteReference w:id="83"/>
      </w:r>
      <w:bookmarkEnd w:id="22"/>
      <w:r w:rsidR="00144D25">
        <w:rPr>
          <w:rFonts w:hint="cs"/>
          <w:rtl/>
        </w:rPr>
        <w:t xml:space="preserve"> </w:t>
      </w:r>
      <w:r w:rsidR="00A46AB6">
        <w:rPr>
          <w:rFonts w:hint="cs"/>
          <w:rtl/>
        </w:rPr>
        <w:t>השינוי הפרשני בא לידי ביטוי גם ברטוריקה של בתי המשפט עצמם.</w:t>
      </w:r>
      <w:r w:rsidR="00A46AB6">
        <w:rPr>
          <w:rStyle w:val="a5"/>
          <w:rtl/>
        </w:rPr>
        <w:footnoteReference w:id="84"/>
      </w:r>
      <w:r w:rsidR="00A46AB6">
        <w:rPr>
          <w:rFonts w:hint="cs"/>
          <w:rtl/>
        </w:rPr>
        <w:t xml:space="preserve"> עם זאת, באופן מעשי הציפיות לשינוי וגם ההצהרות על התרחשותו היו מוגזמות. </w:t>
      </w:r>
      <w:r w:rsidR="004E7B4E">
        <w:rPr>
          <w:rFonts w:hint="cs"/>
          <w:rtl/>
        </w:rPr>
        <w:t xml:space="preserve">הנכונות לחולל שינוי בדיני ההפקעות והפגיעות במקרקעין הייתה מוגבלת. </w:t>
      </w:r>
      <w:r w:rsidR="00A46AB6">
        <w:rPr>
          <w:rFonts w:hint="cs"/>
          <w:rtl/>
        </w:rPr>
        <w:t>נדגים זאת להלן ב</w:t>
      </w:r>
      <w:r w:rsidR="004E7B4E">
        <w:rPr>
          <w:rFonts w:hint="cs"/>
          <w:rtl/>
        </w:rPr>
        <w:t xml:space="preserve">שני אפיקים </w:t>
      </w:r>
      <w:r w:rsidR="00144D25">
        <w:rPr>
          <w:rFonts w:hint="cs"/>
          <w:rtl/>
        </w:rPr>
        <w:t>מרכזיים של פגיעה במקרקעין</w:t>
      </w:r>
      <w:r w:rsidR="004E7B4E">
        <w:rPr>
          <w:rFonts w:hint="cs"/>
          <w:rtl/>
        </w:rPr>
        <w:t xml:space="preserve">: </w:t>
      </w:r>
      <w:r w:rsidR="00144D25">
        <w:rPr>
          <w:rFonts w:hint="cs"/>
          <w:rtl/>
        </w:rPr>
        <w:t>עצם הסמכות לבצע הפקע</w:t>
      </w:r>
      <w:r w:rsidR="00875367">
        <w:rPr>
          <w:rFonts w:hint="cs"/>
          <w:rtl/>
        </w:rPr>
        <w:t xml:space="preserve">ת </w:t>
      </w:r>
      <w:r w:rsidR="00144D25">
        <w:rPr>
          <w:rFonts w:hint="cs"/>
          <w:rtl/>
        </w:rPr>
        <w:t>מקרקעין</w:t>
      </w:r>
      <w:r w:rsidR="004E7B4E">
        <w:rPr>
          <w:rFonts w:hint="cs"/>
          <w:rtl/>
        </w:rPr>
        <w:t xml:space="preserve"> ו</w:t>
      </w:r>
      <w:r w:rsidR="00144D25">
        <w:rPr>
          <w:rFonts w:hint="cs"/>
          <w:rtl/>
        </w:rPr>
        <w:t xml:space="preserve">החובה לפצות פיצוי הוגן </w:t>
      </w:r>
      <w:r w:rsidR="003C5BB3">
        <w:rPr>
          <w:rFonts w:hint="cs"/>
          <w:rtl/>
        </w:rPr>
        <w:t>(</w:t>
      </w:r>
      <w:r w:rsidR="003C5BB3">
        <w:t>just compensation</w:t>
      </w:r>
      <w:r w:rsidR="003C5BB3">
        <w:rPr>
          <w:rFonts w:hint="cs"/>
          <w:rtl/>
        </w:rPr>
        <w:t xml:space="preserve">) </w:t>
      </w:r>
      <w:r w:rsidR="00144D25">
        <w:rPr>
          <w:rFonts w:hint="cs"/>
          <w:rtl/>
        </w:rPr>
        <w:t>על הפקעות ופגיעות במקרקעין.</w:t>
      </w:r>
      <w:r w:rsidR="004E7B4E">
        <w:rPr>
          <w:rFonts w:hint="cs"/>
          <w:rtl/>
        </w:rPr>
        <w:t xml:space="preserve"> </w:t>
      </w:r>
    </w:p>
    <w:p w:rsidR="00144D25" w:rsidRDefault="00144D25" w:rsidP="00875367">
      <w:pPr>
        <w:spacing w:line="480" w:lineRule="auto"/>
        <w:jc w:val="both"/>
        <w:rPr>
          <w:rtl/>
        </w:rPr>
      </w:pPr>
      <w:r>
        <w:rPr>
          <w:rFonts w:hint="cs"/>
          <w:rtl/>
        </w:rPr>
        <w:t xml:space="preserve">   אחד התחומים שבהם </w:t>
      </w:r>
      <w:r w:rsidR="003C5BB3">
        <w:rPr>
          <w:rFonts w:hint="cs"/>
          <w:rtl/>
        </w:rPr>
        <w:t xml:space="preserve">ניתן היה לצפות להרחבת הביקורת השיפוטית על דיני ההפקעות </w:t>
      </w:r>
      <w:r w:rsidR="004E7B4E">
        <w:rPr>
          <w:rFonts w:hint="cs"/>
          <w:rtl/>
        </w:rPr>
        <w:t xml:space="preserve">הוא מסגרת הסמכות להפקעה. </w:t>
      </w:r>
      <w:r>
        <w:rPr>
          <w:rFonts w:hint="cs"/>
          <w:rtl/>
        </w:rPr>
        <w:t>שני החוקים המרכזיים שעוסקים בהפקעות בישראל</w:t>
      </w:r>
      <w:r w:rsidR="004E7B4E">
        <w:rPr>
          <w:rFonts w:hint="cs"/>
          <w:rtl/>
        </w:rPr>
        <w:t xml:space="preserve">, פקודת הקרקעות משנת 1943 וחוק התכנון והבנייה משנת 1965, </w:t>
      </w:r>
      <w:r>
        <w:rPr>
          <w:rFonts w:hint="cs"/>
          <w:rtl/>
        </w:rPr>
        <w:t xml:space="preserve">מגדירים את המטרה המותרת להפקעה באמצעות המונח </w:t>
      </w:r>
      <w:r w:rsidR="004E7B4E">
        <w:rPr>
          <w:rFonts w:hint="cs"/>
          <w:rtl/>
        </w:rPr>
        <w:t xml:space="preserve">הרחב </w:t>
      </w:r>
      <w:r>
        <w:rPr>
          <w:rFonts w:hint="cs"/>
          <w:rtl/>
        </w:rPr>
        <w:t>"צורך ציבורי".</w:t>
      </w:r>
      <w:r w:rsidR="004E7B4E">
        <w:rPr>
          <w:rStyle w:val="a5"/>
          <w:rtl/>
        </w:rPr>
        <w:footnoteReference w:id="85"/>
      </w:r>
      <w:r>
        <w:rPr>
          <w:rFonts w:hint="cs"/>
          <w:rtl/>
        </w:rPr>
        <w:t xml:space="preserve"> מונח </w:t>
      </w:r>
      <w:r w:rsidR="003C5BB3">
        <w:rPr>
          <w:rFonts w:hint="cs"/>
          <w:rtl/>
        </w:rPr>
        <w:t xml:space="preserve">דומה </w:t>
      </w:r>
      <w:r>
        <w:rPr>
          <w:rFonts w:hint="cs"/>
          <w:rtl/>
        </w:rPr>
        <w:t>מוכר בחוקה האמריקאית (</w:t>
      </w:r>
      <w:r>
        <w:t>Public use</w:t>
      </w:r>
      <w:r>
        <w:rPr>
          <w:rFonts w:hint="cs"/>
          <w:rtl/>
        </w:rPr>
        <w:t>).</w:t>
      </w:r>
      <w:r w:rsidR="004E7B4E">
        <w:rPr>
          <w:rStyle w:val="a5"/>
          <w:rtl/>
        </w:rPr>
        <w:footnoteReference w:id="86"/>
      </w:r>
      <w:r>
        <w:rPr>
          <w:rFonts w:hint="cs"/>
          <w:rtl/>
        </w:rPr>
        <w:t xml:space="preserve"> מונח זה יכול להתפרש באופן מצומצם</w:t>
      </w:r>
      <w:r w:rsidR="003C5BB3">
        <w:rPr>
          <w:rFonts w:hint="cs"/>
          <w:rtl/>
        </w:rPr>
        <w:t>,</w:t>
      </w:r>
      <w:r>
        <w:rPr>
          <w:rFonts w:hint="cs"/>
          <w:rtl/>
        </w:rPr>
        <w:t xml:space="preserve"> כאילו הוא כולל רק שימוש של הציבור (</w:t>
      </w:r>
      <w:r>
        <w:t>use of the public</w:t>
      </w:r>
      <w:r>
        <w:rPr>
          <w:rFonts w:hint="cs"/>
          <w:rtl/>
        </w:rPr>
        <w:t>)</w:t>
      </w:r>
      <w:r w:rsidR="00875367">
        <w:rPr>
          <w:rFonts w:hint="cs"/>
          <w:rtl/>
        </w:rPr>
        <w:t>,</w:t>
      </w:r>
      <w:r>
        <w:rPr>
          <w:rFonts w:hint="cs"/>
          <w:rtl/>
        </w:rPr>
        <w:t xml:space="preserve"> וגם באופן רחב, קרי כל מטרה ציבורית (</w:t>
      </w:r>
      <w:r>
        <w:t>pubic purpose</w:t>
      </w:r>
      <w:r>
        <w:rPr>
          <w:rFonts w:hint="cs"/>
          <w:rtl/>
        </w:rPr>
        <w:t xml:space="preserve">). הפרשנות הצרה אינה מאפשרת להפקיע </w:t>
      </w:r>
      <w:r w:rsidR="003C5BB3">
        <w:rPr>
          <w:rFonts w:hint="cs"/>
          <w:rtl/>
        </w:rPr>
        <w:t>קרקעות לשם העברתן</w:t>
      </w:r>
      <w:r>
        <w:rPr>
          <w:rFonts w:hint="cs"/>
          <w:rtl/>
        </w:rPr>
        <w:t xml:space="preserve"> ל</w:t>
      </w:r>
      <w:r w:rsidR="003C5BB3">
        <w:rPr>
          <w:rFonts w:hint="cs"/>
          <w:rtl/>
        </w:rPr>
        <w:t>יישויות או אינדיבידואלים פרטיים</w:t>
      </w:r>
      <w:r>
        <w:rPr>
          <w:rFonts w:hint="cs"/>
          <w:rtl/>
        </w:rPr>
        <w:t xml:space="preserve"> בעוד שהפרשנות הרחבה מאפשרת הפקעתן גם </w:t>
      </w:r>
      <w:r w:rsidR="004E7B4E">
        <w:rPr>
          <w:rFonts w:hint="cs"/>
          <w:rtl/>
        </w:rPr>
        <w:t>לצורך העברתן</w:t>
      </w:r>
      <w:r>
        <w:rPr>
          <w:rFonts w:hint="cs"/>
          <w:rtl/>
        </w:rPr>
        <w:t xml:space="preserve"> ל</w:t>
      </w:r>
      <w:r w:rsidR="003C5BB3">
        <w:rPr>
          <w:rFonts w:hint="cs"/>
          <w:rtl/>
        </w:rPr>
        <w:t>יישויות או אינדיבידואלים פרטיים</w:t>
      </w:r>
      <w:r w:rsidR="004E7B4E">
        <w:rPr>
          <w:rFonts w:hint="cs"/>
          <w:rtl/>
        </w:rPr>
        <w:t xml:space="preserve">, כל עוד העברה זו תממש </w:t>
      </w:r>
      <w:r>
        <w:rPr>
          <w:rFonts w:hint="cs"/>
          <w:rtl/>
        </w:rPr>
        <w:t>את המטרה הציבורית</w:t>
      </w:r>
      <w:r w:rsidR="004E7B4E">
        <w:rPr>
          <w:rFonts w:hint="cs"/>
          <w:rtl/>
        </w:rPr>
        <w:t xml:space="preserve"> (</w:t>
      </w:r>
      <w:r w:rsidR="004E7B4E">
        <w:t>public purpose</w:t>
      </w:r>
      <w:r w:rsidR="004E7B4E">
        <w:rPr>
          <w:rFonts w:hint="cs"/>
          <w:rtl/>
        </w:rPr>
        <w:t>)</w:t>
      </w:r>
      <w:r>
        <w:rPr>
          <w:rFonts w:hint="cs"/>
          <w:rtl/>
        </w:rPr>
        <w:t xml:space="preserve">. בית המשפט העליון של ארצות הברית </w:t>
      </w:r>
      <w:r w:rsidR="004E7B4E">
        <w:rPr>
          <w:rFonts w:hint="cs"/>
          <w:rtl/>
        </w:rPr>
        <w:t>דן בשתי האפשרויות הפרשניות האלה והעדיף ברוב דעות את הפרשנו</w:t>
      </w:r>
      <w:r w:rsidR="009619E9">
        <w:rPr>
          <w:rFonts w:hint="cs"/>
          <w:rtl/>
        </w:rPr>
        <w:t>ת</w:t>
      </w:r>
      <w:r w:rsidR="004E7B4E">
        <w:rPr>
          <w:rFonts w:hint="cs"/>
          <w:rtl/>
        </w:rPr>
        <w:t xml:space="preserve"> הרחבה</w:t>
      </w:r>
      <w:r w:rsidR="003C5BB3">
        <w:rPr>
          <w:rFonts w:hint="cs"/>
          <w:rtl/>
        </w:rPr>
        <w:t>.</w:t>
      </w:r>
      <w:r w:rsidR="004E7B4E">
        <w:rPr>
          <w:rStyle w:val="a5"/>
          <w:rtl/>
        </w:rPr>
        <w:footnoteReference w:id="87"/>
      </w:r>
      <w:r>
        <w:rPr>
          <w:rFonts w:hint="cs"/>
          <w:rtl/>
        </w:rPr>
        <w:t xml:space="preserve"> </w:t>
      </w:r>
      <w:r w:rsidR="003C5BB3">
        <w:rPr>
          <w:rFonts w:hint="cs"/>
          <w:rtl/>
        </w:rPr>
        <w:t xml:space="preserve">זו גם גישת </w:t>
      </w:r>
      <w:r>
        <w:rPr>
          <w:rFonts w:hint="cs"/>
          <w:rtl/>
        </w:rPr>
        <w:t>גם בית המשפט העליון בישראל</w:t>
      </w:r>
      <w:r w:rsidR="003C5BB3">
        <w:rPr>
          <w:rFonts w:hint="cs"/>
          <w:rtl/>
        </w:rPr>
        <w:t>.</w:t>
      </w:r>
      <w:r>
        <w:rPr>
          <w:rFonts w:hint="cs"/>
          <w:rtl/>
        </w:rPr>
        <w:t xml:space="preserve"> רבות מן ההפקעות בישראל נעשו לטובת הקמת שכונות מגורים שנמסרו לפרטים. הטעם הציבורי להפקעה היה בדרך כלל פיצול של הקרקע בין בעלים פרטיים רבים</w:t>
      </w:r>
      <w:r w:rsidR="00875367">
        <w:rPr>
          <w:rFonts w:hint="cs"/>
          <w:rtl/>
        </w:rPr>
        <w:t>,</w:t>
      </w:r>
      <w:r>
        <w:rPr>
          <w:rFonts w:hint="cs"/>
          <w:rtl/>
        </w:rPr>
        <w:t xml:space="preserve"> שיצר ביניהם בעיות תיאום שמנעו פיתוח וחייבו הפקעה.</w:t>
      </w:r>
      <w:r>
        <w:rPr>
          <w:rStyle w:val="a5"/>
          <w:rtl/>
        </w:rPr>
        <w:footnoteReference w:id="88"/>
      </w:r>
      <w:r>
        <w:rPr>
          <w:rFonts w:hint="cs"/>
          <w:rtl/>
        </w:rPr>
        <w:t xml:space="preserve"> </w:t>
      </w:r>
      <w:r w:rsidR="003C5BB3">
        <w:rPr>
          <w:rFonts w:hint="cs"/>
          <w:rtl/>
        </w:rPr>
        <w:t xml:space="preserve">בעקבות חקיקת חוק יסוד: כבוד האדם וחירותו נעשה ניסיון לאתגר את הפרשנות הרחבה. </w:t>
      </w:r>
      <w:r>
        <w:rPr>
          <w:rFonts w:hint="cs"/>
          <w:rtl/>
        </w:rPr>
        <w:t xml:space="preserve">בפרשת </w:t>
      </w:r>
      <w:r w:rsidRPr="00144D25">
        <w:rPr>
          <w:rFonts w:hint="cs"/>
          <w:b/>
          <w:bCs/>
          <w:rtl/>
        </w:rPr>
        <w:t>נוסייבה</w:t>
      </w:r>
      <w:r>
        <w:rPr>
          <w:rFonts w:hint="cs"/>
          <w:rtl/>
        </w:rPr>
        <w:t xml:space="preserve"> טענו העותרים כי בעקבות חקיקת חוק היסוד והמבחנים שנקבעו בו, אין עוד מקום להפקיע קרקע למטרה </w:t>
      </w:r>
      <w:r w:rsidR="00755CD9">
        <w:rPr>
          <w:rFonts w:hint="cs"/>
          <w:rtl/>
        </w:rPr>
        <w:t xml:space="preserve">ציבורית </w:t>
      </w:r>
      <w:r>
        <w:rPr>
          <w:rFonts w:hint="cs"/>
          <w:rtl/>
        </w:rPr>
        <w:t>שהעותרים יכולים לבצע בכוחות עצמם.</w:t>
      </w:r>
      <w:r>
        <w:rPr>
          <w:rStyle w:val="a5"/>
          <w:rtl/>
        </w:rPr>
        <w:footnoteReference w:id="89"/>
      </w:r>
      <w:r>
        <w:rPr>
          <w:rFonts w:hint="cs"/>
          <w:rtl/>
        </w:rPr>
        <w:t xml:space="preserve">  מיעוט של שופטי בית המשפט העליון סבר כי לאור חוק היסוד אין עוד הצדקה להפקעת קרקעות עבור מטרה כזו וכי יש לתת לכוחות השוק לפתור את בעיית התיאום.</w:t>
      </w:r>
      <w:r w:rsidR="00755CD9">
        <w:rPr>
          <w:rStyle w:val="a5"/>
          <w:rtl/>
        </w:rPr>
        <w:footnoteReference w:id="90"/>
      </w:r>
      <w:r>
        <w:rPr>
          <w:rFonts w:hint="cs"/>
          <w:rtl/>
        </w:rPr>
        <w:t xml:space="preserve"> דעת הרוב</w:t>
      </w:r>
      <w:r w:rsidR="003C5BB3">
        <w:rPr>
          <w:rFonts w:hint="cs"/>
          <w:rtl/>
        </w:rPr>
        <w:t xml:space="preserve"> לעומת זאת</w:t>
      </w:r>
      <w:r>
        <w:rPr>
          <w:rFonts w:hint="cs"/>
          <w:rtl/>
        </w:rPr>
        <w:t xml:space="preserve"> סברה כי כשל השוק הטמון בבעיית התיאום בין בעלים רבים יוביל לעיכוב בלתי נסבל בביצוע מטרת ההפקעה ועל כן יש לאפשר הפקעות מעין אלה.</w:t>
      </w:r>
      <w:r>
        <w:rPr>
          <w:rStyle w:val="a5"/>
          <w:rtl/>
        </w:rPr>
        <w:footnoteReference w:id="91"/>
      </w:r>
      <w:r>
        <w:rPr>
          <w:rFonts w:hint="cs"/>
          <w:rtl/>
        </w:rPr>
        <w:t xml:space="preserve"> </w:t>
      </w:r>
      <w:r w:rsidR="00AD185A">
        <w:rPr>
          <w:rFonts w:hint="cs"/>
          <w:rtl/>
        </w:rPr>
        <w:t>בית המשפט דבק בגישה זו גם כאשר בעל</w:t>
      </w:r>
      <w:r w:rsidR="00875367">
        <w:rPr>
          <w:rFonts w:hint="cs"/>
          <w:rtl/>
        </w:rPr>
        <w:t>י</w:t>
      </w:r>
      <w:r w:rsidR="00AD185A">
        <w:rPr>
          <w:rFonts w:hint="cs"/>
          <w:rtl/>
        </w:rPr>
        <w:t xml:space="preserve"> הקרקע שבקשו לממש את המטרה המסחרית של ההפקעה בעצמם לא היו תושבים פלסטינים של מזרח ירושלים</w:t>
      </w:r>
      <w:r w:rsidR="00875367">
        <w:rPr>
          <w:rFonts w:hint="cs"/>
          <w:rtl/>
        </w:rPr>
        <w:t xml:space="preserve">, כפי שקרה בפרשת </w:t>
      </w:r>
      <w:r w:rsidR="00875367" w:rsidRPr="00875367">
        <w:rPr>
          <w:rFonts w:hint="cs"/>
          <w:b/>
          <w:bCs/>
          <w:rtl/>
        </w:rPr>
        <w:t>נוסייבה</w:t>
      </w:r>
      <w:r w:rsidR="00875367">
        <w:rPr>
          <w:rFonts w:hint="cs"/>
          <w:rtl/>
        </w:rPr>
        <w:t>,</w:t>
      </w:r>
      <w:r w:rsidR="00AD185A">
        <w:rPr>
          <w:rFonts w:hint="cs"/>
          <w:rtl/>
        </w:rPr>
        <w:t xml:space="preserve"> אלא איש עסקים ישראלי ו</w:t>
      </w:r>
      <w:r w:rsidR="00875367">
        <w:rPr>
          <w:rFonts w:hint="cs"/>
          <w:rtl/>
        </w:rPr>
        <w:t>אפילו הקרן הקיימת לישראל</w:t>
      </w:r>
      <w:r w:rsidR="00AD185A">
        <w:rPr>
          <w:rFonts w:hint="cs"/>
          <w:rtl/>
        </w:rPr>
        <w:t xml:space="preserve"> שהצהירו על רצונם לממש בעצמם פרויקט מסחרי בקרקע שהעיר</w:t>
      </w:r>
      <w:r w:rsidR="00875367">
        <w:rPr>
          <w:rFonts w:hint="cs"/>
          <w:rtl/>
        </w:rPr>
        <w:t>יי</w:t>
      </w:r>
      <w:r w:rsidR="00AD185A">
        <w:rPr>
          <w:rFonts w:hint="cs"/>
          <w:rtl/>
        </w:rPr>
        <w:t>ה הפקיעה בלב תל-אביב.</w:t>
      </w:r>
      <w:r w:rsidR="00AD185A">
        <w:rPr>
          <w:rStyle w:val="a5"/>
          <w:rtl/>
        </w:rPr>
        <w:footnoteReference w:id="92"/>
      </w:r>
      <w:r w:rsidR="00AD185A">
        <w:rPr>
          <w:rFonts w:hint="cs"/>
          <w:rtl/>
        </w:rPr>
        <w:t xml:space="preserve"> </w:t>
      </w:r>
      <w:r>
        <w:rPr>
          <w:rFonts w:hint="cs"/>
          <w:rtl/>
        </w:rPr>
        <w:t xml:space="preserve">יתרה מזאת, בתי המשפט סרבו לבטל הפקעות למטרה ציבורית גם כאשר מימוש המטרה הציבורית השתהה במשך </w:t>
      </w:r>
      <w:r w:rsidR="00B0680A">
        <w:rPr>
          <w:rFonts w:hint="cs"/>
          <w:rtl/>
        </w:rPr>
        <w:t xml:space="preserve">עשרות </w:t>
      </w:r>
      <w:r>
        <w:rPr>
          <w:rFonts w:hint="cs"/>
          <w:rtl/>
        </w:rPr>
        <w:t>שנים לאחר ההפקעה. שיהוי כזה מעיד לכאורה על כך שההפקעה אינה פתרון טוב יותר מאשר המתנה לכוחות השוק. ההגנה החוקתית לקניין הפרטי בחוק יסוד: כבוד האדם וחירותו לא שכנעה את בית המשפט כי יש מקום לחולל שינוי בגישה זאת.</w:t>
      </w:r>
      <w:r>
        <w:rPr>
          <w:rStyle w:val="a5"/>
          <w:rtl/>
        </w:rPr>
        <w:footnoteReference w:id="93"/>
      </w:r>
      <w:r>
        <w:rPr>
          <w:rFonts w:hint="cs"/>
          <w:rtl/>
        </w:rPr>
        <w:t xml:space="preserve"> </w:t>
      </w:r>
      <w:r w:rsidR="00BF031D">
        <w:rPr>
          <w:rFonts w:hint="cs"/>
          <w:rtl/>
        </w:rPr>
        <w:t xml:space="preserve">מי שחולל בסופו של דבר שינוי בתחום היה המחוקק כאשר קבע </w:t>
      </w:r>
      <w:r w:rsidR="003C5BB3">
        <w:rPr>
          <w:rFonts w:hint="cs"/>
          <w:rtl/>
        </w:rPr>
        <w:t xml:space="preserve">בשנת 2010 </w:t>
      </w:r>
      <w:r w:rsidR="00BF031D">
        <w:rPr>
          <w:rFonts w:hint="cs"/>
          <w:rtl/>
        </w:rPr>
        <w:t>חובה לקצוב מועד לביצוע הפקעות ו</w:t>
      </w:r>
      <w:r w:rsidR="003C5BB3">
        <w:rPr>
          <w:rFonts w:hint="cs"/>
          <w:rtl/>
        </w:rPr>
        <w:t xml:space="preserve">כן קבע </w:t>
      </w:r>
      <w:r w:rsidR="00BF031D">
        <w:rPr>
          <w:rFonts w:hint="cs"/>
          <w:rtl/>
        </w:rPr>
        <w:t>זכות להשיב</w:t>
      </w:r>
      <w:r w:rsidR="003C5BB3">
        <w:rPr>
          <w:rFonts w:hint="cs"/>
          <w:rtl/>
        </w:rPr>
        <w:t xml:space="preserve"> קרקע שהופקעה </w:t>
      </w:r>
      <w:r w:rsidR="00BF031D">
        <w:rPr>
          <w:rFonts w:hint="cs"/>
          <w:rtl/>
        </w:rPr>
        <w:t>במקרה ש</w:t>
      </w:r>
      <w:r w:rsidR="003C5BB3">
        <w:rPr>
          <w:rFonts w:hint="cs"/>
          <w:rtl/>
        </w:rPr>
        <w:t>מטרתה לא הוגשמה בתוך המועד שננקב.</w:t>
      </w:r>
      <w:bookmarkStart w:id="23" w:name="_Ref518648326"/>
      <w:r w:rsidR="003C5BB3">
        <w:rPr>
          <w:rStyle w:val="a5"/>
          <w:rtl/>
        </w:rPr>
        <w:footnoteReference w:id="94"/>
      </w:r>
      <w:bookmarkEnd w:id="23"/>
      <w:r w:rsidR="00BF031D">
        <w:rPr>
          <w:rFonts w:hint="cs"/>
          <w:rtl/>
        </w:rPr>
        <w:t xml:space="preserve"> </w:t>
      </w:r>
      <w:r w:rsidR="003C5BB3">
        <w:rPr>
          <w:rFonts w:hint="cs"/>
          <w:rtl/>
        </w:rPr>
        <w:t xml:space="preserve">עם זאת, </w:t>
      </w:r>
      <w:r w:rsidR="00BF031D">
        <w:rPr>
          <w:rFonts w:hint="cs"/>
          <w:rtl/>
        </w:rPr>
        <w:t>תיקון חקיקה זה לא הוחל רטרואקטיבית וגם אינו חל על ה</w:t>
      </w:r>
      <w:r w:rsidR="003C5BB3">
        <w:rPr>
          <w:rFonts w:hint="cs"/>
          <w:rtl/>
        </w:rPr>
        <w:t>פקעות לפי חוק התכנון והבנייה, שהוא ה</w:t>
      </w:r>
      <w:r w:rsidR="00BF031D">
        <w:rPr>
          <w:rFonts w:hint="cs"/>
          <w:rtl/>
        </w:rPr>
        <w:t xml:space="preserve">חוק המרכזי שעוסק </w:t>
      </w:r>
      <w:r w:rsidR="003C5BB3">
        <w:rPr>
          <w:rFonts w:hint="cs"/>
          <w:rtl/>
        </w:rPr>
        <w:t xml:space="preserve">כיום </w:t>
      </w:r>
      <w:r w:rsidR="00BF031D">
        <w:rPr>
          <w:rFonts w:hint="cs"/>
          <w:rtl/>
        </w:rPr>
        <w:t>בהפקעות בישראל</w:t>
      </w:r>
      <w:r w:rsidR="003C5BB3">
        <w:rPr>
          <w:rFonts w:hint="cs"/>
          <w:rtl/>
        </w:rPr>
        <w:t xml:space="preserve">. </w:t>
      </w:r>
      <w:r w:rsidR="00BF031D">
        <w:rPr>
          <w:rFonts w:hint="cs"/>
          <w:rtl/>
        </w:rPr>
        <w:t>הרלוונטיות של</w:t>
      </w:r>
      <w:r w:rsidR="003C5BB3">
        <w:rPr>
          <w:rFonts w:hint="cs"/>
          <w:rtl/>
        </w:rPr>
        <w:t xml:space="preserve"> התיקון </w:t>
      </w:r>
      <w:r w:rsidR="00BF031D">
        <w:rPr>
          <w:rFonts w:hint="cs"/>
          <w:rtl/>
        </w:rPr>
        <w:t xml:space="preserve">כיום היא מאוד מינורית. </w:t>
      </w:r>
      <w:r>
        <w:rPr>
          <w:rFonts w:hint="cs"/>
          <w:rtl/>
        </w:rPr>
        <w:t xml:space="preserve"> </w:t>
      </w:r>
    </w:p>
    <w:p w:rsidR="00573BE3" w:rsidRDefault="00144D25" w:rsidP="00E320DE">
      <w:pPr>
        <w:spacing w:line="480" w:lineRule="auto"/>
        <w:jc w:val="both"/>
        <w:rPr>
          <w:rtl/>
        </w:rPr>
      </w:pPr>
      <w:r>
        <w:rPr>
          <w:rFonts w:hint="cs"/>
          <w:rtl/>
        </w:rPr>
        <w:t xml:space="preserve">    שינ</w:t>
      </w:r>
      <w:r w:rsidR="00BF031D">
        <w:rPr>
          <w:rFonts w:hint="cs"/>
          <w:rtl/>
        </w:rPr>
        <w:t>ו</w:t>
      </w:r>
      <w:r>
        <w:rPr>
          <w:rFonts w:hint="cs"/>
          <w:rtl/>
        </w:rPr>
        <w:t xml:space="preserve">י מרחיק לכת נוסף שניתן היה לחולל באמצעות פרשנות </w:t>
      </w:r>
      <w:r w:rsidR="003C5BB3">
        <w:rPr>
          <w:rFonts w:hint="cs"/>
          <w:rtl/>
        </w:rPr>
        <w:t xml:space="preserve">דיני ההפקעות </w:t>
      </w:r>
      <w:r>
        <w:rPr>
          <w:rFonts w:hint="cs"/>
          <w:rtl/>
        </w:rPr>
        <w:t xml:space="preserve">התייחס למקרים שבהם הצורך הציבורי שלשמו בוצעה ההפקעה פקע או מומש והקרקע לא נחוצה עוד לצורך ציבורי. בפרשת </w:t>
      </w:r>
      <w:r w:rsidRPr="00144D25">
        <w:rPr>
          <w:rFonts w:hint="cs"/>
          <w:b/>
          <w:bCs/>
          <w:rtl/>
        </w:rPr>
        <w:t>קרסיק</w:t>
      </w:r>
      <w:r>
        <w:rPr>
          <w:rFonts w:hint="cs"/>
          <w:rtl/>
        </w:rPr>
        <w:t xml:space="preserve"> חולל בית המשפט לכאורה מהפכה כאשר פסק כי</w:t>
      </w:r>
      <w:r w:rsidR="00875367">
        <w:rPr>
          <w:rFonts w:hint="cs"/>
          <w:rtl/>
        </w:rPr>
        <w:t>,</w:t>
      </w:r>
      <w:r>
        <w:rPr>
          <w:rFonts w:hint="cs"/>
          <w:rtl/>
        </w:rPr>
        <w:t xml:space="preserve"> באופן עקרוני</w:t>
      </w:r>
      <w:r w:rsidR="00875367">
        <w:rPr>
          <w:rFonts w:hint="cs"/>
          <w:rtl/>
        </w:rPr>
        <w:t>,</w:t>
      </w:r>
      <w:r>
        <w:rPr>
          <w:rFonts w:hint="cs"/>
          <w:rtl/>
        </w:rPr>
        <w:t xml:space="preserve"> כאשר פוקעת מטרת ההפקעה יש להשיב את הקרקע לבעליה המקוריים. הוא בסס זאת על פרשנות יצירתית של הסמכות להפקיע ל"צורך ציבורי" לפיה </w:t>
      </w:r>
      <w:r w:rsidR="00BF031D">
        <w:rPr>
          <w:rFonts w:hint="cs"/>
          <w:rtl/>
        </w:rPr>
        <w:t>זו</w:t>
      </w:r>
      <w:r>
        <w:rPr>
          <w:rFonts w:hint="cs"/>
          <w:rtl/>
        </w:rPr>
        <w:t xml:space="preserve"> סמכות נמשכת </w:t>
      </w:r>
      <w:r w:rsidR="003C5BB3">
        <w:rPr>
          <w:rFonts w:hint="cs"/>
          <w:rtl/>
        </w:rPr>
        <w:t>הפוקעת כאשר חדל הצורך הציבורי בקרקע שהופקעה.</w:t>
      </w:r>
      <w:r>
        <w:rPr>
          <w:rStyle w:val="a5"/>
          <w:rtl/>
        </w:rPr>
        <w:footnoteReference w:id="95"/>
      </w:r>
      <w:r>
        <w:rPr>
          <w:rFonts w:hint="cs"/>
          <w:rtl/>
        </w:rPr>
        <w:t xml:space="preserve"> עם זאת, הפרשנות האקטיביסטית של בית המשפט </w:t>
      </w:r>
      <w:r w:rsidR="00BF031D">
        <w:rPr>
          <w:rFonts w:hint="cs"/>
          <w:rtl/>
        </w:rPr>
        <w:t xml:space="preserve">נותרה במישור העקרוני </w:t>
      </w:r>
      <w:r w:rsidR="003C5BB3">
        <w:rPr>
          <w:rFonts w:hint="cs"/>
          <w:rtl/>
        </w:rPr>
        <w:t xml:space="preserve">בלבד. </w:t>
      </w:r>
      <w:r w:rsidR="00BF031D">
        <w:rPr>
          <w:rFonts w:hint="cs"/>
          <w:rtl/>
        </w:rPr>
        <w:t xml:space="preserve">בית המשפט לא היה מוכן לפסוק לפיה </w:t>
      </w:r>
      <w:r w:rsidR="003C5BB3">
        <w:rPr>
          <w:rFonts w:hint="cs"/>
          <w:rtl/>
        </w:rPr>
        <w:t xml:space="preserve">באופן מעשי </w:t>
      </w:r>
      <w:r w:rsidR="00BF031D">
        <w:rPr>
          <w:rFonts w:hint="cs"/>
          <w:rtl/>
        </w:rPr>
        <w:t xml:space="preserve">ולהשיב מקרקעין שהופקעו לבעליהם. תחת זאת הוא הורה למחוקק לרקוח את פרטי ההסדר. </w:t>
      </w:r>
      <w:r w:rsidR="003C5BB3">
        <w:rPr>
          <w:rFonts w:hint="cs"/>
          <w:rtl/>
        </w:rPr>
        <w:t>המחוקק מ</w:t>
      </w:r>
      <w:r w:rsidR="00BF031D">
        <w:rPr>
          <w:rFonts w:hint="cs"/>
          <w:rtl/>
        </w:rPr>
        <w:t xml:space="preserve">צדו שקד על הצעת חקיקה שסיכלה כמעט לחלוטין את הקביעה העקרונית של בית המשפט. היא קבעה כי זכות ההשבה לא תחול על הפקעות שבוצעו בעבר אלא רק על הפקעות שתבוצענה בעתיד וכאשר תחול </w:t>
      </w:r>
      <w:r w:rsidR="00BF031D">
        <w:rPr>
          <w:rtl/>
        </w:rPr>
        <w:t>–</w:t>
      </w:r>
      <w:r w:rsidR="00BF031D">
        <w:rPr>
          <w:rFonts w:hint="cs"/>
          <w:rtl/>
        </w:rPr>
        <w:t xml:space="preserve"> היא תקנה לבעל</w:t>
      </w:r>
      <w:r w:rsidR="003C5BB3">
        <w:rPr>
          <w:rFonts w:hint="cs"/>
          <w:rtl/>
        </w:rPr>
        <w:t>י</w:t>
      </w:r>
      <w:r w:rsidR="00BF031D">
        <w:rPr>
          <w:rFonts w:hint="cs"/>
          <w:rtl/>
        </w:rPr>
        <w:t>ם המקורי רק זכות קדימה לרכוש את המקרקעין שלו בשווי שוק.</w:t>
      </w:r>
      <w:r w:rsidR="00BF031D">
        <w:rPr>
          <w:rStyle w:val="a5"/>
          <w:rtl/>
        </w:rPr>
        <w:footnoteReference w:id="96"/>
      </w:r>
      <w:r w:rsidR="00BF031D">
        <w:rPr>
          <w:rFonts w:hint="cs"/>
          <w:rtl/>
        </w:rPr>
        <w:t xml:space="preserve"> בית המשפט העליון לא עמד בשום שלב על העיקרון שהתווה ואף אישר את חוקתיותו של החוק שסיכל אותו.</w:t>
      </w:r>
      <w:r w:rsidR="00BF031D">
        <w:rPr>
          <w:rStyle w:val="a5"/>
          <w:rtl/>
        </w:rPr>
        <w:footnoteReference w:id="97"/>
      </w:r>
      <w:r w:rsidR="00BF031D">
        <w:rPr>
          <w:rFonts w:hint="cs"/>
          <w:rtl/>
        </w:rPr>
        <w:t xml:space="preserve"> נראה אפוא כי </w:t>
      </w:r>
      <w:r w:rsidR="003C5BB3">
        <w:rPr>
          <w:rFonts w:hint="cs"/>
          <w:rtl/>
        </w:rPr>
        <w:t xml:space="preserve">באפיק של ביקורת על עצם ביצוע הפקעות </w:t>
      </w:r>
      <w:r w:rsidR="00BF031D">
        <w:rPr>
          <w:rFonts w:hint="cs"/>
          <w:rtl/>
        </w:rPr>
        <w:t>בית המ</w:t>
      </w:r>
      <w:r w:rsidR="00745B9E">
        <w:rPr>
          <w:rFonts w:hint="cs"/>
          <w:rtl/>
        </w:rPr>
        <w:t>ש</w:t>
      </w:r>
      <w:r w:rsidR="00BF031D">
        <w:rPr>
          <w:rFonts w:hint="cs"/>
          <w:rtl/>
        </w:rPr>
        <w:t>פט ה</w:t>
      </w:r>
      <w:r w:rsidR="00745B9E">
        <w:rPr>
          <w:rFonts w:hint="cs"/>
          <w:rtl/>
        </w:rPr>
        <w:t>ע</w:t>
      </w:r>
      <w:r w:rsidR="00BF031D">
        <w:rPr>
          <w:rFonts w:hint="cs"/>
          <w:rtl/>
        </w:rPr>
        <w:t xml:space="preserve">ליון בישראל </w:t>
      </w:r>
      <w:r w:rsidR="00573BE3">
        <w:rPr>
          <w:rFonts w:hint="cs"/>
          <w:rtl/>
        </w:rPr>
        <w:t xml:space="preserve">היה מאוד זהיר, אם לא שמרני, ביחסו למהפכה החוקתית. </w:t>
      </w:r>
    </w:p>
    <w:p w:rsidR="00745B9E" w:rsidRDefault="00573BE3" w:rsidP="00E320DE">
      <w:pPr>
        <w:spacing w:line="480" w:lineRule="auto"/>
        <w:jc w:val="both"/>
        <w:rPr>
          <w:rtl/>
        </w:rPr>
      </w:pPr>
      <w:r>
        <w:rPr>
          <w:rFonts w:hint="cs"/>
          <w:rtl/>
        </w:rPr>
        <w:t xml:space="preserve">   לעומת זאת, בית המשפט הפגין יותר אקטיביזם שיפוטי </w:t>
      </w:r>
      <w:r w:rsidR="00BF031D">
        <w:rPr>
          <w:rFonts w:hint="cs"/>
          <w:rtl/>
        </w:rPr>
        <w:t xml:space="preserve">באפיק של </w:t>
      </w:r>
      <w:r w:rsidR="00745B9E">
        <w:rPr>
          <w:rFonts w:hint="cs"/>
          <w:rtl/>
        </w:rPr>
        <w:t>ביק</w:t>
      </w:r>
      <w:r>
        <w:rPr>
          <w:rFonts w:hint="cs"/>
          <w:rtl/>
        </w:rPr>
        <w:t>ו</w:t>
      </w:r>
      <w:r w:rsidR="00745B9E">
        <w:rPr>
          <w:rFonts w:hint="cs"/>
          <w:rtl/>
        </w:rPr>
        <w:t xml:space="preserve">רת </w:t>
      </w:r>
      <w:r>
        <w:rPr>
          <w:rFonts w:hint="cs"/>
          <w:rtl/>
        </w:rPr>
        <w:t xml:space="preserve">חוקתית </w:t>
      </w:r>
      <w:r w:rsidR="00745B9E">
        <w:rPr>
          <w:rFonts w:hint="cs"/>
          <w:rtl/>
        </w:rPr>
        <w:t xml:space="preserve">על היקף הפיצויים </w:t>
      </w:r>
      <w:r>
        <w:rPr>
          <w:rFonts w:hint="cs"/>
          <w:rtl/>
        </w:rPr>
        <w:t xml:space="preserve">שיש לשלם </w:t>
      </w:r>
      <w:r w:rsidR="00745B9E">
        <w:rPr>
          <w:rFonts w:hint="cs"/>
          <w:rtl/>
        </w:rPr>
        <w:t xml:space="preserve">על הפקעה או פגיעה במקרקעין. </w:t>
      </w:r>
      <w:r w:rsidR="00BF031D">
        <w:rPr>
          <w:rFonts w:hint="cs"/>
          <w:rtl/>
        </w:rPr>
        <w:t>כ</w:t>
      </w:r>
      <w:r>
        <w:rPr>
          <w:rFonts w:hint="cs"/>
          <w:rtl/>
        </w:rPr>
        <w:t xml:space="preserve">זכור </w:t>
      </w:r>
      <w:r w:rsidR="00BF031D">
        <w:rPr>
          <w:rFonts w:hint="cs"/>
          <w:rtl/>
        </w:rPr>
        <w:t xml:space="preserve">שני החוקים המרכזיים שמאפשרים למדינה ולרשות מקומית לבצע הפקעות מקרקעין קבעו עוד לפני חוק היסוד כי יש לפצות על הפקעות. חוק התכנון והבנייה </w:t>
      </w:r>
      <w:r w:rsidR="00745B9E">
        <w:rPr>
          <w:rFonts w:hint="cs"/>
          <w:rtl/>
        </w:rPr>
        <w:t xml:space="preserve">הקנה גם זכות לתביעה בגין </w:t>
      </w:r>
      <w:r w:rsidR="00BF031D">
        <w:rPr>
          <w:rFonts w:hint="cs"/>
          <w:rtl/>
        </w:rPr>
        <w:t>פגיעות במקרקעין על ידי תכניות מתאר מקומיות</w:t>
      </w:r>
      <w:r w:rsidR="00745B9E">
        <w:rPr>
          <w:rFonts w:hint="cs"/>
          <w:rtl/>
        </w:rPr>
        <w:t>.</w:t>
      </w:r>
      <w:r w:rsidR="00745B9E">
        <w:rPr>
          <w:rStyle w:val="a5"/>
          <w:rtl/>
        </w:rPr>
        <w:footnoteReference w:id="98"/>
      </w:r>
      <w:r w:rsidR="00BF031D">
        <w:rPr>
          <w:rFonts w:hint="cs"/>
          <w:rtl/>
        </w:rPr>
        <w:t xml:space="preserve"> עם זאת </w:t>
      </w:r>
      <w:r w:rsidR="00745B9E">
        <w:rPr>
          <w:rFonts w:hint="cs"/>
          <w:rtl/>
        </w:rPr>
        <w:t xml:space="preserve">חוקים אלה כללו סעיפים שונים שפטרו את הרשויות מלשלם פיצוי מלא בגין הפקעה וחייבו אותן </w:t>
      </w:r>
      <w:r w:rsidR="00E320DE">
        <w:rPr>
          <w:rFonts w:hint="cs"/>
          <w:rtl/>
        </w:rPr>
        <w:t>ל</w:t>
      </w:r>
      <w:r w:rsidR="00745B9E">
        <w:rPr>
          <w:rFonts w:hint="cs"/>
          <w:rtl/>
        </w:rPr>
        <w:t xml:space="preserve">שלם רק פיצוי חלקי. היקף הפטור מפיצוי נע בין </w:t>
      </w:r>
      <w:r w:rsidR="00BF031D">
        <w:rPr>
          <w:rFonts w:hint="cs"/>
          <w:rtl/>
        </w:rPr>
        <w:t xml:space="preserve">25% </w:t>
      </w:r>
      <w:r w:rsidR="00745B9E">
        <w:rPr>
          <w:rFonts w:hint="cs"/>
          <w:rtl/>
        </w:rPr>
        <w:t>ברמה הארצית ל-</w:t>
      </w:r>
      <w:r w:rsidR="00BF031D">
        <w:rPr>
          <w:rFonts w:hint="cs"/>
          <w:rtl/>
        </w:rPr>
        <w:t>40%</w:t>
      </w:r>
      <w:r w:rsidR="00745B9E">
        <w:rPr>
          <w:rFonts w:hint="cs"/>
          <w:rtl/>
        </w:rPr>
        <w:t xml:space="preserve"> ברמה המקומית</w:t>
      </w:r>
      <w:r w:rsidR="00BF031D">
        <w:rPr>
          <w:rFonts w:hint="cs"/>
          <w:rtl/>
        </w:rPr>
        <w:t>.</w:t>
      </w:r>
      <w:r w:rsidR="00745B9E">
        <w:rPr>
          <w:rStyle w:val="a5"/>
          <w:rtl/>
        </w:rPr>
        <w:footnoteReference w:id="99"/>
      </w:r>
      <w:r w:rsidR="00BF031D">
        <w:rPr>
          <w:rFonts w:hint="cs"/>
          <w:rtl/>
        </w:rPr>
        <w:t xml:space="preserve"> </w:t>
      </w:r>
      <w:r w:rsidR="00745B9E">
        <w:rPr>
          <w:rFonts w:hint="cs"/>
          <w:rtl/>
        </w:rPr>
        <w:t>הפטור על פגיעות תכנוניות ניתן על פגיעה ש"אינה עולה על הסביר".</w:t>
      </w:r>
      <w:bookmarkStart w:id="24" w:name="_Ref518654781"/>
      <w:r w:rsidR="00745B9E">
        <w:rPr>
          <w:rStyle w:val="a5"/>
          <w:rtl/>
        </w:rPr>
        <w:footnoteReference w:id="100"/>
      </w:r>
      <w:bookmarkEnd w:id="24"/>
      <w:r w:rsidR="00745B9E">
        <w:rPr>
          <w:rFonts w:hint="cs"/>
          <w:rtl/>
        </w:rPr>
        <w:t xml:space="preserve"> בעבר פרש בית המשפט העליון את הפטור מפיצוי כסוג של מס המוטל על בעלי מקרקעין. על כן פסק כי ניתן להפקיע </w:t>
      </w:r>
      <w:r w:rsidR="00E320DE">
        <w:rPr>
          <w:rFonts w:hint="cs"/>
          <w:rtl/>
        </w:rPr>
        <w:t xml:space="preserve">קרקע </w:t>
      </w:r>
      <w:r w:rsidR="00745B9E">
        <w:rPr>
          <w:rFonts w:hint="cs"/>
          <w:rtl/>
        </w:rPr>
        <w:t xml:space="preserve">ללא פיצוי גם כאשר </w:t>
      </w:r>
      <w:r w:rsidR="00E320DE">
        <w:rPr>
          <w:rFonts w:hint="cs"/>
          <w:rtl/>
        </w:rPr>
        <w:t xml:space="preserve">ההפרעה אינה משביחה את יתרת </w:t>
      </w:r>
      <w:r w:rsidR="00745B9E">
        <w:rPr>
          <w:rFonts w:hint="cs"/>
          <w:rtl/>
        </w:rPr>
        <w:t>הקרקע הנותרת בידי הבעלים ואפילו אם מפקיעים את הקרקע במלואה</w:t>
      </w:r>
      <w:r w:rsidR="00E320DE">
        <w:rPr>
          <w:rFonts w:hint="cs"/>
          <w:rtl/>
        </w:rPr>
        <w:t xml:space="preserve"> מבלי להותיר לבעלים חלקת מקרקעין כלשהיא</w:t>
      </w:r>
      <w:r w:rsidR="00745B9E">
        <w:rPr>
          <w:rFonts w:hint="cs"/>
          <w:rtl/>
        </w:rPr>
        <w:t>.</w:t>
      </w:r>
      <w:r w:rsidR="00745B9E">
        <w:rPr>
          <w:rStyle w:val="a5"/>
          <w:rtl/>
        </w:rPr>
        <w:footnoteReference w:id="101"/>
      </w:r>
      <w:r w:rsidR="00745B9E">
        <w:rPr>
          <w:rFonts w:hint="cs"/>
          <w:rtl/>
        </w:rPr>
        <w:t xml:space="preserve"> עם חקיקת חוק היסוד </w:t>
      </w:r>
      <w:r w:rsidR="00E320DE">
        <w:rPr>
          <w:rFonts w:hint="cs"/>
          <w:rtl/>
        </w:rPr>
        <w:t xml:space="preserve">שינה בית המשפט את פרשנותו לחקיקה זאת. </w:t>
      </w:r>
      <w:r w:rsidR="00745B9E">
        <w:rPr>
          <w:rFonts w:hint="cs"/>
          <w:rtl/>
        </w:rPr>
        <w:t>זה היה התיקון מרח</w:t>
      </w:r>
      <w:r w:rsidR="00E87D40">
        <w:rPr>
          <w:rFonts w:hint="cs"/>
          <w:rtl/>
        </w:rPr>
        <w:t>יק</w:t>
      </w:r>
      <w:r w:rsidR="00745B9E">
        <w:rPr>
          <w:rFonts w:hint="cs"/>
          <w:rtl/>
        </w:rPr>
        <w:t xml:space="preserve"> הלכת ביותר בתחום ההפקעות, אף כי גם הוא היה מתון ממה שניתן היה לצפות מ"מהפכה חוקתית". בפרשת </w:t>
      </w:r>
      <w:r w:rsidR="00745B9E" w:rsidRPr="00745B9E">
        <w:rPr>
          <w:rFonts w:hint="cs"/>
          <w:b/>
          <w:bCs/>
          <w:rtl/>
        </w:rPr>
        <w:t>הולצמן</w:t>
      </w:r>
      <w:r w:rsidR="00745B9E">
        <w:rPr>
          <w:rFonts w:hint="cs"/>
          <w:rtl/>
        </w:rPr>
        <w:t xml:space="preserve"> פסק </w:t>
      </w:r>
      <w:r w:rsidR="00E87D40">
        <w:rPr>
          <w:rFonts w:hint="cs"/>
          <w:rtl/>
        </w:rPr>
        <w:t>בית המ</w:t>
      </w:r>
      <w:r w:rsidR="00047B6D">
        <w:rPr>
          <w:rFonts w:hint="cs"/>
          <w:rtl/>
        </w:rPr>
        <w:t>ש</w:t>
      </w:r>
      <w:r w:rsidR="00E87D40">
        <w:rPr>
          <w:rFonts w:hint="cs"/>
          <w:rtl/>
        </w:rPr>
        <w:t xml:space="preserve">פט העליון </w:t>
      </w:r>
      <w:r w:rsidR="00745B9E">
        <w:rPr>
          <w:rFonts w:hint="cs"/>
          <w:rtl/>
        </w:rPr>
        <w:t>כי כאשר מפקיעים חלקה במלואה מבלי להותיר לבעלים דבר, יש לשלם לבעלים פיצוי מלא ואין לגבות ממנו את המס הגלום בפטור החוקי מפיצוי.</w:t>
      </w:r>
      <w:r w:rsidR="00745B9E">
        <w:rPr>
          <w:rStyle w:val="a5"/>
          <w:rtl/>
        </w:rPr>
        <w:footnoteReference w:id="102"/>
      </w:r>
      <w:r w:rsidR="00745B9E">
        <w:rPr>
          <w:rFonts w:hint="cs"/>
          <w:rtl/>
        </w:rPr>
        <w:t xml:space="preserve"> עם זאת, </w:t>
      </w:r>
      <w:r w:rsidR="00047B6D">
        <w:rPr>
          <w:rFonts w:hint="cs"/>
          <w:rtl/>
        </w:rPr>
        <w:t>בית המשפט היה פחות ברור בגישתו לפטור מפיצוי במקרים שבהם הפקיעה הרשות רק</w:t>
      </w:r>
      <w:r w:rsidR="00745B9E">
        <w:rPr>
          <w:rFonts w:hint="cs"/>
          <w:rtl/>
        </w:rPr>
        <w:t xml:space="preserve"> חלק ממקרקעין</w:t>
      </w:r>
      <w:r w:rsidR="00E320DE">
        <w:rPr>
          <w:rFonts w:hint="cs"/>
          <w:rtl/>
        </w:rPr>
        <w:t>,</w:t>
      </w:r>
      <w:r w:rsidR="00047B6D">
        <w:rPr>
          <w:rFonts w:hint="cs"/>
          <w:rtl/>
        </w:rPr>
        <w:t xml:space="preserve"> אך </w:t>
      </w:r>
      <w:r w:rsidR="00745B9E">
        <w:rPr>
          <w:rFonts w:hint="cs"/>
          <w:rtl/>
        </w:rPr>
        <w:t>ההפקעה לא השביחה את החלק שנותר בידי</w:t>
      </w:r>
      <w:r w:rsidR="00E320DE">
        <w:rPr>
          <w:rFonts w:hint="cs"/>
          <w:rtl/>
        </w:rPr>
        <w:t xml:space="preserve"> הבעלים</w:t>
      </w:r>
      <w:r w:rsidR="00047B6D">
        <w:rPr>
          <w:rFonts w:hint="cs"/>
          <w:rtl/>
        </w:rPr>
        <w:t>.</w:t>
      </w:r>
      <w:r w:rsidR="00745B9E">
        <w:rPr>
          <w:rFonts w:hint="cs"/>
          <w:rtl/>
        </w:rPr>
        <w:t xml:space="preserve"> בעוד ש</w:t>
      </w:r>
      <w:r w:rsidR="00047B6D">
        <w:rPr>
          <w:rFonts w:hint="cs"/>
          <w:rtl/>
        </w:rPr>
        <w:t>השופטת דורנר ת</w:t>
      </w:r>
      <w:r w:rsidR="00745B9E">
        <w:rPr>
          <w:rFonts w:hint="cs"/>
          <w:rtl/>
        </w:rPr>
        <w:t>מכ</w:t>
      </w:r>
      <w:r w:rsidR="00047B6D">
        <w:rPr>
          <w:rFonts w:hint="cs"/>
          <w:rtl/>
        </w:rPr>
        <w:t>ה</w:t>
      </w:r>
      <w:r w:rsidR="00745B9E">
        <w:rPr>
          <w:rFonts w:hint="cs"/>
          <w:rtl/>
        </w:rPr>
        <w:t xml:space="preserve"> </w:t>
      </w:r>
      <w:r w:rsidR="00047B6D">
        <w:rPr>
          <w:rFonts w:hint="cs"/>
          <w:rtl/>
        </w:rPr>
        <w:t xml:space="preserve">עקרונית </w:t>
      </w:r>
      <w:r w:rsidR="00745B9E">
        <w:rPr>
          <w:rFonts w:hint="cs"/>
          <w:rtl/>
        </w:rPr>
        <w:t xml:space="preserve">בביטול הפטור </w:t>
      </w:r>
      <w:r w:rsidR="00E320DE">
        <w:rPr>
          <w:rFonts w:hint="cs"/>
          <w:rtl/>
        </w:rPr>
        <w:t xml:space="preserve">מפיצוי </w:t>
      </w:r>
      <w:r w:rsidR="00745B9E">
        <w:rPr>
          <w:rFonts w:hint="cs"/>
          <w:rtl/>
        </w:rPr>
        <w:t>גם במקרה זה, הנשיא ברק הציע שלא לבטלו בשל ההשקפה כי לצד הגנת הקניין הפרטי מוטלת על בעלי הקרקע גם "אחריות חברתית". הפטור מפיצוי עשוי לבטא אחריות זו. את הקביעה באילו מקרים מבטא הפטור את האחריות ובאילו לא הותיר ברק, באופן אופייני, לשיקול דעתם של בתי המשפט בעתיד.</w:t>
      </w:r>
      <w:r w:rsidR="00745B9E">
        <w:rPr>
          <w:rStyle w:val="a5"/>
          <w:rtl/>
        </w:rPr>
        <w:footnoteReference w:id="103"/>
      </w:r>
      <w:r w:rsidR="00745B9E">
        <w:rPr>
          <w:rFonts w:hint="cs"/>
          <w:rtl/>
        </w:rPr>
        <w:t xml:space="preserve">  </w:t>
      </w:r>
      <w:r w:rsidR="007C6A22">
        <w:rPr>
          <w:rFonts w:hint="cs"/>
          <w:rtl/>
        </w:rPr>
        <w:t xml:space="preserve">כעבור שנים אחדות ולאחר פרישתו של ברק פסק בית המשפט העליון </w:t>
      </w:r>
      <w:r w:rsidR="00851590">
        <w:rPr>
          <w:rFonts w:hint="cs"/>
          <w:rtl/>
        </w:rPr>
        <w:t xml:space="preserve">בפרשת </w:t>
      </w:r>
      <w:r w:rsidR="00851590" w:rsidRPr="00851590">
        <w:rPr>
          <w:rFonts w:hint="cs"/>
          <w:b/>
          <w:bCs/>
          <w:rtl/>
        </w:rPr>
        <w:t>רוטמן</w:t>
      </w:r>
      <w:r w:rsidR="00851590">
        <w:rPr>
          <w:rFonts w:hint="cs"/>
          <w:rtl/>
        </w:rPr>
        <w:t xml:space="preserve"> </w:t>
      </w:r>
      <w:r w:rsidR="007C6A22">
        <w:rPr>
          <w:rFonts w:hint="cs"/>
          <w:rtl/>
        </w:rPr>
        <w:t>כי יש לפצות בעלים באופן מלא גם על הפקעת חלק מחלקה</w:t>
      </w:r>
      <w:r w:rsidR="00E320DE">
        <w:rPr>
          <w:rFonts w:hint="cs"/>
          <w:rtl/>
        </w:rPr>
        <w:t>,</w:t>
      </w:r>
      <w:r w:rsidR="007C6A22">
        <w:rPr>
          <w:rFonts w:hint="cs"/>
          <w:rtl/>
        </w:rPr>
        <w:t xml:space="preserve"> אם ההפקעה לא השביחה את החלק שנותר בידי הבעלים.</w:t>
      </w:r>
      <w:r w:rsidR="007C6A22">
        <w:rPr>
          <w:rStyle w:val="a5"/>
          <w:rtl/>
        </w:rPr>
        <w:footnoteReference w:id="104"/>
      </w:r>
      <w:r w:rsidR="007C6A22">
        <w:rPr>
          <w:rFonts w:hint="cs"/>
          <w:rtl/>
        </w:rPr>
        <w:t xml:space="preserve"> עוד קודם לכן ביטל המחוקק את הפטור בנוגע להפקעות שתבוצענה בע</w:t>
      </w:r>
      <w:r w:rsidR="009701D3">
        <w:rPr>
          <w:rFonts w:hint="cs"/>
          <w:rtl/>
        </w:rPr>
        <w:t>ת</w:t>
      </w:r>
      <w:r w:rsidR="007C6A22">
        <w:rPr>
          <w:rFonts w:hint="cs"/>
          <w:rtl/>
        </w:rPr>
        <w:t>יד ברמה הארצית</w:t>
      </w:r>
      <w:r w:rsidR="00E320DE">
        <w:rPr>
          <w:rFonts w:hint="cs"/>
          <w:rtl/>
        </w:rPr>
        <w:t>, אך לא ברמה המקומית</w:t>
      </w:r>
      <w:r w:rsidR="007C6A22">
        <w:rPr>
          <w:rFonts w:hint="cs"/>
          <w:rtl/>
        </w:rPr>
        <w:t>.</w:t>
      </w:r>
      <w:r w:rsidR="007C6A22">
        <w:rPr>
          <w:rStyle w:val="a5"/>
          <w:rtl/>
        </w:rPr>
        <w:footnoteReference w:id="105"/>
      </w:r>
      <w:r w:rsidR="007C6A22">
        <w:rPr>
          <w:rFonts w:hint="cs"/>
          <w:rtl/>
        </w:rPr>
        <w:t xml:space="preserve"> </w:t>
      </w:r>
      <w:r w:rsidR="004B25C1">
        <w:rPr>
          <w:rFonts w:hint="cs"/>
          <w:rtl/>
        </w:rPr>
        <w:t>עד כה לא נמצאו ממצאים אמפיריים המצביעים על קורלציה בין הגברת החובה לפצות לבין היקף ההפקעות שמבצעות הרשויות.</w:t>
      </w:r>
      <w:r w:rsidR="004B25C1">
        <w:rPr>
          <w:rStyle w:val="a5"/>
          <w:rtl/>
        </w:rPr>
        <w:footnoteReference w:id="106"/>
      </w:r>
      <w:r w:rsidR="004B25C1">
        <w:rPr>
          <w:rFonts w:hint="cs"/>
          <w:rtl/>
        </w:rPr>
        <w:t xml:space="preserve"> </w:t>
      </w:r>
    </w:p>
    <w:p w:rsidR="00745B9E" w:rsidRDefault="00745B9E" w:rsidP="00E320DE">
      <w:pPr>
        <w:spacing w:line="480" w:lineRule="auto"/>
        <w:jc w:val="both"/>
        <w:rPr>
          <w:rtl/>
        </w:rPr>
      </w:pPr>
      <w:r>
        <w:rPr>
          <w:rFonts w:hint="cs"/>
          <w:rtl/>
        </w:rPr>
        <w:t xml:space="preserve">   שופטי בית המשפט העליון </w:t>
      </w:r>
      <w:r w:rsidR="00196E29">
        <w:rPr>
          <w:rFonts w:hint="cs"/>
          <w:rtl/>
        </w:rPr>
        <w:t xml:space="preserve">נחלקו ביניהם גם </w:t>
      </w:r>
      <w:r>
        <w:rPr>
          <w:rFonts w:hint="cs"/>
          <w:rtl/>
        </w:rPr>
        <w:t xml:space="preserve">בסוגית הפרשנות של </w:t>
      </w:r>
      <w:r w:rsidR="00196E29">
        <w:rPr>
          <w:rFonts w:hint="cs"/>
          <w:rtl/>
        </w:rPr>
        <w:t xml:space="preserve">סעיף החוק </w:t>
      </w:r>
      <w:r>
        <w:rPr>
          <w:rFonts w:hint="cs"/>
          <w:rtl/>
        </w:rPr>
        <w:t>הפ</w:t>
      </w:r>
      <w:r w:rsidR="00196E29">
        <w:rPr>
          <w:rFonts w:hint="cs"/>
          <w:rtl/>
        </w:rPr>
        <w:t>ו</w:t>
      </w:r>
      <w:r>
        <w:rPr>
          <w:rFonts w:hint="cs"/>
          <w:rtl/>
        </w:rPr>
        <w:t xml:space="preserve">טר </w:t>
      </w:r>
      <w:r w:rsidR="00196E29">
        <w:rPr>
          <w:rFonts w:hint="cs"/>
          <w:rtl/>
        </w:rPr>
        <w:t xml:space="preserve">את הרשויות מהצורך לפצות על </w:t>
      </w:r>
      <w:r>
        <w:rPr>
          <w:rFonts w:hint="cs"/>
          <w:rtl/>
        </w:rPr>
        <w:t xml:space="preserve">פגיעות תכנוניות </w:t>
      </w:r>
      <w:r w:rsidR="00196E29">
        <w:rPr>
          <w:rFonts w:hint="cs"/>
          <w:rtl/>
        </w:rPr>
        <w:t xml:space="preserve">במקרקעין  ש"אינן עוברות את תחום </w:t>
      </w:r>
      <w:r>
        <w:rPr>
          <w:rFonts w:hint="cs"/>
          <w:rtl/>
        </w:rPr>
        <w:t>הסביר</w:t>
      </w:r>
      <w:r w:rsidR="00196E29">
        <w:rPr>
          <w:rFonts w:hint="cs"/>
          <w:rtl/>
        </w:rPr>
        <w:t>"</w:t>
      </w:r>
      <w:r>
        <w:rPr>
          <w:rFonts w:hint="cs"/>
          <w:rtl/>
        </w:rPr>
        <w:t>.</w:t>
      </w:r>
      <w:r w:rsidR="00196E29">
        <w:rPr>
          <w:rStyle w:val="a5"/>
          <w:rtl/>
        </w:rPr>
        <w:footnoteReference w:id="107"/>
      </w:r>
      <w:r>
        <w:rPr>
          <w:rFonts w:hint="cs"/>
          <w:rtl/>
        </w:rPr>
        <w:t xml:space="preserve"> </w:t>
      </w:r>
      <w:r w:rsidR="00196E29">
        <w:rPr>
          <w:rFonts w:hint="cs"/>
          <w:rtl/>
        </w:rPr>
        <w:t xml:space="preserve">בפרשת </w:t>
      </w:r>
      <w:r w:rsidR="00196E29" w:rsidRPr="00196E29">
        <w:rPr>
          <w:rFonts w:hint="cs"/>
          <w:b/>
          <w:bCs/>
          <w:rtl/>
        </w:rPr>
        <w:t>הורוויץ</w:t>
      </w:r>
      <w:r w:rsidR="00196E29">
        <w:rPr>
          <w:rFonts w:hint="cs"/>
          <w:rtl/>
        </w:rPr>
        <w:t xml:space="preserve"> </w:t>
      </w:r>
      <w:r>
        <w:rPr>
          <w:rFonts w:hint="cs"/>
          <w:rtl/>
        </w:rPr>
        <w:t xml:space="preserve">חלק מהשופטים סברו כי נוכח ההגנה החוקתית לקניין יש לפצות על כל פגיעה שנזקה עולה על </w:t>
      </w:r>
      <w:r>
        <w:t>de minimis</w:t>
      </w:r>
      <w:r>
        <w:rPr>
          <w:rFonts w:hint="cs"/>
          <w:rtl/>
        </w:rPr>
        <w:t>.</w:t>
      </w:r>
      <w:r>
        <w:rPr>
          <w:rStyle w:val="a5"/>
          <w:rtl/>
        </w:rPr>
        <w:footnoteReference w:id="108"/>
      </w:r>
      <w:r>
        <w:rPr>
          <w:rFonts w:hint="cs"/>
          <w:rtl/>
        </w:rPr>
        <w:t xml:space="preserve"> הנשיא ברק הציע פרשנות רחבה יותר לפטור מפיצוי, המבוססת על הרעיון שיש להטיל על בעלי הקניין הפרטי "אחריות חברתית".</w:t>
      </w:r>
      <w:r w:rsidR="00DB0D2C">
        <w:rPr>
          <w:rStyle w:val="a5"/>
          <w:rtl/>
        </w:rPr>
        <w:footnoteReference w:id="109"/>
      </w:r>
      <w:r>
        <w:rPr>
          <w:rFonts w:hint="cs"/>
          <w:rtl/>
        </w:rPr>
        <w:t xml:space="preserve"> הוא הציע לבחון את שאלת הפיצוי בהתאם לגובה הפגיעה, עוצמת המטרה הציבורית שלה ומידת פיזור הנזק. ככל שהפגיעה גדולה יותר, מטרתה חשובה פחות והנזק לא מתפזר באופן שווה-יש לפצות. לעומת זאת, ככל שהפגיעה קטנה יותר, מטרתה חשובה יותר והיא מתפזרת באופן מקרי ושווה על כלל האוכלוסייה-אין מקום לפצות.</w:t>
      </w:r>
      <w:r>
        <w:rPr>
          <w:rStyle w:val="a5"/>
          <w:rtl/>
        </w:rPr>
        <w:footnoteReference w:id="110"/>
      </w:r>
      <w:r>
        <w:rPr>
          <w:rFonts w:hint="cs"/>
          <w:rtl/>
        </w:rPr>
        <w:t xml:space="preserve"> דיון נוסף של בית המשפט העליון בהרכב של שבעה שופטים לא הניב הלכה מחייבת</w:t>
      </w:r>
      <w:r w:rsidR="00091DDE">
        <w:rPr>
          <w:rFonts w:hint="cs"/>
          <w:rtl/>
        </w:rPr>
        <w:t>, הותיר את העוסקים בתחום בחוסר וודאות והגדיל את התלות בשיקול הדעת השיפוטי</w:t>
      </w:r>
      <w:r>
        <w:rPr>
          <w:rFonts w:hint="cs"/>
          <w:rtl/>
        </w:rPr>
        <w:t>.</w:t>
      </w:r>
      <w:r>
        <w:rPr>
          <w:rStyle w:val="a5"/>
          <w:rtl/>
        </w:rPr>
        <w:footnoteReference w:id="111"/>
      </w:r>
      <w:r>
        <w:rPr>
          <w:rFonts w:hint="cs"/>
          <w:rtl/>
        </w:rPr>
        <w:t xml:space="preserve"> הוא הדגים היטב את חילוקי הדעות האידיאולוגיים בין השופטים. מול גישתו החלוקתית של הנשיא ברק</w:t>
      </w:r>
      <w:r w:rsidR="00E320DE">
        <w:rPr>
          <w:rFonts w:hint="cs"/>
          <w:rtl/>
        </w:rPr>
        <w:t>,</w:t>
      </w:r>
      <w:r>
        <w:rPr>
          <w:rFonts w:hint="cs"/>
          <w:rtl/>
        </w:rPr>
        <w:t xml:space="preserve"> שתמך בהטלת אחריות חברתית על בעלי הקניין</w:t>
      </w:r>
      <w:r w:rsidR="00E320DE">
        <w:rPr>
          <w:rFonts w:hint="cs"/>
          <w:rtl/>
        </w:rPr>
        <w:t>,</w:t>
      </w:r>
      <w:r>
        <w:rPr>
          <w:rFonts w:hint="cs"/>
          <w:rtl/>
        </w:rPr>
        <w:t xml:space="preserve"> ניצבה עמדתו של המשנה שלו, השופט מ</w:t>
      </w:r>
      <w:r w:rsidR="00E320DE">
        <w:rPr>
          <w:rtl/>
        </w:rPr>
        <w:t>ִ</w:t>
      </w:r>
      <w:r>
        <w:rPr>
          <w:rFonts w:hint="cs"/>
          <w:rtl/>
        </w:rPr>
        <w:t>ש</w:t>
      </w:r>
      <w:r w:rsidR="00E320DE">
        <w:rPr>
          <w:rtl/>
        </w:rPr>
        <w:t>ָ</w:t>
      </w:r>
      <w:r>
        <w:rPr>
          <w:rFonts w:hint="cs"/>
          <w:rtl/>
        </w:rPr>
        <w:t>א</w:t>
      </w:r>
      <w:r w:rsidR="00E320DE">
        <w:rPr>
          <w:rtl/>
        </w:rPr>
        <w:t>ֵ</w:t>
      </w:r>
      <w:r>
        <w:rPr>
          <w:rFonts w:hint="cs"/>
          <w:rtl/>
        </w:rPr>
        <w:t>ל חשין. חשין, שתמך בפסיקותיו באופן עקבי בהגנת הקניין הפרטי</w:t>
      </w:r>
      <w:r w:rsidR="00DB0D2C">
        <w:rPr>
          <w:rFonts w:hint="cs"/>
          <w:rtl/>
        </w:rPr>
        <w:t>,</w:t>
      </w:r>
      <w:r>
        <w:rPr>
          <w:rFonts w:hint="cs"/>
          <w:rtl/>
        </w:rPr>
        <w:t xml:space="preserve"> התנגד להטלת אחריות חברתית כזו</w:t>
      </w:r>
      <w:r w:rsidR="00DB0D2C">
        <w:rPr>
          <w:rFonts w:hint="cs"/>
          <w:rtl/>
        </w:rPr>
        <w:t>.</w:t>
      </w:r>
      <w:r>
        <w:rPr>
          <w:rFonts w:hint="cs"/>
          <w:rtl/>
        </w:rPr>
        <w:t xml:space="preserve"> </w:t>
      </w:r>
      <w:r w:rsidR="00DB0D2C">
        <w:rPr>
          <w:rFonts w:hint="cs"/>
          <w:rtl/>
        </w:rPr>
        <w:t>בי</w:t>
      </w:r>
      <w:r w:rsidR="00091DDE">
        <w:rPr>
          <w:rFonts w:hint="cs"/>
          <w:rtl/>
        </w:rPr>
        <w:t>ס</w:t>
      </w:r>
      <w:r w:rsidR="00DB0D2C">
        <w:rPr>
          <w:rFonts w:hint="cs"/>
          <w:rtl/>
        </w:rPr>
        <w:t xml:space="preserve">וד עמדתו הציב את השקפת </w:t>
      </w:r>
      <w:r>
        <w:rPr>
          <w:rFonts w:hint="cs"/>
          <w:rtl/>
        </w:rPr>
        <w:t>העולם הכלכלית</w:t>
      </w:r>
      <w:r w:rsidR="00E320DE">
        <w:rPr>
          <w:rFonts w:hint="cs"/>
          <w:rtl/>
        </w:rPr>
        <w:t>-</w:t>
      </w:r>
      <w:r>
        <w:rPr>
          <w:rFonts w:hint="cs"/>
          <w:rtl/>
        </w:rPr>
        <w:t>חברתית הבאה:</w:t>
      </w:r>
      <w:r>
        <w:rPr>
          <w:rStyle w:val="a5"/>
          <w:rtl/>
        </w:rPr>
        <w:footnoteReference w:id="112"/>
      </w:r>
      <w:r>
        <w:rPr>
          <w:rFonts w:hint="cs"/>
          <w:rtl/>
        </w:rPr>
        <w:t xml:space="preserve"> </w:t>
      </w:r>
    </w:p>
    <w:p w:rsidR="00745B9E" w:rsidRDefault="00745B9E" w:rsidP="00745B9E">
      <w:pPr>
        <w:spacing w:line="480" w:lineRule="auto"/>
        <w:jc w:val="both"/>
        <w:rPr>
          <w:rtl/>
        </w:rPr>
      </w:pPr>
      <w:r w:rsidRPr="00745B9E">
        <w:rPr>
          <w:rFonts w:hint="cs"/>
          <w:rtl/>
        </w:rPr>
        <w:t>"</w:t>
      </w:r>
      <w:r w:rsidRPr="00745B9E">
        <w:rPr>
          <w:rtl/>
        </w:rPr>
        <w:t>בעלי מקרקעין בימינו - והמשיבה בכללם - אינם בהכרח מבוססים מבחינה כלכלית ופיננסית יותר מאשר אחרים בקהילתם. ויש מביניהם שהקרקע הנפגעת היא רכושם היחיד. אכן, הפיאודלים של היום פיאודלים של הון הם. אין הם עוד הפיאודלים של ימים עברו. ראוי לנו אפוא כי נהיה</w:t>
      </w:r>
      <w:r w:rsidR="00091DDE">
        <w:rPr>
          <w:rtl/>
        </w:rPr>
        <w:t xml:space="preserve"> זהירים יותר כלפי מי שתוכניות ת</w:t>
      </w:r>
      <w:r w:rsidRPr="00745B9E">
        <w:rPr>
          <w:rtl/>
        </w:rPr>
        <w:t>כנון פוגעות ברכושם, שאפשר רכושם היחיד הוא.</w:t>
      </w:r>
      <w:r w:rsidRPr="00745B9E">
        <w:rPr>
          <w:rFonts w:hint="cs"/>
          <w:rtl/>
        </w:rPr>
        <w:t>...</w:t>
      </w:r>
      <w:r>
        <w:rPr>
          <w:rtl/>
        </w:rPr>
        <w:t>כך גם יקו</w:t>
      </w:r>
      <w:r w:rsidRPr="00745B9E">
        <w:rPr>
          <w:rtl/>
        </w:rPr>
        <w:t>ים צדק השוויון שהוא כה חיוני לקיומה של קהילה בריאה.</w:t>
      </w:r>
      <w:r w:rsidRPr="00745B9E">
        <w:rPr>
          <w:rFonts w:hint="cs"/>
          <w:rtl/>
        </w:rPr>
        <w:t>..".</w:t>
      </w:r>
      <w:r w:rsidRPr="00425F3E">
        <w:rPr>
          <w:rFonts w:hint="cs"/>
          <w:szCs w:val="28"/>
          <w:rtl/>
        </w:rPr>
        <w:t xml:space="preserve"> </w:t>
      </w:r>
      <w:r>
        <w:rPr>
          <w:rFonts w:hint="cs"/>
          <w:rtl/>
        </w:rPr>
        <w:t xml:space="preserve">    </w:t>
      </w:r>
    </w:p>
    <w:p w:rsidR="00745B9E" w:rsidRDefault="00851590" w:rsidP="00E320DE">
      <w:pPr>
        <w:spacing w:line="480" w:lineRule="auto"/>
        <w:jc w:val="both"/>
        <w:rPr>
          <w:rtl/>
        </w:rPr>
      </w:pPr>
      <w:r>
        <w:rPr>
          <w:rFonts w:hint="cs"/>
          <w:rtl/>
        </w:rPr>
        <w:t xml:space="preserve">   </w:t>
      </w:r>
      <w:r w:rsidR="00745B9E">
        <w:rPr>
          <w:rFonts w:hint="cs"/>
          <w:rtl/>
        </w:rPr>
        <w:t xml:space="preserve">אנו רואים כי האקטיביזם השיפוטי של בית המשפט העליון בתחום ההגנה החוקתית לקניין </w:t>
      </w:r>
      <w:r>
        <w:rPr>
          <w:rFonts w:hint="cs"/>
          <w:rtl/>
        </w:rPr>
        <w:t>היה משמעותי יותר ביחס לזכות הבעלים לפיצוי בגין הפקעה. בתחום זה הצליח בית המשפט לשנות</w:t>
      </w:r>
      <w:r w:rsidR="003039D5">
        <w:rPr>
          <w:rFonts w:hint="cs"/>
          <w:rtl/>
        </w:rPr>
        <w:t>, באמצעות פרשנות,</w:t>
      </w:r>
      <w:r>
        <w:rPr>
          <w:rFonts w:hint="cs"/>
          <w:rtl/>
        </w:rPr>
        <w:t xml:space="preserve"> את הדין </w:t>
      </w:r>
      <w:r w:rsidR="003039D5">
        <w:rPr>
          <w:rFonts w:hint="cs"/>
          <w:rtl/>
        </w:rPr>
        <w:t xml:space="preserve">שקדם לחוק היסוד וזאת על אף </w:t>
      </w:r>
      <w:r>
        <w:rPr>
          <w:rFonts w:hint="cs"/>
          <w:rtl/>
        </w:rPr>
        <w:t>שהחקיקה הרלוונטית הוצאה מתחולתו של חוק היסוד. עובדה זו</w:t>
      </w:r>
      <w:r w:rsidR="00E320DE">
        <w:rPr>
          <w:rFonts w:hint="cs"/>
          <w:rtl/>
        </w:rPr>
        <w:t xml:space="preserve"> </w:t>
      </w:r>
      <w:r>
        <w:rPr>
          <w:rFonts w:hint="cs"/>
          <w:rtl/>
        </w:rPr>
        <w:t>לא מנעה מבית המשפט לבצע שינויים הלכתיים אקטיביסטיים באמצעות הסמכות לפרשנות חקיקה קודמת, אותה נטל לעצמו. מחלוקות אידיאולוגיות פנימיות בין שופטים ולאו דווקא גישה שיפוטית שמרנית הן</w:t>
      </w:r>
      <w:r w:rsidR="003039D5">
        <w:rPr>
          <w:rFonts w:hint="cs"/>
          <w:rtl/>
        </w:rPr>
        <w:t>, כנראה,</w:t>
      </w:r>
      <w:r>
        <w:rPr>
          <w:rFonts w:hint="cs"/>
          <w:rtl/>
        </w:rPr>
        <w:t xml:space="preserve"> שמנעו עד כה תקדימים מרחיקי לכת יותר בתחום </w:t>
      </w:r>
      <w:r w:rsidR="003039D5">
        <w:rPr>
          <w:rFonts w:hint="cs"/>
          <w:rtl/>
        </w:rPr>
        <w:t>ההגנה החוקתית לקניין</w:t>
      </w:r>
      <w:r w:rsidR="005E0977">
        <w:rPr>
          <w:rFonts w:hint="cs"/>
          <w:rtl/>
        </w:rPr>
        <w:t xml:space="preserve"> במקרקעין</w:t>
      </w:r>
      <w:r>
        <w:rPr>
          <w:rFonts w:hint="cs"/>
          <w:rtl/>
        </w:rPr>
        <w:t>.</w:t>
      </w:r>
      <w:r w:rsidR="00745B9E">
        <w:rPr>
          <w:rFonts w:hint="cs"/>
          <w:rtl/>
        </w:rPr>
        <w:t xml:space="preserve">  </w:t>
      </w:r>
    </w:p>
    <w:p w:rsidR="00745B9E" w:rsidRDefault="00745B9E" w:rsidP="003A61E6">
      <w:pPr>
        <w:spacing w:line="480" w:lineRule="auto"/>
        <w:jc w:val="both"/>
        <w:rPr>
          <w:rtl/>
        </w:rPr>
      </w:pPr>
    </w:p>
    <w:p w:rsidR="00BA5E25" w:rsidRPr="00007158" w:rsidRDefault="00BA5E25" w:rsidP="00AC0A33">
      <w:pPr>
        <w:spacing w:line="480" w:lineRule="auto"/>
        <w:jc w:val="both"/>
        <w:rPr>
          <w:b/>
          <w:bCs/>
          <w:rtl/>
        </w:rPr>
      </w:pPr>
      <w:r w:rsidRPr="00007158">
        <w:rPr>
          <w:rFonts w:hint="cs"/>
          <w:b/>
          <w:bCs/>
          <w:rtl/>
        </w:rPr>
        <w:t>סיכום</w:t>
      </w:r>
    </w:p>
    <w:p w:rsidR="00BA5E25" w:rsidRDefault="00851590" w:rsidP="00E320DE">
      <w:pPr>
        <w:spacing w:line="480" w:lineRule="auto"/>
        <w:jc w:val="both"/>
        <w:rPr>
          <w:rtl/>
        </w:rPr>
      </w:pPr>
      <w:r>
        <w:rPr>
          <w:rFonts w:hint="cs"/>
          <w:rtl/>
        </w:rPr>
        <w:t xml:space="preserve">   בפרק זה ראינו כי דיני המקרקעין מהווים פריזמה בה משתקפת העצמאות ו</w:t>
      </w:r>
      <w:r w:rsidR="005E0977">
        <w:rPr>
          <w:rFonts w:hint="cs"/>
          <w:rtl/>
        </w:rPr>
        <w:t>ה</w:t>
      </w:r>
      <w:r>
        <w:rPr>
          <w:rFonts w:hint="cs"/>
          <w:rtl/>
        </w:rPr>
        <w:t>יצירתיות המשפטית של הרשות השופטת בישראל. אלה באו לידי ביטוי בולט בשני תחומים של הגנת הקניין הפרטי במקרקעין. בתחום המשפט הפרטי פ</w:t>
      </w:r>
      <w:r w:rsidR="005E0977">
        <w:rPr>
          <w:rFonts w:hint="cs"/>
          <w:rtl/>
        </w:rPr>
        <w:t>י</w:t>
      </w:r>
      <w:r>
        <w:rPr>
          <w:rFonts w:hint="cs"/>
          <w:rtl/>
        </w:rPr>
        <w:t>תחה הפסיקה הישראלית ביצירתיות רבה דוקטרינות מקומיות הדומות לדוקטרינות שפ</w:t>
      </w:r>
      <w:r w:rsidR="005E0977">
        <w:rPr>
          <w:rFonts w:hint="cs"/>
          <w:rtl/>
        </w:rPr>
        <w:t>י</w:t>
      </w:r>
      <w:r>
        <w:rPr>
          <w:rFonts w:hint="cs"/>
          <w:rtl/>
        </w:rPr>
        <w:t>תחו בתי המשפט של ה</w:t>
      </w:r>
      <w:r w:rsidR="005E0977">
        <w:rPr>
          <w:rFonts w:hint="cs"/>
          <w:rtl/>
        </w:rPr>
        <w:t>-</w:t>
      </w:r>
      <w:r w:rsidR="000F154C">
        <w:t xml:space="preserve"> </w:t>
      </w:r>
      <w:r w:rsidR="005E0977">
        <w:t xml:space="preserve">equity </w:t>
      </w:r>
      <w:r>
        <w:rPr>
          <w:rFonts w:hint="cs"/>
          <w:rtl/>
        </w:rPr>
        <w:t>באנגליה מאות שנים קודם לכן</w:t>
      </w:r>
      <w:r w:rsidR="005E0977">
        <w:rPr>
          <w:rFonts w:hint="cs"/>
          <w:rtl/>
        </w:rPr>
        <w:t>. כך פיתח בית המ</w:t>
      </w:r>
      <w:r w:rsidR="00E320DE">
        <w:rPr>
          <w:rFonts w:hint="cs"/>
          <w:rtl/>
        </w:rPr>
        <w:t>ש</w:t>
      </w:r>
      <w:r w:rsidR="005E0977">
        <w:rPr>
          <w:rFonts w:hint="cs"/>
          <w:rtl/>
        </w:rPr>
        <w:t xml:space="preserve">פט העליון זכויות מן היושר וזכויות מכוח השתק "תוצרת הארץ". </w:t>
      </w:r>
      <w:r>
        <w:rPr>
          <w:rFonts w:hint="cs"/>
          <w:rtl/>
        </w:rPr>
        <w:t>מהלך פיתוח זה נועד להצביע על עצמאות מערכת המשפט הישראלית ממקורות זרים אבל הוא גם מפגין בצורה ברורה את תפיסתה האקטיביסטית של מערכת השיפוט הישראלית ב</w:t>
      </w:r>
      <w:r w:rsidR="00E320DE">
        <w:rPr>
          <w:rFonts w:hint="cs"/>
          <w:rtl/>
        </w:rPr>
        <w:t>פרשנות החקיקה</w:t>
      </w:r>
      <w:r>
        <w:rPr>
          <w:rFonts w:hint="cs"/>
          <w:rtl/>
        </w:rPr>
        <w:t xml:space="preserve">. </w:t>
      </w:r>
      <w:r w:rsidR="00E320DE">
        <w:rPr>
          <w:rFonts w:hint="cs"/>
          <w:rtl/>
        </w:rPr>
        <w:t>האקטיביזם השיפוטי בא</w:t>
      </w:r>
      <w:r>
        <w:rPr>
          <w:rFonts w:hint="cs"/>
          <w:rtl/>
        </w:rPr>
        <w:t xml:space="preserve"> לידי ביטוי, אם כי באופן מוגבל יותר, </w:t>
      </w:r>
      <w:r w:rsidR="00E320DE">
        <w:rPr>
          <w:rFonts w:hint="cs"/>
          <w:rtl/>
        </w:rPr>
        <w:t xml:space="preserve">גם </w:t>
      </w:r>
      <w:r>
        <w:rPr>
          <w:rFonts w:hint="cs"/>
          <w:rtl/>
        </w:rPr>
        <w:t>באופן שבו הוביל בית המ</w:t>
      </w:r>
      <w:r w:rsidR="005E0977">
        <w:rPr>
          <w:rFonts w:hint="cs"/>
          <w:rtl/>
        </w:rPr>
        <w:t>ש</w:t>
      </w:r>
      <w:r>
        <w:rPr>
          <w:rFonts w:hint="cs"/>
          <w:rtl/>
        </w:rPr>
        <w:t>פט העליון שינוי בדיני ההפקעה והפגיעה התכנונית במקרקעין לאחר חקיקת חוק י</w:t>
      </w:r>
      <w:r w:rsidR="005E0977">
        <w:rPr>
          <w:rFonts w:hint="cs"/>
          <w:rtl/>
        </w:rPr>
        <w:t>ס</w:t>
      </w:r>
      <w:r>
        <w:rPr>
          <w:rFonts w:hint="cs"/>
          <w:rtl/>
        </w:rPr>
        <w:t>וד כבוד האדם וחירותו. בית המשפט נטל לעצמו את הסמכות לפרש באופן שונה</w:t>
      </w:r>
      <w:r w:rsidR="005E0977">
        <w:rPr>
          <w:rFonts w:hint="cs"/>
          <w:rtl/>
        </w:rPr>
        <w:t xml:space="preserve">, ברוח </w:t>
      </w:r>
      <w:r>
        <w:rPr>
          <w:rFonts w:hint="cs"/>
          <w:rtl/>
        </w:rPr>
        <w:t xml:space="preserve">חוק </w:t>
      </w:r>
      <w:r w:rsidR="005E0977">
        <w:rPr>
          <w:rFonts w:hint="cs"/>
          <w:rtl/>
        </w:rPr>
        <w:t>היסוד, חוקים ש</w:t>
      </w:r>
      <w:r>
        <w:rPr>
          <w:rFonts w:hint="cs"/>
          <w:rtl/>
        </w:rPr>
        <w:t>חוק</w:t>
      </w:r>
      <w:r w:rsidR="005E0977">
        <w:rPr>
          <w:rFonts w:hint="cs"/>
          <w:rtl/>
        </w:rPr>
        <w:t xml:space="preserve"> היסוד</w:t>
      </w:r>
      <w:r>
        <w:rPr>
          <w:rFonts w:hint="cs"/>
          <w:rtl/>
        </w:rPr>
        <w:t xml:space="preserve"> קבע במפורש שאינו חל עליהם. באמצעות פרשנות יצירתית ואקטיביסטית של חוקים הוביל לצמצום משמעותי של המקרים שבהם מותר להפקיע מקרקעין ללא פיצוי. לעומת זאת בתחום הביקורת על סמכות ההפקעה עצמה היו השינויים שהוביל בית המשפט מינוריים יותר. הטעם המרכז</w:t>
      </w:r>
      <w:r w:rsidR="005E0977">
        <w:rPr>
          <w:rFonts w:hint="cs"/>
          <w:rtl/>
        </w:rPr>
        <w:t>י</w:t>
      </w:r>
      <w:r>
        <w:rPr>
          <w:rFonts w:hint="cs"/>
          <w:rtl/>
        </w:rPr>
        <w:t xml:space="preserve"> לכך לא היה גישה שמרנית לתפקיד השיפוטי אלא מחלוקות אידא</w:t>
      </w:r>
      <w:r w:rsidR="005E0977">
        <w:rPr>
          <w:rFonts w:hint="cs"/>
          <w:rtl/>
        </w:rPr>
        <w:t>ולוגיות פנימיות בתוך בית המשפט.</w:t>
      </w:r>
    </w:p>
    <w:sectPr w:rsidR="00BA5E25" w:rsidSect="001B7F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8E" w:rsidRDefault="00581F8E" w:rsidP="00576AFE">
      <w:r>
        <w:separator/>
      </w:r>
    </w:p>
  </w:endnote>
  <w:endnote w:type="continuationSeparator" w:id="0">
    <w:p w:rsidR="00581F8E" w:rsidRDefault="00581F8E" w:rsidP="0057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rade Gothic W01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8E" w:rsidRDefault="00581F8E" w:rsidP="00576AFE">
      <w:r>
        <w:separator/>
      </w:r>
    </w:p>
  </w:footnote>
  <w:footnote w:type="continuationSeparator" w:id="0">
    <w:p w:rsidR="00581F8E" w:rsidRDefault="00581F8E" w:rsidP="00576AFE">
      <w:r>
        <w:continuationSeparator/>
      </w:r>
    </w:p>
  </w:footnote>
  <w:footnote w:id="1">
    <w:p w:rsidR="009D3D9C" w:rsidRPr="00EC1919" w:rsidRDefault="009D3D9C" w:rsidP="00EC1919">
      <w:pPr>
        <w:pStyle w:val="a3"/>
        <w:bidi w:val="0"/>
        <w:jc w:val="both"/>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w:t>
      </w:r>
      <w:r w:rsidRPr="00EC1919">
        <w:rPr>
          <w:rFonts w:asciiTheme="majorBidi" w:hAnsiTheme="majorBidi" w:cstheme="majorBidi"/>
        </w:rPr>
        <w:t xml:space="preserve">C.A. 189/95 </w:t>
      </w:r>
      <w:r w:rsidRPr="00EC1919">
        <w:rPr>
          <w:rFonts w:asciiTheme="majorBidi" w:hAnsiTheme="majorBidi" w:cstheme="majorBidi"/>
          <w:smallCaps/>
        </w:rPr>
        <w:t>Bank Otzar Ha-Hayal v. Aharonov</w:t>
      </w:r>
      <w:r w:rsidRPr="00EC1919">
        <w:rPr>
          <w:rFonts w:asciiTheme="majorBidi" w:hAnsiTheme="majorBidi" w:cstheme="majorBidi"/>
        </w:rPr>
        <w:t>, PD 53(4) 199, 251 (1999)</w:t>
      </w:r>
      <w:r>
        <w:rPr>
          <w:rFonts w:asciiTheme="majorBidi" w:hAnsiTheme="majorBidi" w:cstheme="majorBidi"/>
        </w:rPr>
        <w:t>.</w:t>
      </w:r>
    </w:p>
  </w:footnote>
  <w:footnote w:id="2">
    <w:p w:rsidR="009D3D9C" w:rsidRPr="00EC1919" w:rsidRDefault="009D3D9C" w:rsidP="00B0680A">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044829">
        <w:rPr>
          <w:rFonts w:asciiTheme="majorBidi" w:hAnsiTheme="majorBidi" w:cstheme="majorBidi"/>
        </w:rPr>
        <w:t>HCJ 2390/96</w:t>
      </w:r>
      <w:r w:rsidRPr="00044829">
        <w:rPr>
          <w:rFonts w:asciiTheme="majorBidi" w:hAnsiTheme="majorBidi" w:cstheme="majorBidi"/>
          <w:smallCaps/>
        </w:rPr>
        <w:t xml:space="preserve"> Karsik v. State of Israel</w:t>
      </w:r>
      <w:r>
        <w:rPr>
          <w:rFonts w:asciiTheme="majorBidi" w:hAnsiTheme="majorBidi" w:cstheme="majorBidi"/>
        </w:rPr>
        <w:t xml:space="preserve"> PD 55(2) 625, 713 [2001] (Isr.)(Hebrew));</w:t>
      </w:r>
      <w:r w:rsidRPr="00044829">
        <w:rPr>
          <w:rFonts w:asciiTheme="majorBidi" w:hAnsiTheme="majorBidi" w:cstheme="majorBidi"/>
        </w:rPr>
        <w:t xml:space="preserve"> English translation</w:t>
      </w:r>
      <w:r>
        <w:rPr>
          <w:rFonts w:asciiTheme="majorBidi" w:hAnsiTheme="majorBidi" w:cstheme="majorBidi"/>
        </w:rPr>
        <w:t>, J. Barak at par. 9 :</w:t>
      </w:r>
      <w:r w:rsidRPr="00044829">
        <w:rPr>
          <w:rFonts w:asciiTheme="majorBidi" w:hAnsiTheme="majorBidi" w:cstheme="majorBidi"/>
        </w:rPr>
        <w:t xml:space="preserve"> </w:t>
      </w:r>
      <w:hyperlink r:id="rId1" w:history="1">
        <w:r w:rsidRPr="00454093">
          <w:rPr>
            <w:rStyle w:val="Hyperlink"/>
            <w:rFonts w:asciiTheme="majorBidi" w:hAnsiTheme="majorBidi" w:cstheme="majorBidi"/>
          </w:rPr>
          <w:t>http://elyon1.court.gov.il/files_eng/96/900/023/g10/96023900.g10.htm</w:t>
        </w:r>
      </w:hyperlink>
      <w:r w:rsidRPr="00B0680A">
        <w:rPr>
          <w:rFonts w:asciiTheme="majorBidi" w:hAnsiTheme="majorBidi" w:cstheme="majorBidi"/>
        </w:rPr>
        <w:t xml:space="preserve">; </w:t>
      </w:r>
      <w:r w:rsidRPr="00EC302E">
        <w:rPr>
          <w:rFonts w:ascii="Times New Roman" w:hAnsi="Times New Roman" w:cs="Times New Roman"/>
          <w:smallCaps/>
        </w:rPr>
        <w:t>VERSA-Opinions of The Supreme Court of Israel, Translated Opinions,</w:t>
      </w:r>
      <w:r>
        <w:rPr>
          <w:rFonts w:ascii="Times New Roman" w:hAnsi="Times New Roman" w:cs="Times New Roman"/>
        </w:rPr>
        <w:t xml:space="preserve"> </w:t>
      </w:r>
      <w:hyperlink r:id="rId2" w:history="1">
        <w:r w:rsidRPr="00454093">
          <w:rPr>
            <w:rStyle w:val="Hyperlink"/>
            <w:rFonts w:asciiTheme="majorBidi" w:hAnsiTheme="majorBidi" w:cstheme="majorBidi"/>
          </w:rPr>
          <w:t>http://versa.cardozo.yu.edu/opinions/karsik-v-state-israel</w:t>
        </w:r>
      </w:hyperlink>
      <w:r w:rsidRPr="00B0680A">
        <w:rPr>
          <w:rFonts w:asciiTheme="majorBidi" w:hAnsiTheme="majorBidi" w:cstheme="majorBidi"/>
        </w:rPr>
        <w:t xml:space="preserve"> (Hereinafter</w:t>
      </w:r>
      <w:r>
        <w:rPr>
          <w:rFonts w:asciiTheme="majorBidi" w:hAnsiTheme="majorBidi" w:cstheme="majorBidi"/>
        </w:rPr>
        <w:t xml:space="preserve">: </w:t>
      </w:r>
      <w:r w:rsidRPr="00B0680A">
        <w:rPr>
          <w:rFonts w:asciiTheme="majorBidi" w:hAnsiTheme="majorBidi" w:cstheme="majorBidi"/>
          <w:smallCaps/>
        </w:rPr>
        <w:t>Karsik</w:t>
      </w:r>
      <w:r>
        <w:rPr>
          <w:rFonts w:asciiTheme="majorBidi" w:hAnsiTheme="majorBidi" w:cstheme="majorBidi"/>
        </w:rPr>
        <w:t xml:space="preserve"> case).</w:t>
      </w:r>
    </w:p>
  </w:footnote>
  <w:footnote w:id="3">
    <w:p w:rsidR="009D3D9C" w:rsidRPr="00EC1919" w:rsidRDefault="009D3D9C" w:rsidP="00F04219">
      <w:pPr>
        <w:pStyle w:val="a3"/>
        <w:bidi w:val="0"/>
        <w:jc w:val="both"/>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Shimon Shetreet, </w:t>
      </w:r>
      <w:r w:rsidRPr="00B659BF">
        <w:rPr>
          <w:rFonts w:asciiTheme="majorBidi" w:hAnsiTheme="majorBidi" w:cstheme="majorBidi"/>
          <w:i/>
          <w:iCs/>
        </w:rPr>
        <w:t>The critical challenge of judicial independence in Israel</w:t>
      </w:r>
      <w:r>
        <w:rPr>
          <w:rFonts w:asciiTheme="majorBidi" w:hAnsiTheme="majorBidi" w:cstheme="majorBidi"/>
        </w:rPr>
        <w:t xml:space="preserve">, </w:t>
      </w:r>
      <w:r w:rsidRPr="00B659BF">
        <w:rPr>
          <w:rFonts w:asciiTheme="majorBidi" w:hAnsiTheme="majorBidi" w:cstheme="majorBidi"/>
          <w:smallCaps/>
        </w:rPr>
        <w:t>Judicial independence in the age of democracy-Critical perspectives from around the world</w:t>
      </w:r>
      <w:r>
        <w:rPr>
          <w:rFonts w:asciiTheme="majorBidi" w:hAnsiTheme="majorBidi" w:cstheme="majorBidi"/>
        </w:rPr>
        <w:t xml:space="preserve"> 233, 233-235 (</w:t>
      </w:r>
      <w:r w:rsidRPr="00B659BF">
        <w:rPr>
          <w:rFonts w:asciiTheme="majorBidi" w:hAnsiTheme="majorBidi" w:cstheme="majorBidi"/>
        </w:rPr>
        <w:t>Peter H. Russell</w:t>
      </w:r>
      <w:r>
        <w:rPr>
          <w:rFonts w:asciiTheme="majorBidi" w:hAnsiTheme="majorBidi" w:cstheme="majorBidi"/>
        </w:rPr>
        <w:t xml:space="preserve"> </w:t>
      </w:r>
      <w:r w:rsidRPr="00B659BF">
        <w:rPr>
          <w:rFonts w:asciiTheme="majorBidi" w:hAnsiTheme="majorBidi" w:cstheme="majorBidi"/>
        </w:rPr>
        <w:t>&amp;</w:t>
      </w:r>
      <w:r>
        <w:rPr>
          <w:rFonts w:asciiTheme="majorBidi" w:hAnsiTheme="majorBidi" w:cstheme="majorBidi"/>
        </w:rPr>
        <w:t xml:space="preserve"> </w:t>
      </w:r>
      <w:r w:rsidRPr="00B659BF">
        <w:rPr>
          <w:rFonts w:asciiTheme="majorBidi" w:hAnsiTheme="majorBidi" w:cstheme="majorBidi"/>
        </w:rPr>
        <w:t>David M. O'Brien</w:t>
      </w:r>
      <w:r>
        <w:rPr>
          <w:rFonts w:asciiTheme="majorBidi" w:hAnsiTheme="majorBidi" w:cstheme="majorBidi"/>
        </w:rPr>
        <w:t xml:space="preserve"> eds., University Press of Virginia, 2001).</w:t>
      </w:r>
    </w:p>
  </w:footnote>
  <w:footnote w:id="4">
    <w:p w:rsidR="009D3D9C" w:rsidRPr="00EC1919" w:rsidRDefault="009D3D9C" w:rsidP="00AF71BE">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w:t>
      </w:r>
      <w:r w:rsidRPr="008067AC">
        <w:rPr>
          <w:rFonts w:asciiTheme="majorBidi" w:hAnsiTheme="majorBidi" w:cstheme="majorBidi"/>
          <w:i/>
          <w:iCs/>
          <w:highlight w:val="yellow"/>
        </w:rPr>
        <w:t>PG</w:t>
      </w:r>
      <w:r w:rsidRPr="008067AC">
        <w:rPr>
          <w:rFonts w:asciiTheme="majorBidi" w:hAnsiTheme="majorBidi" w:cstheme="majorBidi"/>
          <w:highlight w:val="yellow"/>
        </w:rPr>
        <w:t xml:space="preserve"> 1 September 1922, 1</w:t>
      </w:r>
      <w:r>
        <w:rPr>
          <w:rFonts w:asciiTheme="majorBidi" w:hAnsiTheme="majorBidi" w:cstheme="majorBidi"/>
        </w:rPr>
        <w:t xml:space="preserve">. </w:t>
      </w:r>
      <w:r w:rsidRPr="00EC1919">
        <w:rPr>
          <w:rFonts w:asciiTheme="majorBidi" w:hAnsiTheme="majorBidi" w:cstheme="majorBidi"/>
          <w:rtl/>
        </w:rPr>
        <w:t xml:space="preserve"> </w:t>
      </w:r>
    </w:p>
  </w:footnote>
  <w:footnote w:id="5">
    <w:p w:rsidR="009D3D9C" w:rsidRPr="00EC1919" w:rsidRDefault="009D3D9C" w:rsidP="003E01D0">
      <w:pPr>
        <w:pStyle w:val="a3"/>
        <w:bidi w:val="0"/>
        <w:rPr>
          <w:rFonts w:asciiTheme="majorBidi" w:hAnsiTheme="majorBidi" w:cstheme="majorBidi"/>
          <w:rtl/>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 xml:space="preserve">Uri Yadin, </w:t>
      </w:r>
      <w:r w:rsidRPr="008067AC">
        <w:rPr>
          <w:rFonts w:asciiTheme="majorBidi" w:hAnsiTheme="majorBidi" w:cstheme="majorBidi"/>
          <w:i/>
          <w:iCs/>
        </w:rPr>
        <w:t>Reception and rejection of English law in Israel</w:t>
      </w:r>
      <w:r>
        <w:rPr>
          <w:rFonts w:ascii="Arial" w:hAnsi="Arial" w:cs="Arial"/>
          <w:color w:val="222222"/>
          <w:sz w:val="26"/>
          <w:szCs w:val="26"/>
        </w:rPr>
        <w:t xml:space="preserve">, </w:t>
      </w:r>
      <w:r w:rsidRPr="008067AC">
        <w:rPr>
          <w:rFonts w:asciiTheme="majorBidi" w:hAnsiTheme="majorBidi" w:cstheme="majorBidi"/>
        </w:rPr>
        <w:t xml:space="preserve">11 </w:t>
      </w:r>
      <w:r w:rsidRPr="008067AC">
        <w:rPr>
          <w:rFonts w:asciiTheme="majorBidi" w:hAnsiTheme="majorBidi" w:cstheme="majorBidi"/>
          <w:smallCaps/>
        </w:rPr>
        <w:t>International and comparative Law Quarterly</w:t>
      </w:r>
      <w:r w:rsidRPr="008067AC">
        <w:rPr>
          <w:rFonts w:asciiTheme="majorBidi" w:hAnsiTheme="majorBidi" w:cstheme="majorBidi"/>
        </w:rPr>
        <w:t xml:space="preserve"> </w:t>
      </w:r>
      <w:r>
        <w:rPr>
          <w:rFonts w:asciiTheme="majorBidi" w:hAnsiTheme="majorBidi" w:cstheme="majorBidi"/>
        </w:rPr>
        <w:t xml:space="preserve">59, 59-61, 72 (1962); </w:t>
      </w:r>
      <w:r w:rsidRPr="003E01D0">
        <w:rPr>
          <w:rFonts w:asciiTheme="majorBidi" w:eastAsia="MS Mincho" w:hAnsiTheme="majorBidi" w:cstheme="majorBidi"/>
        </w:rPr>
        <w:t xml:space="preserve">Daniel Friedmann, </w:t>
      </w:r>
      <w:r w:rsidRPr="003E01D0">
        <w:rPr>
          <w:rFonts w:asciiTheme="majorBidi" w:eastAsia="MS Mincho" w:hAnsiTheme="majorBidi" w:cstheme="majorBidi"/>
          <w:i/>
          <w:iCs/>
        </w:rPr>
        <w:t>Infusion of the Common Law into the Legal System of Israel</w:t>
      </w:r>
      <w:r w:rsidRPr="003E01D0">
        <w:rPr>
          <w:rFonts w:asciiTheme="majorBidi" w:eastAsia="MS Mincho" w:hAnsiTheme="majorBidi" w:cstheme="majorBidi"/>
        </w:rPr>
        <w:t xml:space="preserve">, 10 </w:t>
      </w:r>
      <w:r w:rsidRPr="003E01D0">
        <w:rPr>
          <w:rFonts w:asciiTheme="majorBidi" w:eastAsia="MS Mincho" w:hAnsiTheme="majorBidi" w:cstheme="majorBidi"/>
          <w:smallCaps/>
        </w:rPr>
        <w:t>Isr. L. Rev.</w:t>
      </w:r>
      <w:r>
        <w:t xml:space="preserve"> </w:t>
      </w:r>
      <w:r w:rsidRPr="003E01D0">
        <w:rPr>
          <w:rFonts w:asciiTheme="majorBidi" w:eastAsia="MS Mincho" w:hAnsiTheme="majorBidi" w:cstheme="majorBidi"/>
        </w:rPr>
        <w:t>324</w:t>
      </w:r>
      <w:r>
        <w:rPr>
          <w:rFonts w:asciiTheme="majorBidi" w:eastAsia="MS Mincho" w:hAnsiTheme="majorBidi" w:cstheme="majorBidi"/>
        </w:rPr>
        <w:t>, 350, 359-360</w:t>
      </w:r>
      <w:r w:rsidRPr="003E01D0">
        <w:rPr>
          <w:rFonts w:asciiTheme="majorBidi" w:eastAsia="MS Mincho" w:hAnsiTheme="majorBidi" w:cstheme="majorBidi"/>
        </w:rPr>
        <w:t xml:space="preserve"> (1975)</w:t>
      </w:r>
      <w:r>
        <w:rPr>
          <w:rFonts w:asciiTheme="majorBidi" w:eastAsia="MS Mincho" w:hAnsiTheme="majorBidi" w:cstheme="majorBidi"/>
        </w:rPr>
        <w:t>.</w:t>
      </w:r>
    </w:p>
  </w:footnote>
  <w:footnote w:id="6">
    <w:p w:rsidR="009D3D9C" w:rsidRPr="00EC1919" w:rsidRDefault="009D3D9C" w:rsidP="00A07F3A">
      <w:pPr>
        <w:pStyle w:val="a3"/>
        <w:bidi w:val="0"/>
        <w:jc w:val="both"/>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w:t>
      </w:r>
      <w:r w:rsidRPr="00FA4931">
        <w:rPr>
          <w:rFonts w:asciiTheme="majorBidi" w:hAnsiTheme="majorBidi" w:cstheme="majorBidi"/>
        </w:rPr>
        <w:t>M</w:t>
      </w:r>
      <w:r>
        <w:rPr>
          <w:rFonts w:asciiTheme="majorBidi" w:hAnsiTheme="majorBidi" w:cstheme="majorBidi"/>
        </w:rPr>
        <w:t>aimon</w:t>
      </w:r>
      <w:r w:rsidRPr="00FA4931">
        <w:rPr>
          <w:rFonts w:asciiTheme="majorBidi" w:hAnsiTheme="majorBidi" w:cstheme="majorBidi"/>
        </w:rPr>
        <w:t xml:space="preserve"> Schwarzschild</w:t>
      </w:r>
      <w:r>
        <w:rPr>
          <w:rFonts w:asciiTheme="majorBidi" w:hAnsiTheme="majorBidi" w:cstheme="majorBidi"/>
        </w:rPr>
        <w:t xml:space="preserve">, </w:t>
      </w:r>
      <w:hyperlink r:id="rId3" w:history="1">
        <w:r w:rsidRPr="00FA4931">
          <w:rPr>
            <w:rFonts w:asciiTheme="majorBidi" w:hAnsiTheme="majorBidi" w:cstheme="majorBidi"/>
            <w:i/>
            <w:iCs/>
          </w:rPr>
          <w:t>Complicated-But Not Too Complicated: The Sunset of EU Law in the UK after Brexit</w:t>
        </w:r>
      </w:hyperlink>
      <w:r>
        <w:rPr>
          <w:rFonts w:asciiTheme="majorBidi" w:hAnsiTheme="majorBidi" w:cstheme="majorBidi"/>
        </w:rPr>
        <w:t>,</w:t>
      </w:r>
      <w:r w:rsidRPr="00FA4931">
        <w:rPr>
          <w:rFonts w:asciiTheme="majorBidi" w:hAnsiTheme="majorBidi" w:cstheme="majorBidi"/>
        </w:rPr>
        <w:t xml:space="preserve"> 39 </w:t>
      </w:r>
      <w:r w:rsidRPr="00FA4931">
        <w:rPr>
          <w:rFonts w:asciiTheme="majorBidi" w:hAnsiTheme="majorBidi" w:cstheme="majorBidi"/>
          <w:smallCaps/>
        </w:rPr>
        <w:t>Cardozo Law Review</w:t>
      </w:r>
      <w:r w:rsidRPr="00FA4931">
        <w:rPr>
          <w:rFonts w:asciiTheme="majorBidi" w:hAnsiTheme="majorBidi" w:cstheme="majorBidi"/>
        </w:rPr>
        <w:t xml:space="preserve"> 905, 908 (2018); G</w:t>
      </w:r>
      <w:r>
        <w:rPr>
          <w:rFonts w:asciiTheme="majorBidi" w:hAnsiTheme="majorBidi" w:cstheme="majorBidi"/>
        </w:rPr>
        <w:t>raham Gee, Alison L.</w:t>
      </w:r>
      <w:r w:rsidRPr="00FA4931">
        <w:rPr>
          <w:rFonts w:asciiTheme="majorBidi" w:hAnsiTheme="majorBidi" w:cstheme="majorBidi"/>
        </w:rPr>
        <w:t xml:space="preserve"> Young</w:t>
      </w:r>
      <w:r>
        <w:rPr>
          <w:rFonts w:asciiTheme="majorBidi" w:hAnsiTheme="majorBidi" w:cstheme="majorBidi"/>
        </w:rPr>
        <w:t xml:space="preserve">, </w:t>
      </w:r>
      <w:hyperlink r:id="rId4" w:history="1">
        <w:r w:rsidRPr="00FA4931">
          <w:rPr>
            <w:rFonts w:asciiTheme="majorBidi" w:hAnsiTheme="majorBidi" w:cstheme="majorBidi"/>
            <w:i/>
            <w:iCs/>
          </w:rPr>
          <w:t>Regaining Sovereignty</w:t>
        </w:r>
        <w:r>
          <w:rPr>
            <w:rFonts w:asciiTheme="majorBidi" w:hAnsiTheme="majorBidi" w:cstheme="majorBidi"/>
            <w:i/>
            <w:iCs/>
          </w:rPr>
          <w:t>:</w:t>
        </w:r>
        <w:r w:rsidRPr="00FA4931">
          <w:rPr>
            <w:rFonts w:asciiTheme="majorBidi" w:hAnsiTheme="majorBidi" w:cstheme="majorBidi"/>
            <w:i/>
            <w:iCs/>
          </w:rPr>
          <w:t> Brexit, the UK Parliament and the Common Law</w:t>
        </w:r>
      </w:hyperlink>
      <w:r>
        <w:rPr>
          <w:rFonts w:asciiTheme="majorBidi" w:hAnsiTheme="majorBidi" w:cstheme="majorBidi"/>
        </w:rPr>
        <w:t>, 22</w:t>
      </w:r>
      <w:r w:rsidRPr="00FA4931">
        <w:rPr>
          <w:rFonts w:asciiTheme="majorBidi" w:hAnsiTheme="majorBidi" w:cstheme="majorBidi"/>
        </w:rPr>
        <w:t xml:space="preserve"> </w:t>
      </w:r>
      <w:r w:rsidRPr="00FA4931">
        <w:rPr>
          <w:rFonts w:asciiTheme="majorBidi" w:hAnsiTheme="majorBidi" w:cstheme="majorBidi"/>
          <w:smallCaps/>
        </w:rPr>
        <w:t>European Public Law</w:t>
      </w:r>
      <w:r>
        <w:rPr>
          <w:rFonts w:asciiTheme="majorBidi" w:hAnsiTheme="majorBidi" w:cstheme="majorBidi"/>
        </w:rPr>
        <w:t xml:space="preserve"> 131, </w:t>
      </w:r>
      <w:r w:rsidRPr="006A4096">
        <w:rPr>
          <w:rFonts w:asciiTheme="majorBidi" w:hAnsiTheme="majorBidi" w:cstheme="majorBidi"/>
          <w:highlight w:val="yellow"/>
        </w:rPr>
        <w:t>???</w:t>
      </w:r>
      <w:r>
        <w:rPr>
          <w:rFonts w:asciiTheme="majorBidi" w:hAnsiTheme="majorBidi" w:cstheme="majorBidi"/>
        </w:rPr>
        <w:t xml:space="preserve"> (</w:t>
      </w:r>
      <w:r w:rsidRPr="00FA4931">
        <w:rPr>
          <w:rFonts w:asciiTheme="majorBidi" w:hAnsiTheme="majorBidi" w:cstheme="majorBidi"/>
        </w:rPr>
        <w:t>2016</w:t>
      </w:r>
      <w:r>
        <w:rPr>
          <w:rFonts w:asciiTheme="majorBidi" w:hAnsiTheme="majorBidi" w:cstheme="majorBidi"/>
        </w:rPr>
        <w:t>).</w:t>
      </w:r>
      <w:r w:rsidRPr="00EC1919">
        <w:rPr>
          <w:rFonts w:asciiTheme="majorBidi" w:hAnsiTheme="majorBidi" w:cstheme="majorBidi"/>
          <w:rtl/>
        </w:rPr>
        <w:t xml:space="preserve"> </w:t>
      </w:r>
    </w:p>
  </w:footnote>
  <w:footnote w:id="7">
    <w:p w:rsidR="009D3D9C" w:rsidRPr="00EC1919" w:rsidRDefault="009D3D9C" w:rsidP="005F0259">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 xml:space="preserve">Daniel Friedmann, </w:t>
      </w:r>
      <w:r w:rsidRPr="005F0259">
        <w:rPr>
          <w:rFonts w:asciiTheme="majorBidi" w:hAnsiTheme="majorBidi" w:cstheme="majorBidi"/>
          <w:i/>
          <w:iCs/>
        </w:rPr>
        <w:t>Independent Development of Israeli Law</w:t>
      </w:r>
      <w:r>
        <w:rPr>
          <w:rFonts w:asciiTheme="majorBidi" w:hAnsiTheme="majorBidi" w:cstheme="majorBidi"/>
          <w:i/>
          <w:iCs/>
        </w:rPr>
        <w:t>,</w:t>
      </w:r>
      <w:r>
        <w:rPr>
          <w:rFonts w:asciiTheme="majorBidi" w:hAnsiTheme="majorBidi" w:cstheme="majorBidi"/>
        </w:rPr>
        <w:t xml:space="preserve"> 10 </w:t>
      </w:r>
      <w:r w:rsidRPr="005F0259">
        <w:rPr>
          <w:rFonts w:asciiTheme="majorBidi" w:hAnsiTheme="majorBidi" w:cstheme="majorBidi"/>
          <w:smallCaps/>
        </w:rPr>
        <w:t>Israel Law Review</w:t>
      </w:r>
      <w:r>
        <w:rPr>
          <w:rFonts w:asciiTheme="majorBidi" w:hAnsiTheme="majorBidi" w:cstheme="majorBidi"/>
        </w:rPr>
        <w:t xml:space="preserve"> 515, 536-537 (1975).</w:t>
      </w:r>
    </w:p>
  </w:footnote>
  <w:footnote w:id="8">
    <w:p w:rsidR="009D3D9C" w:rsidRPr="00EC1919" w:rsidRDefault="009D3D9C" w:rsidP="00F649EA">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18420F">
        <w:rPr>
          <w:rFonts w:asciiTheme="majorBidi" w:hAnsiTheme="majorBidi" w:cstheme="majorBidi"/>
        </w:rPr>
        <w:t>F</w:t>
      </w:r>
      <w:r>
        <w:rPr>
          <w:rFonts w:asciiTheme="majorBidi" w:hAnsiTheme="majorBidi" w:cstheme="majorBidi"/>
        </w:rPr>
        <w:t>oundations of Law</w:t>
      </w:r>
      <w:r w:rsidRPr="0018420F">
        <w:rPr>
          <w:rFonts w:asciiTheme="majorBidi" w:hAnsiTheme="majorBidi" w:cstheme="majorBidi"/>
        </w:rPr>
        <w:t>, 5740—1980</w:t>
      </w:r>
      <w:r>
        <w:rPr>
          <w:rFonts w:asciiTheme="majorBidi" w:hAnsiTheme="majorBidi" w:cstheme="majorBidi"/>
        </w:rPr>
        <w:t xml:space="preserve">, S.H.163, 34 L.S.I 181; Menachem Elon </w:t>
      </w:r>
      <w:r w:rsidRPr="00F649EA">
        <w:rPr>
          <w:rFonts w:asciiTheme="majorBidi" w:hAnsiTheme="majorBidi" w:cstheme="majorBidi"/>
          <w:i/>
          <w:iCs/>
        </w:rPr>
        <w:t>The legal system of Jewish Law</w:t>
      </w:r>
      <w:r>
        <w:rPr>
          <w:rFonts w:asciiTheme="majorBidi" w:hAnsiTheme="majorBidi" w:cstheme="majorBidi"/>
        </w:rPr>
        <w:t xml:space="preserve"> 17 </w:t>
      </w:r>
      <w:r w:rsidRPr="00F649EA">
        <w:rPr>
          <w:rFonts w:asciiTheme="majorBidi" w:hAnsiTheme="majorBidi" w:cstheme="majorBidi"/>
          <w:smallCaps/>
        </w:rPr>
        <w:t>N.Y.U. J. Int'l L. &amp; Pol.</w:t>
      </w:r>
      <w:r w:rsidRPr="00F649EA">
        <w:rPr>
          <w:rFonts w:asciiTheme="majorBidi" w:hAnsiTheme="majorBidi" w:cstheme="majorBidi"/>
        </w:rPr>
        <w:t xml:space="preserve"> 221</w:t>
      </w:r>
      <w:r>
        <w:rPr>
          <w:rFonts w:asciiTheme="majorBidi" w:hAnsiTheme="majorBidi" w:cstheme="majorBidi"/>
        </w:rPr>
        <w:t>, 239-241 (1985).</w:t>
      </w:r>
    </w:p>
  </w:footnote>
  <w:footnote w:id="9">
    <w:p w:rsidR="009D3D9C" w:rsidRPr="001B7A56" w:rsidRDefault="009D3D9C" w:rsidP="001B7A56">
      <w:pPr>
        <w:pStyle w:val="a3"/>
        <w:bidi w:val="0"/>
        <w:jc w:val="both"/>
        <w:rPr>
          <w:rFonts w:asciiTheme="majorBidi" w:hAnsiTheme="majorBidi" w:cstheme="majorBidi"/>
          <w:rtl/>
        </w:rPr>
      </w:pPr>
      <w:r w:rsidRPr="00EC1919">
        <w:rPr>
          <w:rStyle w:val="a5"/>
          <w:rFonts w:asciiTheme="majorBidi" w:hAnsiTheme="majorBidi" w:cstheme="majorBidi"/>
        </w:rPr>
        <w:footnoteRef/>
      </w:r>
      <w:r>
        <w:rPr>
          <w:rFonts w:ascii="TimesNewRomanPSMT" w:hAnsi="TimesNewRomanPSMT" w:cs="TimesNewRomanPSMT"/>
          <w:sz w:val="18"/>
          <w:szCs w:val="18"/>
        </w:rPr>
        <w:t xml:space="preserve"> </w:t>
      </w:r>
      <w:r w:rsidRPr="001B7A56">
        <w:rPr>
          <w:rFonts w:ascii="TimesNewRomanPSMT" w:hAnsi="TimesNewRomanPSMT" w:cs="TimesNewRomanPSMT"/>
          <w:sz w:val="18"/>
          <w:szCs w:val="18"/>
        </w:rPr>
        <w:t xml:space="preserve">Yoram Shachar, Ron Harris, Meyron Gross </w:t>
      </w:r>
      <w:r w:rsidRPr="001B7A56">
        <w:rPr>
          <w:rFonts w:ascii="TimesNewRomanPS-BoldMT" w:hAnsi="TimesNewRomanPS-BoldMT" w:cs="TimesNewRomanPS-BoldMT"/>
          <w:i/>
          <w:iCs/>
          <w:sz w:val="18"/>
          <w:szCs w:val="18"/>
        </w:rPr>
        <w:t>Citation Practices of the Supreme Court, Quantitative Analysis</w:t>
      </w:r>
      <w:r w:rsidRPr="001B7A56">
        <w:rPr>
          <w:rFonts w:ascii="TimesNewRomanPS-BoldMT" w:hAnsi="TimesNewRomanPS-BoldMT" w:cs="TimesNewRomanPS-BoldMT"/>
          <w:sz w:val="18"/>
          <w:szCs w:val="18"/>
        </w:rPr>
        <w:t xml:space="preserve"> 27 </w:t>
      </w:r>
      <w:r w:rsidRPr="001B7A56">
        <w:rPr>
          <w:rFonts w:ascii="TimesNewRomanPS-BoldMT" w:hAnsi="TimesNewRomanPS-BoldMT" w:cs="TimesNewRomanPS-BoldMT"/>
          <w:smallCaps/>
          <w:sz w:val="18"/>
          <w:szCs w:val="18"/>
        </w:rPr>
        <w:t xml:space="preserve">Mishpatim –The Hebrew University Law Review </w:t>
      </w:r>
      <w:r w:rsidRPr="001B7A56">
        <w:rPr>
          <w:rFonts w:ascii="TimesNewRomanPS-BoldMT" w:hAnsi="TimesNewRomanPS-BoldMT" w:cs="TimesNewRomanPS-BoldMT"/>
          <w:sz w:val="18"/>
          <w:szCs w:val="18"/>
        </w:rPr>
        <w:t>119, 151-160 (1996)</w:t>
      </w:r>
      <w:r>
        <w:rPr>
          <w:rFonts w:ascii="TimesNewRomanPS-BoldMT" w:hAnsi="TimesNewRomanPS-BoldMT" w:cs="TimesNewRomanPS-BoldMT"/>
          <w:sz w:val="18"/>
          <w:szCs w:val="18"/>
        </w:rPr>
        <w:t>(Hebrew)</w:t>
      </w:r>
      <w:r w:rsidRPr="001B7A56">
        <w:rPr>
          <w:rFonts w:ascii="TimesNewRomanPS-BoldMT" w:hAnsi="TimesNewRomanPS-BoldMT" w:cs="TimesNewRomanPS-BoldMT"/>
          <w:sz w:val="18"/>
          <w:szCs w:val="18"/>
        </w:rPr>
        <w:t xml:space="preserve">; </w:t>
      </w:r>
      <w:r w:rsidRPr="001B7A56">
        <w:rPr>
          <w:rFonts w:ascii="TimesNewRomanPSMT" w:hAnsi="TimesNewRomanPSMT" w:cs="TimesNewRomanPSMT"/>
          <w:sz w:val="18"/>
          <w:szCs w:val="18"/>
        </w:rPr>
        <w:t>Yoram Shachar</w:t>
      </w:r>
      <w:r w:rsidRPr="001B7A56">
        <w:rPr>
          <w:rFonts w:ascii="TimesNewRomanPS-BoldMT" w:hAnsi="TimesNewRomanPS-BoldMT" w:cs="TimesNewRomanPS-BoldMT"/>
          <w:sz w:val="18"/>
          <w:szCs w:val="18"/>
        </w:rPr>
        <w:t xml:space="preserve"> </w:t>
      </w:r>
      <w:r w:rsidRPr="001B7A56">
        <w:rPr>
          <w:rFonts w:ascii="TimesNewRomanPS-BoldMT" w:hAnsi="TimesNewRomanPS-BoldMT" w:cs="TimesNewRomanPS-BoldMT"/>
          <w:i/>
          <w:iCs/>
          <w:sz w:val="18"/>
          <w:szCs w:val="18"/>
        </w:rPr>
        <w:t>The reference area of the Supreme Court 1950-2004</w:t>
      </w:r>
      <w:r w:rsidRPr="001B7A56">
        <w:rPr>
          <w:rFonts w:ascii="TimesNewRomanPS-BoldMT" w:hAnsi="TimesNewRomanPS-BoldMT" w:cs="TimesNewRomanPS-BoldMT"/>
          <w:sz w:val="18"/>
          <w:szCs w:val="18"/>
        </w:rPr>
        <w:t xml:space="preserve"> </w:t>
      </w:r>
      <w:r>
        <w:rPr>
          <w:rFonts w:ascii="TimesNewRomanPS-BoldMT" w:hAnsi="TimesNewRomanPS-BoldMT" w:cs="TimesNewRomanPS-BoldMT"/>
          <w:sz w:val="18"/>
          <w:szCs w:val="18"/>
        </w:rPr>
        <w:t xml:space="preserve">50 </w:t>
      </w:r>
      <w:r w:rsidRPr="0002288E">
        <w:rPr>
          <w:rFonts w:ascii="TimesNewRomanPS-BoldMT" w:hAnsi="TimesNewRomanPS-BoldMT" w:cs="TimesNewRomanPS-BoldMT"/>
          <w:smallCaps/>
          <w:sz w:val="18"/>
          <w:szCs w:val="18"/>
        </w:rPr>
        <w:t xml:space="preserve">Hapraklit-The Israel Bar Law Journal </w:t>
      </w:r>
      <w:r w:rsidRPr="001B7A56">
        <w:rPr>
          <w:rFonts w:ascii="TimesNewRomanPS-BoldMT" w:hAnsi="TimesNewRomanPS-BoldMT" w:cs="TimesNewRomanPS-BoldMT"/>
          <w:sz w:val="18"/>
          <w:szCs w:val="18"/>
        </w:rPr>
        <w:t xml:space="preserve">29, 41-52 (2008) </w:t>
      </w:r>
      <w:r>
        <w:rPr>
          <w:rFonts w:ascii="TimesNewRomanPS-BoldMT" w:hAnsi="TimesNewRomanPS-BoldMT" w:cs="TimesNewRomanPS-BoldMT"/>
          <w:sz w:val="18"/>
          <w:szCs w:val="18"/>
        </w:rPr>
        <w:t>(Hebrew).</w:t>
      </w:r>
    </w:p>
  </w:footnote>
  <w:footnote w:id="10">
    <w:p w:rsidR="009D3D9C" w:rsidRPr="00EC1919" w:rsidRDefault="009D3D9C" w:rsidP="00BF74C2">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w:t>
      </w:r>
      <w:r w:rsidRPr="00BF74C2">
        <w:rPr>
          <w:rFonts w:ascii="TimesNewRomanPSMT" w:hAnsi="TimesNewRomanPSMT" w:cs="TimesNewRomanPSMT"/>
          <w:smallCaps/>
          <w:sz w:val="18"/>
          <w:szCs w:val="18"/>
        </w:rPr>
        <w:t>Baker v. Carr</w:t>
      </w:r>
      <w:r>
        <w:rPr>
          <w:rFonts w:ascii="TimesNewRomanPSMT" w:hAnsi="TimesNewRomanPSMT" w:cs="TimesNewRomanPSMT"/>
          <w:sz w:val="18"/>
          <w:szCs w:val="18"/>
        </w:rPr>
        <w:t xml:space="preserve"> </w:t>
      </w:r>
      <w:r w:rsidRPr="00BF74C2">
        <w:rPr>
          <w:rFonts w:ascii="TimesNewRomanPSMT" w:hAnsi="TimesNewRomanPSMT" w:cs="TimesNewRomanPSMT"/>
          <w:sz w:val="18"/>
          <w:szCs w:val="18"/>
        </w:rPr>
        <w:t xml:space="preserve">369 </w:t>
      </w:r>
      <w:r w:rsidRPr="00BF74C2">
        <w:rPr>
          <w:rFonts w:ascii="TimesNewRomanPSMT" w:hAnsi="TimesNewRomanPSMT" w:cs="TimesNewRomanPSMT"/>
          <w:smallCaps/>
          <w:sz w:val="18"/>
          <w:szCs w:val="18"/>
        </w:rPr>
        <w:t>U.S.</w:t>
      </w:r>
      <w:r w:rsidRPr="00BF74C2">
        <w:rPr>
          <w:rFonts w:ascii="TimesNewRomanPSMT" w:hAnsi="TimesNewRomanPSMT" w:cs="TimesNewRomanPSMT"/>
          <w:sz w:val="18"/>
          <w:szCs w:val="18"/>
        </w:rPr>
        <w:t xml:space="preserve"> 186, 267 (1962</w:t>
      </w:r>
      <w:r>
        <w:rPr>
          <w:rFonts w:ascii="Arial" w:hAnsi="Arial" w:cs="Arial"/>
          <w:color w:val="1A1A1A"/>
        </w:rPr>
        <w:t>).</w:t>
      </w:r>
    </w:p>
  </w:footnote>
  <w:footnote w:id="11">
    <w:p w:rsidR="009D3D9C" w:rsidRPr="00F04219" w:rsidRDefault="009D3D9C" w:rsidP="00F04219">
      <w:pPr>
        <w:pStyle w:val="a3"/>
        <w:bidi w:val="0"/>
        <w:jc w:val="both"/>
      </w:pPr>
      <w:r>
        <w:rPr>
          <w:rStyle w:val="a5"/>
        </w:rPr>
        <w:footnoteRef/>
      </w:r>
      <w:r w:rsidRPr="00317816">
        <w:rPr>
          <w:rFonts w:ascii="TimesNewRomanPSMT" w:hAnsi="TimesNewRomanPSMT" w:cs="TimesNewRomanPSMT"/>
          <w:sz w:val="18"/>
          <w:szCs w:val="18"/>
        </w:rPr>
        <w:t>Daniel Friedmann</w:t>
      </w:r>
      <w:r>
        <w:rPr>
          <w:rFonts w:ascii="TimesNewRomanPSMT" w:hAnsi="TimesNewRomanPSMT" w:cs="TimesNewRomanPSMT"/>
          <w:sz w:val="18"/>
          <w:szCs w:val="18"/>
        </w:rPr>
        <w:t>,</w:t>
      </w:r>
      <w:r w:rsidRPr="00317816">
        <w:rPr>
          <w:rFonts w:ascii="TimesNewRomanPSMT" w:hAnsi="TimesNewRomanPSMT" w:cs="TimesNewRomanPSMT"/>
          <w:sz w:val="18"/>
          <w:szCs w:val="18"/>
        </w:rPr>
        <w:t xml:space="preserve"> </w:t>
      </w:r>
      <w:r w:rsidRPr="00317816">
        <w:rPr>
          <w:rFonts w:ascii="TimesNewRomanPSMT" w:hAnsi="TimesNewRomanPSMT" w:cs="TimesNewRomanPSMT"/>
          <w:smallCaps/>
          <w:sz w:val="18"/>
          <w:szCs w:val="18"/>
        </w:rPr>
        <w:t>The Purse and the Sword-The Trials of Israel's Legal Revolution</w:t>
      </w:r>
      <w:r>
        <w:rPr>
          <w:rFonts w:ascii="TimesNewRomanPSMT" w:hAnsi="TimesNewRomanPSMT" w:cs="TimesNewRomanPSMT"/>
          <w:b/>
          <w:bCs/>
          <w:sz w:val="18"/>
          <w:szCs w:val="18"/>
        </w:rPr>
        <w:t xml:space="preserve"> </w:t>
      </w:r>
      <w:r w:rsidRPr="00317816">
        <w:rPr>
          <w:rFonts w:ascii="TimesNewRomanPSMT" w:hAnsi="TimesNewRomanPSMT" w:cs="TimesNewRomanPSMT"/>
          <w:sz w:val="18"/>
          <w:szCs w:val="18"/>
          <w:highlight w:val="yellow"/>
        </w:rPr>
        <w:t>???</w:t>
      </w:r>
      <w:r>
        <w:rPr>
          <w:rFonts w:ascii="TimesNewRomanPSMT" w:hAnsi="TimesNewRomanPSMT" w:cs="TimesNewRomanPSMT"/>
          <w:sz w:val="18"/>
          <w:szCs w:val="18"/>
        </w:rPr>
        <w:t xml:space="preserve"> </w:t>
      </w:r>
      <w:r w:rsidRPr="00317816">
        <w:rPr>
          <w:rFonts w:ascii="TimesNewRomanPSMT" w:hAnsi="TimesNewRomanPSMT" w:cs="TimesNewRomanPSMT"/>
          <w:sz w:val="18"/>
          <w:szCs w:val="18"/>
        </w:rPr>
        <w:t>(Haim Watzman tr.</w:t>
      </w:r>
      <w:r>
        <w:rPr>
          <w:rFonts w:ascii="TimesNewRomanPSMT" w:hAnsi="TimesNewRomanPSMT" w:cs="TimesNewRomanPSMT"/>
          <w:sz w:val="18"/>
          <w:szCs w:val="18"/>
        </w:rPr>
        <w:t xml:space="preserve"> </w:t>
      </w:r>
      <w:r w:rsidRPr="00317816">
        <w:rPr>
          <w:rFonts w:ascii="TimesNewRomanPSMT" w:hAnsi="TimesNewRomanPSMT" w:cs="TimesNewRomanPSMT"/>
          <w:sz w:val="18"/>
          <w:szCs w:val="18"/>
        </w:rPr>
        <w:t>OUP 2016)</w:t>
      </w:r>
      <w:r>
        <w:rPr>
          <w:rFonts w:ascii="TimesNewRomanPSMT" w:hAnsi="TimesNewRomanPSMT" w:cs="TimesNewRomanPSMT"/>
          <w:sz w:val="18"/>
          <w:szCs w:val="18"/>
        </w:rPr>
        <w:t xml:space="preserve">; </w:t>
      </w:r>
      <w:r>
        <w:rPr>
          <w:rFonts w:asciiTheme="majorBidi" w:hAnsiTheme="majorBidi" w:cstheme="majorBidi"/>
        </w:rPr>
        <w:t xml:space="preserve">Oren Soffer, </w:t>
      </w:r>
      <w:r w:rsidRPr="00B659BF">
        <w:rPr>
          <w:rFonts w:asciiTheme="majorBidi" w:hAnsiTheme="majorBidi" w:cstheme="majorBidi"/>
          <w:i/>
          <w:iCs/>
        </w:rPr>
        <w:t>Judicial review of legislation in Israel: Problems and implications of possible reform</w:t>
      </w:r>
      <w:r>
        <w:rPr>
          <w:rFonts w:asciiTheme="majorBidi" w:hAnsiTheme="majorBidi" w:cstheme="majorBidi"/>
        </w:rPr>
        <w:t xml:space="preserve">, 12 </w:t>
      </w:r>
      <w:r w:rsidRPr="00B659BF">
        <w:rPr>
          <w:rFonts w:asciiTheme="majorBidi" w:hAnsiTheme="majorBidi" w:cstheme="majorBidi"/>
          <w:smallCaps/>
        </w:rPr>
        <w:t>Israel Affairs</w:t>
      </w:r>
      <w:r>
        <w:rPr>
          <w:rFonts w:asciiTheme="majorBidi" w:hAnsiTheme="majorBidi" w:cstheme="majorBidi"/>
        </w:rPr>
        <w:t xml:space="preserve"> 307, </w:t>
      </w:r>
      <w:r w:rsidRPr="008E6ACE">
        <w:rPr>
          <w:rFonts w:asciiTheme="majorBidi" w:hAnsiTheme="majorBidi" w:cstheme="majorBidi"/>
        </w:rPr>
        <w:t>311-314</w:t>
      </w:r>
      <w:r>
        <w:rPr>
          <w:rFonts w:asciiTheme="majorBidi" w:hAnsiTheme="majorBidi" w:cstheme="majorBidi"/>
        </w:rPr>
        <w:t xml:space="preserve"> (2006).</w:t>
      </w:r>
    </w:p>
  </w:footnote>
  <w:footnote w:id="12">
    <w:p w:rsidR="009D3D9C" w:rsidRPr="003A3F7A" w:rsidRDefault="009D3D9C" w:rsidP="003A3F7A">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 xml:space="preserve">Ibid, at </w:t>
      </w:r>
      <w:r w:rsidRPr="00412AC4">
        <w:rPr>
          <w:rFonts w:asciiTheme="majorBidi" w:hAnsiTheme="majorBidi" w:cstheme="majorBidi"/>
          <w:highlight w:val="yellow"/>
        </w:rPr>
        <w:t>???</w:t>
      </w:r>
      <w:r>
        <w:rPr>
          <w:rFonts w:asciiTheme="majorBidi" w:hAnsiTheme="majorBidi" w:cstheme="majorBidi"/>
        </w:rPr>
        <w:t>; Menachem M</w:t>
      </w:r>
      <w:r w:rsidRPr="003E2F55">
        <w:rPr>
          <w:rFonts w:asciiTheme="majorBidi" w:hAnsiTheme="majorBidi" w:cstheme="majorBidi"/>
        </w:rPr>
        <w:t>autner</w:t>
      </w:r>
      <w:r>
        <w:rPr>
          <w:rFonts w:asciiTheme="majorBidi" w:hAnsiTheme="majorBidi" w:cstheme="majorBidi"/>
        </w:rPr>
        <w:t xml:space="preserve">, </w:t>
      </w:r>
      <w:r w:rsidRPr="003E2F55">
        <w:rPr>
          <w:rFonts w:asciiTheme="majorBidi" w:hAnsiTheme="majorBidi" w:cstheme="majorBidi"/>
          <w:smallCaps/>
        </w:rPr>
        <w:t>Law &amp; the culture of Israel</w:t>
      </w:r>
      <w:r>
        <w:rPr>
          <w:rFonts w:asciiTheme="majorBidi" w:hAnsiTheme="majorBidi" w:cstheme="majorBidi"/>
        </w:rPr>
        <w:t xml:space="preserve"> </w:t>
      </w:r>
      <w:r w:rsidRPr="006F0579">
        <w:rPr>
          <w:rFonts w:asciiTheme="majorBidi" w:hAnsiTheme="majorBidi" w:cstheme="majorBidi"/>
          <w:highlight w:val="yellow"/>
        </w:rPr>
        <w:t>68-74</w:t>
      </w:r>
      <w:r>
        <w:rPr>
          <w:rFonts w:asciiTheme="majorBidi" w:hAnsiTheme="majorBidi" w:cstheme="majorBidi"/>
        </w:rPr>
        <w:t xml:space="preserve"> (OUP 2011); Gary J. Jacobsohn </w:t>
      </w:r>
      <w:r>
        <w:rPr>
          <w:rFonts w:asciiTheme="majorBidi" w:hAnsiTheme="majorBidi" w:cstheme="majorBidi"/>
          <w:i/>
          <w:iCs/>
        </w:rPr>
        <w:t xml:space="preserve">Judicial activism in Israel </w:t>
      </w:r>
      <w:r w:rsidRPr="003A3F7A">
        <w:rPr>
          <w:rFonts w:asciiTheme="majorBidi" w:hAnsiTheme="majorBidi" w:cstheme="majorBidi"/>
          <w:smallCaps/>
        </w:rPr>
        <w:t>Judicial Activism in Comparative Perspective</w:t>
      </w:r>
      <w:r>
        <w:rPr>
          <w:rFonts w:ascii="Arial" w:hAnsi="Arial" w:cs="Arial"/>
          <w:color w:val="333333"/>
          <w:sz w:val="18"/>
          <w:szCs w:val="18"/>
        </w:rPr>
        <w:t xml:space="preserve"> </w:t>
      </w:r>
      <w:r>
        <w:rPr>
          <w:rFonts w:asciiTheme="majorBidi" w:hAnsiTheme="majorBidi" w:cstheme="majorBidi"/>
        </w:rPr>
        <w:t>90 (Kenneth M.Holland ed., St. Martin's Press 1991).</w:t>
      </w:r>
    </w:p>
  </w:footnote>
  <w:footnote w:id="13">
    <w:p w:rsidR="009D3D9C" w:rsidRDefault="009D3D9C" w:rsidP="000E57CA">
      <w:pPr>
        <w:pStyle w:val="a3"/>
        <w:bidi w:val="0"/>
        <w:jc w:val="both"/>
        <w:rPr>
          <w:rtl/>
        </w:rPr>
      </w:pPr>
      <w:r>
        <w:rPr>
          <w:rStyle w:val="a5"/>
        </w:rPr>
        <w:footnoteRef/>
      </w:r>
      <w:r>
        <w:rPr>
          <w:rtl/>
        </w:rPr>
        <w:t xml:space="preserve"> </w:t>
      </w:r>
      <w:r w:rsidRPr="0058144D">
        <w:rPr>
          <w:rFonts w:asciiTheme="majorBidi" w:hAnsiTheme="majorBidi" w:cstheme="majorBidi"/>
        </w:rPr>
        <w:t>B</w:t>
      </w:r>
      <w:r>
        <w:rPr>
          <w:rFonts w:asciiTheme="majorBidi" w:hAnsiTheme="majorBidi" w:cstheme="majorBidi"/>
        </w:rPr>
        <w:t xml:space="preserve">asic </w:t>
      </w:r>
      <w:r w:rsidRPr="0058144D">
        <w:rPr>
          <w:rFonts w:asciiTheme="majorBidi" w:hAnsiTheme="majorBidi" w:cstheme="majorBidi"/>
        </w:rPr>
        <w:t>L</w:t>
      </w:r>
      <w:r>
        <w:rPr>
          <w:rFonts w:asciiTheme="majorBidi" w:hAnsiTheme="majorBidi" w:cstheme="majorBidi"/>
        </w:rPr>
        <w:t>aw</w:t>
      </w:r>
      <w:r w:rsidRPr="0058144D">
        <w:rPr>
          <w:rFonts w:asciiTheme="majorBidi" w:hAnsiTheme="majorBidi" w:cstheme="majorBidi"/>
        </w:rPr>
        <w:t>: H</w:t>
      </w:r>
      <w:r>
        <w:rPr>
          <w:rFonts w:asciiTheme="majorBidi" w:hAnsiTheme="majorBidi" w:cstheme="majorBidi"/>
        </w:rPr>
        <w:t>uman</w:t>
      </w:r>
      <w:r w:rsidRPr="0058144D">
        <w:rPr>
          <w:rFonts w:asciiTheme="majorBidi" w:hAnsiTheme="majorBidi" w:cstheme="majorBidi"/>
        </w:rPr>
        <w:t xml:space="preserve"> D</w:t>
      </w:r>
      <w:r>
        <w:rPr>
          <w:rFonts w:asciiTheme="majorBidi" w:hAnsiTheme="majorBidi" w:cstheme="majorBidi"/>
        </w:rPr>
        <w:t xml:space="preserve">ignity and </w:t>
      </w:r>
      <w:r w:rsidRPr="0058144D">
        <w:rPr>
          <w:rFonts w:asciiTheme="majorBidi" w:hAnsiTheme="majorBidi" w:cstheme="majorBidi"/>
        </w:rPr>
        <w:t>L</w:t>
      </w:r>
      <w:r>
        <w:rPr>
          <w:rFonts w:asciiTheme="majorBidi" w:hAnsiTheme="majorBidi" w:cstheme="majorBidi"/>
        </w:rPr>
        <w:t>iberty,</w:t>
      </w:r>
      <w:r w:rsidRPr="0058144D">
        <w:rPr>
          <w:rFonts w:asciiTheme="majorBidi" w:hAnsiTheme="majorBidi" w:cstheme="majorBidi"/>
        </w:rPr>
        <w:t xml:space="preserve"> 5752 </w:t>
      </w:r>
      <w:r>
        <w:rPr>
          <w:rFonts w:asciiTheme="majorBidi" w:hAnsiTheme="majorBidi" w:cstheme="majorBidi"/>
        </w:rPr>
        <w:t>–</w:t>
      </w:r>
      <w:r w:rsidRPr="0058144D">
        <w:rPr>
          <w:rFonts w:asciiTheme="majorBidi" w:hAnsiTheme="majorBidi" w:cstheme="majorBidi"/>
        </w:rPr>
        <w:t xml:space="preserve"> 1992</w:t>
      </w:r>
      <w:r>
        <w:rPr>
          <w:rFonts w:asciiTheme="majorBidi" w:hAnsiTheme="majorBidi" w:cstheme="majorBidi"/>
        </w:rPr>
        <w:t xml:space="preserve">, </w:t>
      </w:r>
      <w:r w:rsidRPr="009A7DAD">
        <w:rPr>
          <w:rFonts w:asciiTheme="majorBidi" w:hAnsiTheme="majorBidi" w:cstheme="majorBidi"/>
        </w:rPr>
        <w:t>S.H.150</w:t>
      </w:r>
      <w:r>
        <w:rPr>
          <w:rFonts w:asciiTheme="majorBidi" w:hAnsiTheme="majorBidi" w:cstheme="majorBidi"/>
        </w:rPr>
        <w:t>, §1</w:t>
      </w:r>
      <w:r w:rsidRPr="009A7DAD">
        <w:rPr>
          <w:rFonts w:asciiTheme="majorBidi" w:hAnsiTheme="majorBidi" w:cstheme="majorBidi"/>
        </w:rPr>
        <w:t xml:space="preserve"> (Hebrew); </w:t>
      </w:r>
      <w:r>
        <w:rPr>
          <w:rFonts w:asciiTheme="majorBidi" w:hAnsiTheme="majorBidi" w:cstheme="majorBidi"/>
        </w:rPr>
        <w:t xml:space="preserve">Unofficial </w:t>
      </w:r>
      <w:r w:rsidRPr="009A7DAD">
        <w:rPr>
          <w:rFonts w:asciiTheme="majorBidi" w:hAnsiTheme="majorBidi" w:cstheme="majorBidi"/>
        </w:rPr>
        <w:t>English Translation</w:t>
      </w:r>
      <w:r>
        <w:rPr>
          <w:rFonts w:asciiTheme="majorBidi" w:hAnsiTheme="majorBidi" w:cstheme="majorBidi"/>
        </w:rPr>
        <w:t xml:space="preserve"> by </w:t>
      </w:r>
      <w:r w:rsidRPr="009A7DAD">
        <w:rPr>
          <w:rFonts w:asciiTheme="majorBidi" w:hAnsiTheme="majorBidi" w:cstheme="majorBidi"/>
        </w:rPr>
        <w:t xml:space="preserve">Dr. Susan Hattis Rolef-Knesset web site, </w:t>
      </w:r>
      <w:hyperlink r:id="rId5" w:history="1">
        <w:r w:rsidRPr="00E30725">
          <w:rPr>
            <w:rStyle w:val="Hyperlink"/>
            <w:rFonts w:asciiTheme="majorBidi" w:hAnsiTheme="majorBidi" w:cstheme="majorBidi"/>
          </w:rPr>
          <w:t>http://knesset.gov.il/laws/special/eng/BasicLawLiberty.pdf</w:t>
        </w:r>
      </w:hyperlink>
      <w:r w:rsidRPr="009A7DAD">
        <w:rPr>
          <w:rFonts w:asciiTheme="majorBidi" w:hAnsiTheme="majorBidi" w:cstheme="majorBidi"/>
        </w:rPr>
        <w:t>.</w:t>
      </w:r>
      <w:r>
        <w:t xml:space="preserve"> </w:t>
      </w:r>
    </w:p>
  </w:footnote>
  <w:footnote w:id="14">
    <w:p w:rsidR="009D3D9C" w:rsidRPr="00FA6FD7" w:rsidRDefault="009D3D9C" w:rsidP="00BF4FC8">
      <w:pPr>
        <w:pStyle w:val="a3"/>
        <w:bidi w:val="0"/>
        <w:jc w:val="both"/>
      </w:pPr>
      <w:r>
        <w:rPr>
          <w:rStyle w:val="a5"/>
        </w:rPr>
        <w:footnoteRef/>
      </w:r>
      <w:r>
        <w:t xml:space="preserve"> </w:t>
      </w:r>
      <w:r w:rsidRPr="004E4AA7">
        <w:rPr>
          <w:rFonts w:asciiTheme="majorBidi" w:eastAsia="Times New Roman" w:hAnsiTheme="majorBidi" w:cstheme="majorBidi"/>
          <w:color w:val="333333"/>
          <w:kern w:val="36"/>
        </w:rPr>
        <w:t xml:space="preserve">CA 6821/93 </w:t>
      </w:r>
      <w:r w:rsidRPr="004E4AA7">
        <w:rPr>
          <w:rFonts w:asciiTheme="majorBidi" w:eastAsia="Times New Roman" w:hAnsiTheme="majorBidi" w:cstheme="majorBidi"/>
          <w:smallCaps/>
          <w:color w:val="333333"/>
          <w:kern w:val="36"/>
        </w:rPr>
        <w:t>United Mizrahi Bank Ltd.v. Migdal Cooperative Village</w:t>
      </w:r>
      <w:r>
        <w:rPr>
          <w:rFonts w:asciiTheme="majorBidi" w:eastAsia="Times New Roman" w:hAnsiTheme="majorBidi" w:cstheme="majorBidi"/>
          <w:color w:val="333333"/>
          <w:kern w:val="36"/>
        </w:rPr>
        <w:t xml:space="preserve">, </w:t>
      </w:r>
      <w:r w:rsidRPr="004E4AA7">
        <w:rPr>
          <w:rFonts w:asciiTheme="majorBidi" w:eastAsia="Times New Roman" w:hAnsiTheme="majorBidi" w:cstheme="majorBidi"/>
          <w:color w:val="333333"/>
          <w:kern w:val="36"/>
        </w:rPr>
        <w:t>49(4) PD 221 (1995)(Hebrew);</w:t>
      </w:r>
      <w:r>
        <w:rPr>
          <w:rFonts w:asciiTheme="majorBidi" w:eastAsia="Times New Roman" w:hAnsiTheme="majorBidi" w:cstheme="majorBidi"/>
          <w:color w:val="333333"/>
          <w:kern w:val="36"/>
        </w:rPr>
        <w:t xml:space="preserve"> </w:t>
      </w:r>
      <w:r w:rsidRPr="004E4AA7">
        <w:rPr>
          <w:rFonts w:asciiTheme="majorBidi" w:eastAsia="Times New Roman" w:hAnsiTheme="majorBidi" w:cstheme="majorBidi"/>
          <w:color w:val="333333"/>
          <w:kern w:val="36"/>
        </w:rPr>
        <w:t>Israel Law Reports [1995] IsrLR 1 (</w:t>
      </w:r>
      <w:r>
        <w:rPr>
          <w:rFonts w:asciiTheme="majorBidi" w:eastAsia="Times New Roman" w:hAnsiTheme="majorBidi" w:cstheme="majorBidi"/>
          <w:color w:val="333333"/>
          <w:kern w:val="36"/>
        </w:rPr>
        <w:t xml:space="preserve">Official </w:t>
      </w:r>
      <w:r w:rsidRPr="004E4AA7">
        <w:rPr>
          <w:rFonts w:asciiTheme="majorBidi" w:eastAsia="Times New Roman" w:hAnsiTheme="majorBidi" w:cstheme="majorBidi"/>
          <w:color w:val="333333"/>
          <w:kern w:val="36"/>
        </w:rPr>
        <w:t>English Transla</w:t>
      </w:r>
      <w:r>
        <w:rPr>
          <w:rFonts w:asciiTheme="majorBidi" w:eastAsia="Times New Roman" w:hAnsiTheme="majorBidi" w:cstheme="majorBidi"/>
          <w:color w:val="333333"/>
          <w:kern w:val="36"/>
        </w:rPr>
        <w:t>t</w:t>
      </w:r>
      <w:r w:rsidRPr="004E4AA7">
        <w:rPr>
          <w:rFonts w:asciiTheme="majorBidi" w:eastAsia="Times New Roman" w:hAnsiTheme="majorBidi" w:cstheme="majorBidi"/>
          <w:color w:val="333333"/>
          <w:kern w:val="36"/>
        </w:rPr>
        <w:t>ion),</w:t>
      </w:r>
      <w:r>
        <w:t xml:space="preserve"> </w:t>
      </w:r>
      <w:hyperlink r:id="rId6" w:history="1">
        <w:r w:rsidRPr="004E4AA7">
          <w:rPr>
            <w:rStyle w:val="Hyperlink"/>
            <w:rFonts w:ascii="Times New Roman" w:hAnsi="Times New Roman" w:cs="Times New Roman"/>
            <w:color w:val="0563C1"/>
          </w:rPr>
          <w:t>http://elyon1.court.gov.il/files_eng/93/210/068/z01/93068210.z01.pdf</w:t>
        </w:r>
      </w:hyperlink>
      <w:r>
        <w:t xml:space="preserve">; </w:t>
      </w:r>
      <w:r w:rsidRPr="00EC302E">
        <w:rPr>
          <w:rFonts w:ascii="Times New Roman" w:hAnsi="Times New Roman" w:cs="Times New Roman"/>
          <w:smallCaps/>
        </w:rPr>
        <w:t>VERSA-Opinions of The Supreme Court of Israel, Translated Opinions,</w:t>
      </w:r>
      <w:r>
        <w:rPr>
          <w:rFonts w:ascii="Times New Roman" w:hAnsi="Times New Roman" w:cs="Times New Roman"/>
        </w:rPr>
        <w:t xml:space="preserve"> </w:t>
      </w:r>
      <w:hyperlink r:id="rId7" w:history="1">
        <w:r w:rsidRPr="004E4AA7">
          <w:rPr>
            <w:rStyle w:val="Hyperlink"/>
            <w:rFonts w:ascii="Times New Roman" w:hAnsi="Times New Roman" w:cs="Times New Roman"/>
            <w:color w:val="0563C1"/>
          </w:rPr>
          <w:t>http://versa.cardozo.yu.edu/opinions/united-mizrahi-bank-v-migdal-cooperative-village</w:t>
        </w:r>
      </w:hyperlink>
      <w:r>
        <w:rPr>
          <w:rFonts w:asciiTheme="majorBidi" w:eastAsia="Times New Roman" w:hAnsiTheme="majorBidi" w:cstheme="majorBidi"/>
          <w:color w:val="333333"/>
          <w:kern w:val="36"/>
        </w:rPr>
        <w:t>.</w:t>
      </w:r>
    </w:p>
  </w:footnote>
  <w:footnote w:id="15">
    <w:p w:rsidR="009D3D9C" w:rsidRPr="00EC1919" w:rsidRDefault="009D3D9C" w:rsidP="00BF4FC8">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BF4FC8">
        <w:rPr>
          <w:rFonts w:asciiTheme="majorBidi" w:hAnsiTheme="majorBidi" w:cstheme="majorBidi"/>
          <w:smallCaps/>
        </w:rPr>
        <w:t>Marbury v. Madison</w:t>
      </w:r>
      <w:r w:rsidRPr="00BF4FC8">
        <w:rPr>
          <w:rFonts w:asciiTheme="majorBidi" w:hAnsiTheme="majorBidi" w:cstheme="majorBidi"/>
        </w:rPr>
        <w:t xml:space="preserve">, 5 </w:t>
      </w:r>
      <w:r w:rsidRPr="00BF4FC8">
        <w:rPr>
          <w:rFonts w:asciiTheme="majorBidi" w:hAnsiTheme="majorBidi" w:cstheme="majorBidi"/>
          <w:smallCaps/>
        </w:rPr>
        <w:t>U.S.</w:t>
      </w:r>
      <w:r w:rsidRPr="00BF4FC8">
        <w:rPr>
          <w:rFonts w:asciiTheme="majorBidi" w:hAnsiTheme="majorBidi" w:cstheme="majorBidi"/>
        </w:rPr>
        <w:t xml:space="preserve"> 137 (1803)</w:t>
      </w:r>
      <w:r>
        <w:rPr>
          <w:rFonts w:asciiTheme="majorBidi" w:hAnsiTheme="majorBidi" w:cstheme="majorBidi"/>
        </w:rPr>
        <w:t xml:space="preserve">; Yoram Rabin &amp; Arnon Gutfeld </w:t>
      </w:r>
      <w:hyperlink r:id="rId8" w:history="1">
        <w:r w:rsidRPr="00BF4FC8">
          <w:rPr>
            <w:rFonts w:asciiTheme="majorBidi" w:hAnsiTheme="majorBidi" w:cstheme="majorBidi"/>
            <w:i/>
            <w:iCs/>
          </w:rPr>
          <w:t>Marbury v. Madison and Its Impact of Israeli Constitutional Law</w:t>
        </w:r>
      </w:hyperlink>
      <w:r>
        <w:rPr>
          <w:rFonts w:asciiTheme="majorBidi" w:hAnsiTheme="majorBidi" w:cstheme="majorBidi"/>
        </w:rPr>
        <w:t xml:space="preserve"> 15 </w:t>
      </w:r>
      <w:r w:rsidRPr="00BF4FC8">
        <w:rPr>
          <w:rFonts w:asciiTheme="majorBidi" w:hAnsiTheme="majorBidi" w:cstheme="majorBidi"/>
          <w:smallCaps/>
        </w:rPr>
        <w:t>U. Miami Int'l &amp; Comp. L. Rev.</w:t>
      </w:r>
      <w:r>
        <w:rPr>
          <w:rFonts w:asciiTheme="majorBidi" w:hAnsiTheme="majorBidi" w:cstheme="majorBidi"/>
        </w:rPr>
        <w:t xml:space="preserve"> 303, 318-320 (2007).</w:t>
      </w:r>
    </w:p>
  </w:footnote>
  <w:footnote w:id="16">
    <w:p w:rsidR="009D3D9C" w:rsidRPr="00EC1919" w:rsidRDefault="009D3D9C" w:rsidP="00BF4FC8">
      <w:pPr>
        <w:pStyle w:val="a3"/>
        <w:bidi w:val="0"/>
        <w:jc w:val="both"/>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w:t>
      </w:r>
      <w:r w:rsidRPr="00412AC4">
        <w:rPr>
          <w:rFonts w:asciiTheme="majorBidi" w:hAnsiTheme="majorBidi" w:cstheme="majorBidi"/>
        </w:rPr>
        <w:t>Suzie Navot</w:t>
      </w:r>
      <w:r>
        <w:rPr>
          <w:rFonts w:asciiTheme="majorBidi" w:hAnsiTheme="majorBidi"/>
        </w:rPr>
        <w:t xml:space="preserve"> </w:t>
      </w:r>
      <w:r w:rsidRPr="00412AC4">
        <w:rPr>
          <w:rFonts w:asciiTheme="majorBidi" w:hAnsiTheme="majorBidi"/>
          <w:smallCaps/>
        </w:rPr>
        <w:t>The Constitution of Israel-A Contextual Analysis</w:t>
      </w:r>
      <w:r>
        <w:rPr>
          <w:rFonts w:asciiTheme="majorBidi" w:hAnsiTheme="majorBidi"/>
        </w:rPr>
        <w:t xml:space="preserve"> </w:t>
      </w:r>
      <w:r w:rsidRPr="004E4AA7">
        <w:rPr>
          <w:rFonts w:asciiTheme="majorBidi" w:eastAsia="Times New Roman" w:hAnsiTheme="majorBidi" w:cstheme="majorBidi"/>
          <w:color w:val="333333"/>
          <w:kern w:val="36"/>
          <w:highlight w:val="yellow"/>
        </w:rPr>
        <w:t>??? Ch.2 at p. 2-3</w:t>
      </w:r>
      <w:r>
        <w:rPr>
          <w:rFonts w:asciiTheme="majorBidi" w:hAnsiTheme="majorBidi"/>
        </w:rPr>
        <w:t xml:space="preserve"> (Hart Publishing 2014);</w:t>
      </w:r>
      <w:r>
        <w:rPr>
          <w:rFonts w:asciiTheme="majorBidi" w:hAnsiTheme="majorBidi" w:cstheme="majorBidi"/>
        </w:rPr>
        <w:t xml:space="preserve"> </w:t>
      </w:r>
      <w:r w:rsidRPr="00412AC4">
        <w:rPr>
          <w:rFonts w:asciiTheme="majorBidi" w:hAnsiTheme="majorBidi" w:cstheme="majorBidi"/>
        </w:rPr>
        <w:t>D</w:t>
      </w:r>
      <w:r>
        <w:rPr>
          <w:rFonts w:asciiTheme="majorBidi" w:hAnsiTheme="majorBidi" w:cstheme="majorBidi"/>
        </w:rPr>
        <w:t>aphna</w:t>
      </w:r>
      <w:r w:rsidRPr="00412AC4">
        <w:rPr>
          <w:rFonts w:asciiTheme="majorBidi" w:hAnsiTheme="majorBidi" w:cstheme="majorBidi"/>
        </w:rPr>
        <w:t xml:space="preserve"> Barak-Erez </w:t>
      </w:r>
      <w:hyperlink r:id="rId9" w:history="1">
        <w:r w:rsidRPr="00412AC4">
          <w:rPr>
            <w:rFonts w:asciiTheme="majorBidi" w:hAnsiTheme="majorBidi" w:cstheme="majorBidi"/>
            <w:i/>
            <w:iCs/>
          </w:rPr>
          <w:t>Broadening the scope of judicial review in Israel: between activism and restraint</w:t>
        </w:r>
      </w:hyperlink>
      <w:r>
        <w:rPr>
          <w:rFonts w:asciiTheme="majorBidi" w:hAnsiTheme="majorBidi" w:cstheme="majorBidi"/>
        </w:rPr>
        <w:t xml:space="preserve">, </w:t>
      </w:r>
      <w:r>
        <w:rPr>
          <w:rFonts w:asciiTheme="majorBidi" w:hAnsiTheme="majorBidi" w:cstheme="majorBidi"/>
          <w:smallCaps/>
        </w:rPr>
        <w:t xml:space="preserve">3 </w:t>
      </w:r>
      <w:r w:rsidRPr="00412AC4">
        <w:rPr>
          <w:rFonts w:asciiTheme="majorBidi" w:hAnsiTheme="majorBidi" w:cstheme="majorBidi"/>
          <w:smallCaps/>
        </w:rPr>
        <w:t>Ind</w:t>
      </w:r>
      <w:r>
        <w:rPr>
          <w:rFonts w:asciiTheme="majorBidi" w:hAnsiTheme="majorBidi" w:cstheme="majorBidi"/>
          <w:smallCaps/>
        </w:rPr>
        <w:t>.</w:t>
      </w:r>
      <w:r w:rsidRPr="00412AC4">
        <w:rPr>
          <w:rFonts w:asciiTheme="majorBidi" w:hAnsiTheme="majorBidi" w:cstheme="majorBidi"/>
          <w:smallCaps/>
        </w:rPr>
        <w:t xml:space="preserve"> J</w:t>
      </w:r>
      <w:r>
        <w:rPr>
          <w:rFonts w:asciiTheme="majorBidi" w:hAnsiTheme="majorBidi" w:cstheme="majorBidi"/>
          <w:smallCaps/>
        </w:rPr>
        <w:t>.</w:t>
      </w:r>
      <w:r w:rsidRPr="00412AC4">
        <w:rPr>
          <w:rFonts w:asciiTheme="majorBidi" w:hAnsiTheme="majorBidi" w:cstheme="majorBidi"/>
          <w:smallCaps/>
        </w:rPr>
        <w:t xml:space="preserve"> Const</w:t>
      </w:r>
      <w:r>
        <w:rPr>
          <w:rFonts w:asciiTheme="majorBidi" w:hAnsiTheme="majorBidi" w:cstheme="majorBidi"/>
          <w:smallCaps/>
        </w:rPr>
        <w:t>.</w:t>
      </w:r>
      <w:r w:rsidRPr="00412AC4">
        <w:rPr>
          <w:rFonts w:asciiTheme="majorBidi" w:hAnsiTheme="majorBidi" w:cstheme="majorBidi"/>
          <w:smallCaps/>
        </w:rPr>
        <w:t xml:space="preserve"> L</w:t>
      </w:r>
      <w:r>
        <w:rPr>
          <w:rFonts w:asciiTheme="majorBidi" w:hAnsiTheme="majorBidi" w:cstheme="majorBidi"/>
          <w:smallCaps/>
        </w:rPr>
        <w:t>.</w:t>
      </w:r>
      <w:r>
        <w:rPr>
          <w:rFonts w:asciiTheme="majorBidi" w:hAnsiTheme="majorBidi" w:cstheme="majorBidi"/>
        </w:rPr>
        <w:t xml:space="preserve"> 119, 121 (</w:t>
      </w:r>
      <w:r w:rsidRPr="00412AC4">
        <w:rPr>
          <w:rFonts w:asciiTheme="majorBidi" w:hAnsiTheme="majorBidi" w:cstheme="majorBidi"/>
        </w:rPr>
        <w:t>2009</w:t>
      </w:r>
      <w:r>
        <w:rPr>
          <w:rFonts w:asciiTheme="majorBidi" w:hAnsiTheme="majorBidi" w:cstheme="majorBidi"/>
        </w:rPr>
        <w:t>).</w:t>
      </w:r>
      <w:r w:rsidRPr="00BF4FC8">
        <w:rPr>
          <w:rFonts w:asciiTheme="majorBidi" w:eastAsia="Times New Roman" w:hAnsiTheme="majorBidi" w:cstheme="majorBidi"/>
          <w:color w:val="333333"/>
          <w:kern w:val="36"/>
        </w:rPr>
        <w:t xml:space="preserve"> </w:t>
      </w:r>
    </w:p>
  </w:footnote>
  <w:footnote w:id="17">
    <w:p w:rsidR="009D3D9C" w:rsidRPr="00EC1919" w:rsidRDefault="009D3D9C" w:rsidP="009E0728">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 xml:space="preserve">Navot, supra note </w:t>
      </w:r>
      <w:r>
        <w:rPr>
          <w:rFonts w:asciiTheme="majorBidi" w:hAnsiTheme="majorBidi" w:cstheme="majorBidi"/>
        </w:rPr>
        <w:fldChar w:fldCharType="begin"/>
      </w:r>
      <w:r>
        <w:rPr>
          <w:rFonts w:asciiTheme="majorBidi" w:hAnsiTheme="majorBidi" w:cstheme="majorBidi"/>
        </w:rPr>
        <w:instrText xml:space="preserve"> NOTEREF _Ref518397926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16</w:t>
      </w:r>
      <w:r>
        <w:rPr>
          <w:rFonts w:asciiTheme="majorBidi" w:hAnsiTheme="majorBidi" w:cstheme="majorBidi"/>
        </w:rPr>
        <w:fldChar w:fldCharType="end"/>
      </w:r>
      <w:r>
        <w:rPr>
          <w:rFonts w:asciiTheme="majorBidi" w:hAnsiTheme="majorBidi" w:cstheme="majorBidi"/>
        </w:rPr>
        <w:t xml:space="preserve">, at </w:t>
      </w:r>
      <w:r w:rsidRPr="00BF4FC8">
        <w:rPr>
          <w:rFonts w:asciiTheme="majorBidi" w:hAnsiTheme="majorBidi" w:cstheme="majorBidi"/>
          <w:highlight w:val="yellow"/>
        </w:rPr>
        <w:t>???</w:t>
      </w:r>
      <w:r>
        <w:rPr>
          <w:rFonts w:asciiTheme="majorBidi" w:hAnsiTheme="majorBidi" w:cstheme="majorBidi"/>
        </w:rPr>
        <w:t xml:space="preserve">; </w:t>
      </w:r>
      <w:r w:rsidRPr="009E0728">
        <w:rPr>
          <w:rFonts w:asciiTheme="majorBidi" w:hAnsiTheme="majorBidi" w:cstheme="majorBidi"/>
        </w:rPr>
        <w:t xml:space="preserve">Miguel Deutch </w:t>
      </w:r>
      <w:hyperlink r:id="rId10" w:history="1">
        <w:r w:rsidRPr="009E0728">
          <w:rPr>
            <w:rFonts w:asciiTheme="majorBidi" w:hAnsiTheme="majorBidi" w:cstheme="majorBidi"/>
            <w:i/>
            <w:iCs/>
          </w:rPr>
          <w:t>Protection of Obligatory Rights as Property within the Framework of the Constitutional Revolution in Israel</w:t>
        </w:r>
      </w:hyperlink>
      <w:r>
        <w:rPr>
          <w:rFonts w:asciiTheme="majorBidi" w:hAnsiTheme="majorBidi" w:cstheme="majorBidi"/>
        </w:rPr>
        <w:t xml:space="preserve"> </w:t>
      </w:r>
      <w:r w:rsidRPr="009E0728">
        <w:rPr>
          <w:rFonts w:asciiTheme="majorBidi" w:hAnsiTheme="majorBidi" w:cstheme="majorBidi"/>
        </w:rPr>
        <w:t xml:space="preserve">15 </w:t>
      </w:r>
      <w:r w:rsidRPr="009E0728">
        <w:rPr>
          <w:rFonts w:asciiTheme="majorBidi" w:hAnsiTheme="majorBidi" w:cstheme="majorBidi"/>
          <w:smallCaps/>
        </w:rPr>
        <w:t>Tel Aviv U. Stud. L.</w:t>
      </w:r>
      <w:r w:rsidRPr="009E0728">
        <w:rPr>
          <w:rFonts w:asciiTheme="majorBidi" w:hAnsiTheme="majorBidi" w:cstheme="majorBidi"/>
        </w:rPr>
        <w:t xml:space="preserve"> 147, 150 (2000)</w:t>
      </w:r>
      <w:r>
        <w:rPr>
          <w:rFonts w:asciiTheme="majorBidi" w:hAnsiTheme="majorBidi" w:cstheme="majorBidi"/>
        </w:rPr>
        <w:t xml:space="preserve">; </w:t>
      </w:r>
      <w:r w:rsidRPr="009E0728">
        <w:rPr>
          <w:rFonts w:asciiTheme="majorBidi" w:hAnsiTheme="majorBidi" w:cstheme="majorBidi"/>
        </w:rPr>
        <w:t xml:space="preserve">Ran Hirschl </w:t>
      </w:r>
      <w:r w:rsidRPr="009E0728">
        <w:rPr>
          <w:rFonts w:asciiTheme="majorBidi" w:hAnsiTheme="majorBidi" w:cstheme="majorBidi"/>
          <w:i/>
          <w:iCs/>
        </w:rPr>
        <w:t>The "Constitutional Revolution" and the Emergence of a New Economic Order in Israel</w:t>
      </w:r>
      <w:r w:rsidRPr="009E0728">
        <w:rPr>
          <w:rFonts w:asciiTheme="majorBidi" w:hAnsiTheme="majorBidi" w:cstheme="majorBidi"/>
        </w:rPr>
        <w:t xml:space="preserve"> 2</w:t>
      </w:r>
      <w:r w:rsidRPr="009E0728">
        <w:rPr>
          <w:rFonts w:asciiTheme="majorBidi" w:hAnsiTheme="majorBidi" w:cstheme="majorBidi"/>
          <w:smallCaps/>
        </w:rPr>
        <w:t xml:space="preserve"> Israel Studies</w:t>
      </w:r>
      <w:r w:rsidRPr="009E0728">
        <w:rPr>
          <w:rFonts w:asciiTheme="majorBidi" w:hAnsiTheme="majorBidi" w:cstheme="majorBidi"/>
        </w:rPr>
        <w:t xml:space="preserve"> 136, 137-138 (1997)</w:t>
      </w:r>
      <w:r>
        <w:rPr>
          <w:rFonts w:asciiTheme="majorBidi" w:hAnsiTheme="majorBidi" w:cstheme="majorBidi"/>
        </w:rPr>
        <w:t>.</w:t>
      </w:r>
    </w:p>
  </w:footnote>
  <w:footnote w:id="18">
    <w:p w:rsidR="009D3D9C" w:rsidRDefault="009D3D9C" w:rsidP="00A06D6B">
      <w:pPr>
        <w:pStyle w:val="a3"/>
        <w:bidi w:val="0"/>
      </w:pPr>
      <w:r>
        <w:rPr>
          <w:rStyle w:val="a5"/>
        </w:rPr>
        <w:footnoteRef/>
      </w:r>
      <w:r>
        <w:rPr>
          <w:rtl/>
        </w:rPr>
        <w:t xml:space="preserve"> </w:t>
      </w:r>
      <w:r>
        <w:t xml:space="preserve"> </w:t>
      </w:r>
      <w:r w:rsidRPr="00A06D6B">
        <w:rPr>
          <w:rFonts w:asciiTheme="majorBidi" w:hAnsiTheme="majorBidi" w:cstheme="majorBidi"/>
        </w:rPr>
        <w:t xml:space="preserve">Soffer </w:t>
      </w:r>
      <w:r w:rsidRPr="00A06D6B">
        <w:rPr>
          <w:rFonts w:asciiTheme="majorBidi" w:hAnsiTheme="majorBidi" w:cstheme="majorBidi"/>
          <w:i/>
          <w:iCs/>
        </w:rPr>
        <w:t>Judicial review</w:t>
      </w:r>
      <w:r w:rsidRPr="00A06D6B">
        <w:rPr>
          <w:rFonts w:asciiTheme="majorBidi" w:hAnsiTheme="majorBidi" w:cstheme="majorBidi"/>
        </w:rPr>
        <w:t xml:space="preserve">, supra note </w:t>
      </w:r>
      <w:r w:rsidRPr="00A06D6B">
        <w:rPr>
          <w:rFonts w:asciiTheme="majorBidi" w:hAnsiTheme="majorBidi" w:cstheme="majorBidi"/>
        </w:rPr>
        <w:fldChar w:fldCharType="begin"/>
      </w:r>
      <w:r w:rsidRPr="00A06D6B">
        <w:rPr>
          <w:rFonts w:asciiTheme="majorBidi" w:hAnsiTheme="majorBidi" w:cstheme="majorBidi"/>
        </w:rPr>
        <w:instrText xml:space="preserve"> NOTEREF _Ref518420134 \h </w:instrText>
      </w:r>
      <w:r>
        <w:rPr>
          <w:rFonts w:asciiTheme="majorBidi" w:hAnsiTheme="majorBidi" w:cstheme="majorBidi"/>
        </w:rPr>
        <w:instrText xml:space="preserve"> \* MERGEFORMAT </w:instrText>
      </w:r>
      <w:r w:rsidRPr="00A06D6B">
        <w:rPr>
          <w:rFonts w:asciiTheme="majorBidi" w:hAnsiTheme="majorBidi" w:cstheme="majorBidi"/>
        </w:rPr>
      </w:r>
      <w:r w:rsidRPr="00A06D6B">
        <w:rPr>
          <w:rFonts w:asciiTheme="majorBidi" w:hAnsiTheme="majorBidi" w:cstheme="majorBidi"/>
        </w:rPr>
        <w:fldChar w:fldCharType="separate"/>
      </w:r>
      <w:r w:rsidR="00141AEA">
        <w:rPr>
          <w:rFonts w:asciiTheme="majorBidi" w:hAnsiTheme="majorBidi" w:cstheme="majorBidi"/>
        </w:rPr>
        <w:t>11</w:t>
      </w:r>
      <w:r w:rsidRPr="00A06D6B">
        <w:rPr>
          <w:rFonts w:asciiTheme="majorBidi" w:hAnsiTheme="majorBidi" w:cstheme="majorBidi"/>
        </w:rPr>
        <w:fldChar w:fldCharType="end"/>
      </w:r>
      <w:r w:rsidRPr="00A06D6B">
        <w:rPr>
          <w:rFonts w:asciiTheme="majorBidi" w:hAnsiTheme="majorBidi" w:cstheme="majorBidi"/>
        </w:rPr>
        <w:t xml:space="preserve">, at </w:t>
      </w:r>
      <w:r>
        <w:rPr>
          <w:rFonts w:asciiTheme="majorBidi" w:hAnsiTheme="majorBidi" w:cstheme="majorBidi"/>
        </w:rPr>
        <w:t xml:space="preserve">308, </w:t>
      </w:r>
      <w:r w:rsidRPr="00A06D6B">
        <w:rPr>
          <w:rFonts w:asciiTheme="majorBidi" w:hAnsiTheme="majorBidi" w:cstheme="majorBidi"/>
        </w:rPr>
        <w:t>319.</w:t>
      </w:r>
      <w:r>
        <w:t xml:space="preserve"> </w:t>
      </w:r>
    </w:p>
  </w:footnote>
  <w:footnote w:id="19">
    <w:p w:rsidR="009D3D9C" w:rsidRPr="00EC1919" w:rsidRDefault="009D3D9C" w:rsidP="000E7024">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hyperlink r:id="rId11" w:history="1">
        <w:r w:rsidRPr="004D49F6">
          <w:rPr>
            <w:rFonts w:asciiTheme="majorBidi" w:hAnsiTheme="majorBidi" w:cstheme="majorBidi"/>
          </w:rPr>
          <w:t>David Nachmias</w:t>
        </w:r>
      </w:hyperlink>
      <w:r>
        <w:rPr>
          <w:rFonts w:asciiTheme="majorBidi" w:hAnsiTheme="majorBidi" w:cstheme="majorBidi"/>
        </w:rPr>
        <w:t xml:space="preserve">, </w:t>
      </w:r>
      <w:hyperlink r:id="rId12" w:history="1">
        <w:r w:rsidRPr="004D49F6">
          <w:rPr>
            <w:rFonts w:asciiTheme="majorBidi" w:hAnsiTheme="majorBidi" w:cstheme="majorBidi"/>
          </w:rPr>
          <w:t>Itai Sened</w:t>
        </w:r>
      </w:hyperlink>
      <w:r>
        <w:rPr>
          <w:rFonts w:asciiTheme="majorBidi" w:hAnsiTheme="majorBidi" w:cstheme="majorBidi"/>
        </w:rPr>
        <w:t xml:space="preserve">, </w:t>
      </w:r>
      <w:r w:rsidRPr="004D49F6">
        <w:rPr>
          <w:rFonts w:asciiTheme="majorBidi" w:hAnsiTheme="majorBidi" w:cstheme="majorBidi"/>
          <w:i/>
          <w:iCs/>
        </w:rPr>
        <w:t>Governance and public policy</w:t>
      </w:r>
      <w:r>
        <w:rPr>
          <w:rFonts w:asciiTheme="majorBidi" w:hAnsiTheme="majorBidi" w:cstheme="majorBidi"/>
        </w:rPr>
        <w:t xml:space="preserve"> 7 </w:t>
      </w:r>
      <w:r w:rsidRPr="004D49F6">
        <w:rPr>
          <w:rFonts w:asciiTheme="majorBidi" w:hAnsiTheme="majorBidi" w:cstheme="majorBidi"/>
          <w:smallCaps/>
        </w:rPr>
        <w:t>Israel Affairs</w:t>
      </w:r>
      <w:r>
        <w:rPr>
          <w:rFonts w:asciiTheme="majorBidi" w:hAnsiTheme="majorBidi" w:cstheme="majorBidi"/>
        </w:rPr>
        <w:t xml:space="preserve"> 3 (2001); </w:t>
      </w:r>
      <w:r w:rsidRPr="0061088C">
        <w:rPr>
          <w:rFonts w:asciiTheme="majorBidi" w:hAnsiTheme="majorBidi" w:cstheme="majorBidi"/>
        </w:rPr>
        <w:t>Assaf Meydani</w:t>
      </w:r>
      <w:r>
        <w:rPr>
          <w:rFonts w:asciiTheme="majorBidi" w:hAnsiTheme="majorBidi" w:cstheme="majorBidi"/>
        </w:rPr>
        <w:t xml:space="preserve">, </w:t>
      </w:r>
      <w:r w:rsidRPr="0061088C">
        <w:rPr>
          <w:rFonts w:asciiTheme="majorBidi" w:hAnsiTheme="majorBidi" w:cstheme="majorBidi"/>
          <w:smallCaps/>
        </w:rPr>
        <w:t>The Israeli supreme court and the human rights revolution: Courts as agenda setters</w:t>
      </w:r>
      <w:r w:rsidRPr="0061088C">
        <w:rPr>
          <w:rFonts w:asciiTheme="majorBidi" w:hAnsiTheme="majorBidi" w:cstheme="majorBidi"/>
        </w:rPr>
        <w:t xml:space="preserve"> </w:t>
      </w:r>
      <w:r w:rsidRPr="002004EF">
        <w:rPr>
          <w:rFonts w:asciiTheme="majorBidi" w:hAnsiTheme="majorBidi" w:cstheme="majorBidi"/>
          <w:highlight w:val="yellow"/>
        </w:rPr>
        <w:t>116-120</w:t>
      </w:r>
      <w:r w:rsidRPr="003E5079">
        <w:rPr>
          <w:rFonts w:asciiTheme="majorBidi" w:hAnsiTheme="majorBidi" w:cstheme="majorBidi"/>
          <w:highlight w:val="yellow"/>
        </w:rPr>
        <w:t>, 152</w:t>
      </w:r>
      <w:r>
        <w:rPr>
          <w:rFonts w:asciiTheme="majorBidi" w:hAnsiTheme="majorBidi" w:cstheme="majorBidi"/>
        </w:rPr>
        <w:t xml:space="preserve"> </w:t>
      </w:r>
      <w:r w:rsidRPr="0061088C">
        <w:rPr>
          <w:rFonts w:asciiTheme="majorBidi" w:hAnsiTheme="majorBidi" w:cstheme="majorBidi"/>
        </w:rPr>
        <w:t>(OUP</w:t>
      </w:r>
      <w:r>
        <w:rPr>
          <w:rFonts w:asciiTheme="majorBidi" w:hAnsiTheme="majorBidi" w:cstheme="majorBidi"/>
        </w:rPr>
        <w:t xml:space="preserve"> 2011</w:t>
      </w:r>
      <w:r w:rsidRPr="0061088C">
        <w:rPr>
          <w:rFonts w:asciiTheme="majorBidi" w:hAnsiTheme="majorBidi" w:cstheme="majorBidi"/>
        </w:rPr>
        <w:t xml:space="preserve"> )</w:t>
      </w:r>
      <w:r>
        <w:rPr>
          <w:rFonts w:asciiTheme="majorBidi" w:hAnsiTheme="majorBidi" w:cstheme="majorBidi"/>
        </w:rPr>
        <w:t xml:space="preserve">; </w:t>
      </w:r>
      <w:r w:rsidRPr="00A06D6B">
        <w:rPr>
          <w:rFonts w:asciiTheme="majorBidi" w:hAnsiTheme="majorBidi" w:cstheme="majorBidi"/>
        </w:rPr>
        <w:t xml:space="preserve">Soffer </w:t>
      </w:r>
      <w:r w:rsidRPr="00A06D6B">
        <w:rPr>
          <w:rFonts w:asciiTheme="majorBidi" w:hAnsiTheme="majorBidi" w:cstheme="majorBidi"/>
          <w:i/>
          <w:iCs/>
        </w:rPr>
        <w:t>Judicial review</w:t>
      </w:r>
      <w:r w:rsidRPr="00A06D6B">
        <w:rPr>
          <w:rFonts w:asciiTheme="majorBidi" w:hAnsiTheme="majorBidi" w:cstheme="majorBidi"/>
        </w:rPr>
        <w:t xml:space="preserve">, supra note </w:t>
      </w:r>
      <w:r w:rsidRPr="00A06D6B">
        <w:rPr>
          <w:rFonts w:asciiTheme="majorBidi" w:hAnsiTheme="majorBidi" w:cstheme="majorBidi"/>
        </w:rPr>
        <w:fldChar w:fldCharType="begin"/>
      </w:r>
      <w:r w:rsidRPr="00A06D6B">
        <w:rPr>
          <w:rFonts w:asciiTheme="majorBidi" w:hAnsiTheme="majorBidi" w:cstheme="majorBidi"/>
        </w:rPr>
        <w:instrText xml:space="preserve"> NOTEREF _Ref518420134 \h </w:instrText>
      </w:r>
      <w:r>
        <w:rPr>
          <w:rFonts w:asciiTheme="majorBidi" w:hAnsiTheme="majorBidi" w:cstheme="majorBidi"/>
        </w:rPr>
        <w:instrText xml:space="preserve"> \* MERGEFORMAT </w:instrText>
      </w:r>
      <w:r w:rsidRPr="00A06D6B">
        <w:rPr>
          <w:rFonts w:asciiTheme="majorBidi" w:hAnsiTheme="majorBidi" w:cstheme="majorBidi"/>
        </w:rPr>
      </w:r>
      <w:r w:rsidRPr="00A06D6B">
        <w:rPr>
          <w:rFonts w:asciiTheme="majorBidi" w:hAnsiTheme="majorBidi" w:cstheme="majorBidi"/>
        </w:rPr>
        <w:fldChar w:fldCharType="separate"/>
      </w:r>
      <w:r w:rsidR="00141AEA">
        <w:rPr>
          <w:rFonts w:asciiTheme="majorBidi" w:hAnsiTheme="majorBidi" w:cstheme="majorBidi"/>
        </w:rPr>
        <w:t>11</w:t>
      </w:r>
      <w:r w:rsidRPr="00A06D6B">
        <w:rPr>
          <w:rFonts w:asciiTheme="majorBidi" w:hAnsiTheme="majorBidi" w:cstheme="majorBidi"/>
        </w:rPr>
        <w:fldChar w:fldCharType="end"/>
      </w:r>
      <w:r w:rsidRPr="00A06D6B">
        <w:rPr>
          <w:rFonts w:asciiTheme="majorBidi" w:hAnsiTheme="majorBidi" w:cstheme="majorBidi"/>
        </w:rPr>
        <w:t>, at</w:t>
      </w:r>
      <w:r>
        <w:rPr>
          <w:rFonts w:asciiTheme="majorBidi" w:hAnsiTheme="majorBidi" w:cstheme="majorBidi"/>
        </w:rPr>
        <w:t xml:space="preserve"> 312.</w:t>
      </w:r>
    </w:p>
  </w:footnote>
  <w:footnote w:id="20">
    <w:p w:rsidR="009D3D9C" w:rsidRPr="00EC1919" w:rsidRDefault="009D3D9C" w:rsidP="009E1596">
      <w:pPr>
        <w:pStyle w:val="a3"/>
        <w:bidi w:val="0"/>
        <w:jc w:val="both"/>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w:t>
      </w:r>
      <w:r w:rsidRPr="00412AC4">
        <w:rPr>
          <w:rFonts w:asciiTheme="majorBidi" w:hAnsiTheme="majorBidi" w:cstheme="majorBidi"/>
        </w:rPr>
        <w:t>Nomi Levitsky</w:t>
      </w:r>
      <w:r>
        <w:rPr>
          <w:rFonts w:asciiTheme="majorBidi" w:hAnsiTheme="majorBidi" w:cstheme="majorBidi"/>
        </w:rPr>
        <w:t xml:space="preserve">, </w:t>
      </w:r>
      <w:r w:rsidRPr="00412AC4">
        <w:rPr>
          <w:rFonts w:asciiTheme="majorBidi" w:hAnsiTheme="majorBidi" w:cstheme="majorBidi"/>
          <w:smallCaps/>
        </w:rPr>
        <w:t>The Supremes</w:t>
      </w:r>
      <w:r>
        <w:rPr>
          <w:rFonts w:asciiTheme="majorBidi" w:hAnsiTheme="majorBidi" w:cstheme="majorBidi"/>
        </w:rPr>
        <w:t xml:space="preserve"> (</w:t>
      </w:r>
      <w:r w:rsidRPr="00412AC4">
        <w:rPr>
          <w:rFonts w:asciiTheme="majorBidi" w:hAnsiTheme="majorBidi" w:cstheme="majorBidi"/>
        </w:rPr>
        <w:t>Hakibbutz Hameuchad,</w:t>
      </w:r>
      <w:r>
        <w:rPr>
          <w:rFonts w:asciiTheme="majorBidi" w:hAnsiTheme="majorBidi" w:cstheme="majorBidi"/>
        </w:rPr>
        <w:t xml:space="preserve"> 2006)(Hebrew); </w:t>
      </w:r>
      <w:hyperlink r:id="rId13" w:tgtFrame="_blank" w:history="1">
        <w:r w:rsidRPr="00412AC4">
          <w:rPr>
            <w:rFonts w:asciiTheme="majorBidi" w:hAnsiTheme="majorBidi" w:cstheme="majorBidi"/>
          </w:rPr>
          <w:t xml:space="preserve">Pnina Lahav </w:t>
        </w:r>
        <w:r w:rsidRPr="00412AC4">
          <w:rPr>
            <w:rFonts w:asciiTheme="majorBidi" w:hAnsiTheme="majorBidi" w:cstheme="majorBidi"/>
            <w:i/>
            <w:iCs/>
          </w:rPr>
          <w:t>American Moment[s]: When, How, and Why Did Israeli Law Faculties Come to Resemble Elite U.S. Law Schools?</w:t>
        </w:r>
        <w:r w:rsidRPr="00412AC4">
          <w:rPr>
            <w:rFonts w:asciiTheme="majorBidi" w:hAnsiTheme="majorBidi" w:cstheme="majorBidi"/>
          </w:rPr>
          <w:t xml:space="preserve"> </w:t>
        </w:r>
        <w:r>
          <w:rPr>
            <w:rFonts w:asciiTheme="majorBidi" w:hAnsiTheme="majorBidi" w:cstheme="majorBidi"/>
          </w:rPr>
          <w:t xml:space="preserve">10 </w:t>
        </w:r>
        <w:r w:rsidRPr="00412AC4">
          <w:rPr>
            <w:rFonts w:asciiTheme="majorBidi" w:hAnsiTheme="majorBidi" w:cstheme="majorBidi"/>
            <w:smallCaps/>
          </w:rPr>
          <w:t>Theoretical Inquiries in Law</w:t>
        </w:r>
        <w:r w:rsidRPr="00412AC4">
          <w:rPr>
            <w:rFonts w:asciiTheme="majorBidi" w:hAnsiTheme="majorBidi" w:cstheme="majorBidi"/>
          </w:rPr>
          <w:t xml:space="preserve"> 653</w:t>
        </w:r>
      </w:hyperlink>
      <w:r>
        <w:rPr>
          <w:rFonts w:asciiTheme="majorBidi" w:hAnsiTheme="majorBidi" w:cstheme="majorBidi"/>
        </w:rPr>
        <w:t xml:space="preserve">, 657-658 </w:t>
      </w:r>
      <w:r w:rsidRPr="00412AC4">
        <w:rPr>
          <w:rFonts w:asciiTheme="majorBidi" w:hAnsiTheme="majorBidi" w:cstheme="majorBidi"/>
        </w:rPr>
        <w:t xml:space="preserve"> (</w:t>
      </w:r>
      <w:r>
        <w:rPr>
          <w:rFonts w:asciiTheme="majorBidi" w:hAnsiTheme="majorBidi" w:cstheme="majorBidi"/>
        </w:rPr>
        <w:t>2009).</w:t>
      </w:r>
    </w:p>
  </w:footnote>
  <w:footnote w:id="21">
    <w:p w:rsidR="009D3D9C" w:rsidRPr="00EC1919" w:rsidRDefault="009D3D9C" w:rsidP="009E1596">
      <w:pPr>
        <w:pStyle w:val="a3"/>
        <w:bidi w:val="0"/>
        <w:jc w:val="both"/>
        <w:rPr>
          <w:rFonts w:asciiTheme="majorBidi" w:hAnsiTheme="majorBidi" w:cstheme="majorBidi"/>
          <w:rtl/>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412AC4">
        <w:rPr>
          <w:rFonts w:asciiTheme="majorBidi" w:hAnsiTheme="majorBidi" w:cstheme="majorBidi"/>
        </w:rPr>
        <w:t>Aharon Barak</w:t>
      </w:r>
      <w:r>
        <w:rPr>
          <w:rFonts w:asciiTheme="majorBidi" w:hAnsiTheme="majorBidi" w:cstheme="majorBidi"/>
        </w:rPr>
        <w:t xml:space="preserve"> </w:t>
      </w:r>
      <w:r w:rsidRPr="00412AC4">
        <w:rPr>
          <w:rFonts w:asciiTheme="majorBidi" w:hAnsiTheme="majorBidi" w:cstheme="majorBidi"/>
          <w:i/>
          <w:iCs/>
        </w:rPr>
        <w:t>A judge on judging: The role of a supreme court in a democracy</w:t>
      </w:r>
      <w:r>
        <w:rPr>
          <w:rFonts w:asciiTheme="majorBidi" w:hAnsiTheme="majorBidi" w:cstheme="majorBidi"/>
        </w:rPr>
        <w:t xml:space="preserve"> </w:t>
      </w:r>
      <w:r w:rsidRPr="00412AC4">
        <w:rPr>
          <w:rFonts w:asciiTheme="majorBidi" w:hAnsiTheme="majorBidi" w:cstheme="majorBidi"/>
        </w:rPr>
        <w:t>116 Harv. L. Rev. 16</w:t>
      </w:r>
      <w:r>
        <w:rPr>
          <w:rFonts w:asciiTheme="majorBidi" w:hAnsiTheme="majorBidi" w:cstheme="majorBidi"/>
        </w:rPr>
        <w:t>, 33-36 (2002).</w:t>
      </w:r>
    </w:p>
  </w:footnote>
  <w:footnote w:id="22">
    <w:p w:rsidR="009D3D9C" w:rsidRPr="00EC1919" w:rsidRDefault="009D3D9C" w:rsidP="009E1596">
      <w:pPr>
        <w:pStyle w:val="a3"/>
        <w:bidi w:val="0"/>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Oz Almog </w:t>
      </w:r>
      <w:hyperlink r:id="rId14" w:history="1">
        <w:r w:rsidRPr="009E1596">
          <w:rPr>
            <w:rFonts w:asciiTheme="majorBidi" w:hAnsiTheme="majorBidi" w:cstheme="majorBidi"/>
            <w:i/>
            <w:iCs/>
          </w:rPr>
          <w:t>Shifting the centre from nation to individual and universe: The new 'democratic faith'</w:t>
        </w:r>
        <w:r>
          <w:rPr>
            <w:rFonts w:asciiTheme="majorBidi" w:hAnsiTheme="majorBidi" w:cstheme="majorBidi"/>
            <w:i/>
            <w:iCs/>
          </w:rPr>
          <w:t xml:space="preserve"> </w:t>
        </w:r>
        <w:r w:rsidRPr="009E1596">
          <w:rPr>
            <w:rFonts w:asciiTheme="majorBidi" w:hAnsiTheme="majorBidi" w:cstheme="majorBidi"/>
            <w:i/>
            <w:iCs/>
          </w:rPr>
          <w:t>of Israel</w:t>
        </w:r>
      </w:hyperlink>
      <w:r>
        <w:rPr>
          <w:rFonts w:asciiTheme="majorBidi" w:hAnsiTheme="majorBidi" w:cstheme="majorBidi"/>
        </w:rPr>
        <w:t xml:space="preserve"> 8 </w:t>
      </w:r>
      <w:r w:rsidRPr="009E1596">
        <w:rPr>
          <w:rFonts w:asciiTheme="majorBidi" w:hAnsiTheme="majorBidi" w:cstheme="majorBidi"/>
          <w:smallCaps/>
        </w:rPr>
        <w:t>Israel Affairs</w:t>
      </w:r>
      <w:r>
        <w:rPr>
          <w:rFonts w:asciiTheme="majorBidi" w:hAnsiTheme="majorBidi" w:cstheme="majorBidi"/>
        </w:rPr>
        <w:t xml:space="preserve"> 31, 35-36 (2001).</w:t>
      </w:r>
    </w:p>
  </w:footnote>
  <w:footnote w:id="23">
    <w:p w:rsidR="009D3D9C" w:rsidRPr="00EC1919" w:rsidRDefault="009D3D9C" w:rsidP="00196439">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Mautner, supra note </w:t>
      </w:r>
      <w:r>
        <w:rPr>
          <w:rFonts w:asciiTheme="majorBidi" w:hAnsiTheme="majorBidi" w:cstheme="majorBidi"/>
        </w:rPr>
        <w:fldChar w:fldCharType="begin"/>
      </w:r>
      <w:r>
        <w:rPr>
          <w:rFonts w:asciiTheme="majorBidi" w:hAnsiTheme="majorBidi" w:cstheme="majorBidi"/>
        </w:rPr>
        <w:instrText xml:space="preserve"> NOTEREF _Ref518390629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12</w:t>
      </w:r>
      <w:r>
        <w:rPr>
          <w:rFonts w:asciiTheme="majorBidi" w:hAnsiTheme="majorBidi" w:cstheme="majorBidi"/>
        </w:rPr>
        <w:fldChar w:fldCharType="end"/>
      </w:r>
      <w:r>
        <w:rPr>
          <w:rFonts w:asciiTheme="majorBidi" w:hAnsiTheme="majorBidi" w:cstheme="majorBidi"/>
        </w:rPr>
        <w:t xml:space="preserve">, at </w:t>
      </w:r>
      <w:r w:rsidRPr="006F0579">
        <w:rPr>
          <w:rFonts w:asciiTheme="majorBidi" w:hAnsiTheme="majorBidi" w:cstheme="majorBidi"/>
          <w:highlight w:val="yellow"/>
        </w:rPr>
        <w:t>90-103</w:t>
      </w:r>
      <w:r>
        <w:rPr>
          <w:rFonts w:asciiTheme="majorBidi" w:hAnsiTheme="majorBidi" w:cstheme="majorBidi"/>
        </w:rPr>
        <w:t>.</w:t>
      </w:r>
    </w:p>
  </w:footnote>
  <w:footnote w:id="24">
    <w:p w:rsidR="009D3D9C" w:rsidRPr="00EC1919" w:rsidRDefault="009D3D9C" w:rsidP="00330B24">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bookmarkStart w:id="9" w:name="citation"/>
      <w:r w:rsidRPr="00317816">
        <w:rPr>
          <w:rFonts w:ascii="TimesNewRomanPSMT" w:hAnsi="TimesNewRomanPSMT" w:cs="TimesNewRomanPSMT"/>
          <w:sz w:val="18"/>
          <w:szCs w:val="18"/>
        </w:rPr>
        <w:t>Friedmann</w:t>
      </w:r>
      <w:r>
        <w:rPr>
          <w:rFonts w:ascii="TimesNewRomanPSMT" w:hAnsi="TimesNewRomanPSMT" w:cs="TimesNewRomanPSMT"/>
          <w:sz w:val="18"/>
          <w:szCs w:val="18"/>
        </w:rPr>
        <w:t>,</w:t>
      </w:r>
      <w:r w:rsidRPr="00317816">
        <w:rPr>
          <w:rFonts w:ascii="TimesNewRomanPSMT" w:hAnsi="TimesNewRomanPSMT" w:cs="TimesNewRomanPSMT"/>
          <w:sz w:val="18"/>
          <w:szCs w:val="18"/>
        </w:rPr>
        <w:t xml:space="preserve"> </w:t>
      </w:r>
      <w:r w:rsidRPr="00317816">
        <w:rPr>
          <w:rFonts w:ascii="TimesNewRomanPSMT" w:hAnsi="TimesNewRomanPSMT" w:cs="TimesNewRomanPSMT"/>
          <w:smallCaps/>
          <w:sz w:val="18"/>
          <w:szCs w:val="18"/>
        </w:rPr>
        <w:t>The Purse and the Sword</w:t>
      </w:r>
      <w:r>
        <w:rPr>
          <w:lang w:val="en"/>
        </w:rPr>
        <w:t xml:space="preserve">, </w:t>
      </w:r>
      <w:r w:rsidRPr="003B7D60">
        <w:rPr>
          <w:rFonts w:ascii="TimesNewRomanPSMT" w:hAnsi="TimesNewRomanPSMT" w:cs="TimesNewRomanPSMT"/>
          <w:sz w:val="18"/>
          <w:szCs w:val="18"/>
        </w:rPr>
        <w:t xml:space="preserve">supra note </w:t>
      </w:r>
      <w:r w:rsidRPr="003B7D60">
        <w:rPr>
          <w:rFonts w:ascii="TimesNewRomanPSMT" w:hAnsi="TimesNewRomanPSMT" w:cs="TimesNewRomanPSMT"/>
          <w:sz w:val="18"/>
          <w:szCs w:val="18"/>
        </w:rPr>
        <w:fldChar w:fldCharType="begin"/>
      </w:r>
      <w:r w:rsidRPr="003B7D60">
        <w:rPr>
          <w:rFonts w:ascii="TimesNewRomanPSMT" w:hAnsi="TimesNewRomanPSMT" w:cs="TimesNewRomanPSMT"/>
          <w:sz w:val="18"/>
          <w:szCs w:val="18"/>
        </w:rPr>
        <w:instrText xml:space="preserve"> NOTEREF _Ref518420134 \h </w:instrText>
      </w:r>
      <w:r>
        <w:rPr>
          <w:rFonts w:ascii="TimesNewRomanPSMT" w:hAnsi="TimesNewRomanPSMT" w:cs="TimesNewRomanPSMT"/>
          <w:sz w:val="18"/>
          <w:szCs w:val="18"/>
        </w:rPr>
        <w:instrText xml:space="preserve"> \* MERGEFORMAT </w:instrText>
      </w:r>
      <w:r w:rsidRPr="003B7D60">
        <w:rPr>
          <w:rFonts w:ascii="TimesNewRomanPSMT" w:hAnsi="TimesNewRomanPSMT" w:cs="TimesNewRomanPSMT"/>
          <w:sz w:val="18"/>
          <w:szCs w:val="18"/>
        </w:rPr>
      </w:r>
      <w:r w:rsidRPr="003B7D60">
        <w:rPr>
          <w:rFonts w:ascii="TimesNewRomanPSMT" w:hAnsi="TimesNewRomanPSMT" w:cs="TimesNewRomanPSMT"/>
          <w:sz w:val="18"/>
          <w:szCs w:val="18"/>
        </w:rPr>
        <w:fldChar w:fldCharType="separate"/>
      </w:r>
      <w:r w:rsidR="00141AEA">
        <w:rPr>
          <w:rFonts w:ascii="TimesNewRomanPSMT" w:hAnsi="TimesNewRomanPSMT" w:cs="TimesNewRomanPSMT"/>
          <w:sz w:val="18"/>
          <w:szCs w:val="18"/>
        </w:rPr>
        <w:t>11</w:t>
      </w:r>
      <w:r w:rsidRPr="003B7D60">
        <w:rPr>
          <w:rFonts w:ascii="TimesNewRomanPSMT" w:hAnsi="TimesNewRomanPSMT" w:cs="TimesNewRomanPSMT"/>
          <w:sz w:val="18"/>
          <w:szCs w:val="18"/>
        </w:rPr>
        <w:fldChar w:fldCharType="end"/>
      </w:r>
      <w:r w:rsidRPr="003B7D60">
        <w:rPr>
          <w:rFonts w:ascii="TimesNewRomanPSMT" w:hAnsi="TimesNewRomanPSMT" w:cs="TimesNewRomanPSMT"/>
          <w:sz w:val="18"/>
          <w:szCs w:val="18"/>
        </w:rPr>
        <w:t xml:space="preserve">, at </w:t>
      </w:r>
      <w:r w:rsidRPr="003B7D60">
        <w:rPr>
          <w:rFonts w:ascii="TimesNewRomanPSMT" w:hAnsi="TimesNewRomanPSMT" w:cs="TimesNewRomanPSMT"/>
          <w:sz w:val="18"/>
          <w:szCs w:val="18"/>
          <w:highlight w:val="yellow"/>
        </w:rPr>
        <w:t>???;</w:t>
      </w:r>
      <w:r w:rsidRPr="003B7D60">
        <w:rPr>
          <w:rFonts w:ascii="TimesNewRomanPSMT" w:hAnsi="TimesNewRomanPSMT" w:cs="TimesNewRomanPSMT"/>
          <w:sz w:val="18"/>
          <w:szCs w:val="18"/>
        </w:rPr>
        <w:t xml:space="preserve"> </w:t>
      </w:r>
      <w:bookmarkEnd w:id="9"/>
      <w:r>
        <w:rPr>
          <w:rFonts w:ascii="TimesNewRomanPSMT" w:hAnsi="TimesNewRomanPSMT" w:cs="TimesNewRomanPSMT"/>
          <w:sz w:val="18"/>
          <w:szCs w:val="18"/>
        </w:rPr>
        <w:t xml:space="preserve">Ruth Gavison </w:t>
      </w:r>
      <w:r w:rsidRPr="00330B24">
        <w:rPr>
          <w:rFonts w:ascii="TimesNewRomanPSMT" w:hAnsi="TimesNewRomanPSMT" w:cs="TimesNewRomanPSMT"/>
          <w:i/>
          <w:iCs/>
          <w:sz w:val="18"/>
          <w:szCs w:val="18"/>
        </w:rPr>
        <w:t>The Role of Courts in Rifted Democracies</w:t>
      </w:r>
      <w:r w:rsidRPr="00330B24">
        <w:rPr>
          <w:rFonts w:ascii="TimesNewRomanPSMT" w:hAnsi="TimesNewRomanPSMT" w:cs="TimesNewRomanPSMT"/>
          <w:sz w:val="18"/>
          <w:szCs w:val="18"/>
        </w:rPr>
        <w:t xml:space="preserve"> 33 </w:t>
      </w:r>
      <w:r w:rsidRPr="00330B24">
        <w:rPr>
          <w:rFonts w:ascii="TimesNewRomanPSMT" w:hAnsi="TimesNewRomanPSMT" w:cs="TimesNewRomanPSMT"/>
          <w:smallCaps/>
          <w:sz w:val="18"/>
          <w:szCs w:val="18"/>
        </w:rPr>
        <w:t>Isr. L. Rev.</w:t>
      </w:r>
      <w:r w:rsidRPr="00330B24">
        <w:rPr>
          <w:rFonts w:ascii="TimesNewRomanPSMT" w:hAnsi="TimesNewRomanPSMT" w:cs="TimesNewRomanPSMT"/>
          <w:sz w:val="18"/>
          <w:szCs w:val="18"/>
        </w:rPr>
        <w:t xml:space="preserve"> 216</w:t>
      </w:r>
      <w:r>
        <w:rPr>
          <w:rFonts w:ascii="TimesNewRomanPSMT" w:hAnsi="TimesNewRomanPSMT" w:cs="TimesNewRomanPSMT"/>
          <w:sz w:val="18"/>
          <w:szCs w:val="18"/>
        </w:rPr>
        <w:t xml:space="preserve">, 233-234 (1999); </w:t>
      </w:r>
      <w:r w:rsidRPr="001C09E7">
        <w:rPr>
          <w:rFonts w:ascii="TimesNewRomanPSMT" w:eastAsia="Times New Roman" w:hAnsi="TimesNewRomanPSMT" w:cs="TimesNewRomanPSMT"/>
          <w:sz w:val="18"/>
          <w:szCs w:val="18"/>
        </w:rPr>
        <w:t>Yoav Dotan</w:t>
      </w:r>
      <w:r>
        <w:rPr>
          <w:rFonts w:ascii="TimesNewRomanPSMT" w:hAnsi="TimesNewRomanPSMT" w:cs="TimesNewRomanPSMT"/>
          <w:sz w:val="18"/>
          <w:szCs w:val="18"/>
        </w:rPr>
        <w:t xml:space="preserve"> </w:t>
      </w:r>
      <w:r w:rsidRPr="001C09E7">
        <w:rPr>
          <w:rFonts w:ascii="TimesNewRomanPSMT" w:hAnsi="TimesNewRomanPSMT" w:cs="TimesNewRomanPSMT"/>
          <w:i/>
          <w:iCs/>
          <w:sz w:val="18"/>
          <w:szCs w:val="18"/>
        </w:rPr>
        <w:t>Judicial Review and Political Accountability: The Case of the High Court of Justice in Israel</w:t>
      </w:r>
      <w:r w:rsidRPr="001C09E7">
        <w:rPr>
          <w:rFonts w:ascii="TimesNewRomanPSMT" w:hAnsi="TimesNewRomanPSMT" w:cs="TimesNewRomanPSMT"/>
          <w:sz w:val="18"/>
          <w:szCs w:val="18"/>
        </w:rPr>
        <w:t> </w:t>
      </w:r>
      <w:r w:rsidRPr="001C09E7">
        <w:rPr>
          <w:rFonts w:ascii="TimesNewRomanPSMT" w:eastAsia="Times New Roman" w:hAnsi="TimesNewRomanPSMT" w:cs="TimesNewRomanPSMT"/>
          <w:sz w:val="18"/>
          <w:szCs w:val="18"/>
        </w:rPr>
        <w:t xml:space="preserve">32 </w:t>
      </w:r>
      <w:r w:rsidRPr="001C09E7">
        <w:rPr>
          <w:rFonts w:ascii="TimesNewRomanPSMT" w:eastAsia="Times New Roman" w:hAnsi="TimesNewRomanPSMT" w:cs="TimesNewRomanPSMT"/>
          <w:smallCaps/>
          <w:sz w:val="18"/>
          <w:szCs w:val="18"/>
        </w:rPr>
        <w:t>Isr. L. Rev.</w:t>
      </w:r>
      <w:r w:rsidRPr="001C09E7">
        <w:rPr>
          <w:rFonts w:ascii="TimesNewRomanPSMT" w:eastAsia="Times New Roman" w:hAnsi="TimesNewRomanPSMT" w:cs="TimesNewRomanPSMT"/>
          <w:sz w:val="18"/>
          <w:szCs w:val="18"/>
        </w:rPr>
        <w:t xml:space="preserve"> 448, 468-473 (1998)</w:t>
      </w:r>
      <w:r>
        <w:rPr>
          <w:rFonts w:ascii="TimesNewRomanPSMT" w:hAnsi="TimesNewRomanPSMT" w:cs="TimesNewRomanPSMT"/>
          <w:sz w:val="18"/>
          <w:szCs w:val="18"/>
        </w:rPr>
        <w:t xml:space="preserve">; </w:t>
      </w:r>
      <w:hyperlink r:id="rId15" w:tooltip="Search for Dotan, Yoav" w:history="1">
        <w:r w:rsidRPr="003B7D60">
          <w:rPr>
            <w:rFonts w:asciiTheme="majorBidi" w:hAnsiTheme="majorBidi" w:cstheme="majorBidi"/>
          </w:rPr>
          <w:t>Yoav</w:t>
        </w:r>
      </w:hyperlink>
      <w:r>
        <w:rPr>
          <w:rFonts w:asciiTheme="majorBidi" w:hAnsiTheme="majorBidi" w:cstheme="majorBidi"/>
        </w:rPr>
        <w:t xml:space="preserve"> </w:t>
      </w:r>
      <w:r w:rsidRPr="003B7D60">
        <w:rPr>
          <w:rFonts w:asciiTheme="majorBidi" w:hAnsiTheme="majorBidi" w:cstheme="majorBidi"/>
        </w:rPr>
        <w:t>Dotan</w:t>
      </w:r>
      <w:r>
        <w:rPr>
          <w:rFonts w:asciiTheme="majorBidi" w:hAnsiTheme="majorBidi" w:cstheme="majorBidi"/>
        </w:rPr>
        <w:t>,</w:t>
      </w:r>
      <w:r w:rsidRPr="003B7D60">
        <w:rPr>
          <w:rFonts w:asciiTheme="majorBidi" w:hAnsiTheme="majorBidi" w:cstheme="majorBidi"/>
        </w:rPr>
        <w:t xml:space="preserve"> </w:t>
      </w:r>
      <w:r w:rsidRPr="003B7D60">
        <w:rPr>
          <w:rFonts w:asciiTheme="majorBidi" w:hAnsiTheme="majorBidi" w:cstheme="majorBidi"/>
          <w:i/>
          <w:iCs/>
        </w:rPr>
        <w:t>Judicial Accountability in Israel: The High Court of Justice and the Phenomenon of Judicial Hyperactivism</w:t>
      </w:r>
      <w:r w:rsidRPr="003B7D60">
        <w:rPr>
          <w:rFonts w:asciiTheme="majorBidi" w:hAnsiTheme="majorBidi" w:cstheme="majorBidi"/>
        </w:rPr>
        <w:t xml:space="preserve"> 8 </w:t>
      </w:r>
      <w:hyperlink r:id="rId16" w:tooltip="Search for Israel Affairs" w:history="1">
        <w:r w:rsidRPr="003B7D60">
          <w:rPr>
            <w:rFonts w:asciiTheme="majorBidi" w:hAnsiTheme="majorBidi" w:cstheme="majorBidi"/>
            <w:smallCaps/>
          </w:rPr>
          <w:t>Israel Affairs</w:t>
        </w:r>
      </w:hyperlink>
      <w:r w:rsidRPr="003B7D60">
        <w:rPr>
          <w:rFonts w:asciiTheme="majorBidi" w:hAnsiTheme="majorBidi" w:cstheme="majorBidi"/>
        </w:rPr>
        <w:t xml:space="preserve"> 87, 99-102 (2002)</w:t>
      </w:r>
      <w:r>
        <w:rPr>
          <w:rFonts w:asciiTheme="majorBidi" w:hAnsiTheme="majorBidi" w:cstheme="majorBidi"/>
        </w:rPr>
        <w:t>.</w:t>
      </w:r>
    </w:p>
  </w:footnote>
  <w:footnote w:id="25">
    <w:p w:rsidR="009D3D9C" w:rsidRPr="00151240" w:rsidRDefault="009D3D9C" w:rsidP="00151240">
      <w:pPr>
        <w:pStyle w:val="a3"/>
        <w:bidi w:val="0"/>
        <w:jc w:val="both"/>
        <w:rPr>
          <w:rFonts w:asciiTheme="majorBidi" w:hAnsiTheme="majorBidi" w:cstheme="majorBidi"/>
          <w:color w:val="0000FF"/>
          <w:u w:val="single"/>
          <w:rtl/>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 xml:space="preserve">TOI staff, Jacob Magid </w:t>
      </w:r>
      <w:r w:rsidRPr="00DF4E1E">
        <w:rPr>
          <w:rFonts w:asciiTheme="majorBidi" w:hAnsiTheme="majorBidi" w:cstheme="majorBidi"/>
          <w:i/>
          <w:iCs/>
        </w:rPr>
        <w:t>MKs push ahead with bill curbing High Court in West Bank land</w:t>
      </w:r>
      <w:r w:rsidRPr="00DF4E1E">
        <w:rPr>
          <w:rFonts w:asciiTheme="majorBidi" w:hAnsiTheme="majorBidi"/>
          <w:i/>
          <w:iCs/>
        </w:rPr>
        <w:t xml:space="preserve"> </w:t>
      </w:r>
      <w:r w:rsidRPr="00DF4E1E">
        <w:rPr>
          <w:rFonts w:asciiTheme="majorBidi" w:hAnsiTheme="majorBidi" w:cstheme="majorBidi"/>
          <w:i/>
          <w:iCs/>
        </w:rPr>
        <w:t>disputes</w:t>
      </w:r>
      <w:r>
        <w:rPr>
          <w:rFonts w:asciiTheme="majorBidi" w:hAnsiTheme="majorBidi" w:cstheme="majorBidi"/>
        </w:rPr>
        <w:t>,</w:t>
      </w:r>
      <w:r w:rsidRPr="00DF4E1E">
        <w:rPr>
          <w:rFonts w:asciiTheme="majorBidi" w:hAnsiTheme="majorBidi" w:cstheme="majorBidi"/>
        </w:rPr>
        <w:t xml:space="preserve"> </w:t>
      </w:r>
      <w:r w:rsidRPr="00DF4E1E">
        <w:rPr>
          <w:rFonts w:asciiTheme="majorBidi" w:hAnsiTheme="majorBidi" w:cstheme="majorBidi"/>
          <w:smallCaps/>
        </w:rPr>
        <w:t>JPost</w:t>
      </w:r>
      <w:r w:rsidRPr="00DF4E1E">
        <w:rPr>
          <w:rFonts w:asciiTheme="majorBidi" w:hAnsiTheme="majorBidi" w:cstheme="majorBidi"/>
        </w:rPr>
        <w:t xml:space="preserve"> 28 May 2018</w:t>
      </w:r>
      <w:r>
        <w:rPr>
          <w:rFonts w:asciiTheme="majorBidi" w:hAnsiTheme="majorBidi" w:cstheme="majorBidi"/>
        </w:rPr>
        <w:t>,</w:t>
      </w:r>
      <w:r>
        <w:rPr>
          <w:rStyle w:val="Hyperlink"/>
          <w:rFonts w:asciiTheme="majorBidi" w:hAnsiTheme="majorBidi" w:cstheme="majorBidi"/>
        </w:rPr>
        <w:t xml:space="preserve"> </w:t>
      </w:r>
      <w:hyperlink r:id="rId17" w:history="1">
        <w:r w:rsidRPr="005719C1">
          <w:rPr>
            <w:rStyle w:val="Hyperlink"/>
            <w:rFonts w:asciiTheme="majorBidi" w:hAnsiTheme="majorBidi" w:cstheme="majorBidi"/>
          </w:rPr>
          <w:t>https://www.timesofisrael.com/mks-push-ahead-with-bill-curbing-high-court-in-west-bank-land-disputes/</w:t>
        </w:r>
      </w:hyperlink>
      <w:r>
        <w:rPr>
          <w:rFonts w:asciiTheme="majorBidi" w:hAnsiTheme="majorBidi" w:cstheme="majorBidi"/>
        </w:rPr>
        <w:t xml:space="preserve">; Lahav Harkov </w:t>
      </w:r>
      <w:r>
        <w:rPr>
          <w:rFonts w:asciiTheme="majorBidi" w:hAnsiTheme="majorBidi" w:cstheme="majorBidi"/>
          <w:i/>
          <w:iCs/>
        </w:rPr>
        <w:t>The fiercest warrior against judicial activism</w:t>
      </w:r>
      <w:r>
        <w:rPr>
          <w:rFonts w:asciiTheme="majorBidi" w:hAnsiTheme="majorBidi" w:cstheme="majorBidi"/>
        </w:rPr>
        <w:t xml:space="preserve"> JPost 29 November 2017, </w:t>
      </w:r>
      <w:hyperlink r:id="rId18" w:history="1">
        <w:r w:rsidRPr="005719C1">
          <w:rPr>
            <w:rStyle w:val="Hyperlink"/>
            <w:rFonts w:asciiTheme="majorBidi" w:hAnsiTheme="majorBidi" w:cstheme="majorBidi"/>
          </w:rPr>
          <w:t>https://www.jpost.com/Diplomatic-Conference/The-fiercest-warrior-against-judicial-activism-515595</w:t>
        </w:r>
      </w:hyperlink>
      <w:r>
        <w:rPr>
          <w:rFonts w:asciiTheme="majorBidi" w:hAnsiTheme="majorBidi" w:cstheme="majorBidi"/>
        </w:rPr>
        <w:t xml:space="preserve">; Lahav Harkov </w:t>
      </w:r>
      <w:r>
        <w:rPr>
          <w:rFonts w:asciiTheme="majorBidi" w:hAnsiTheme="majorBidi" w:cstheme="majorBidi"/>
          <w:i/>
          <w:iCs/>
        </w:rPr>
        <w:t xml:space="preserve">Bayit Yehudi's Yogev in hot water over high court bulldozer comments </w:t>
      </w:r>
      <w:r w:rsidRPr="008E22B9">
        <w:rPr>
          <w:rFonts w:asciiTheme="majorBidi" w:hAnsiTheme="majorBidi" w:cstheme="majorBidi"/>
          <w:smallCaps/>
        </w:rPr>
        <w:t>JPost</w:t>
      </w:r>
      <w:r>
        <w:rPr>
          <w:rFonts w:asciiTheme="majorBidi" w:hAnsiTheme="majorBidi" w:cstheme="majorBidi"/>
        </w:rPr>
        <w:t xml:space="preserve"> 29 July, 2015, </w:t>
      </w:r>
      <w:hyperlink r:id="rId19" w:history="1">
        <w:r w:rsidRPr="005719C1">
          <w:rPr>
            <w:rStyle w:val="Hyperlink"/>
            <w:rFonts w:asciiTheme="majorBidi" w:hAnsiTheme="majorBidi" w:cstheme="majorBidi"/>
          </w:rPr>
          <w:t>https://www.jpost.com/Israel-News/Politics-And-Diplomacy/Left-calls-Right-wing-criticism-of-High-Court-criminal-410485</w:t>
        </w:r>
      </w:hyperlink>
      <w:r>
        <w:rPr>
          <w:rFonts w:asciiTheme="majorBidi" w:hAnsiTheme="majorBidi" w:cstheme="majorBidi"/>
        </w:rPr>
        <w:t xml:space="preserve"> ; </w:t>
      </w:r>
    </w:p>
  </w:footnote>
  <w:footnote w:id="26">
    <w:p w:rsidR="009D3D9C" w:rsidRPr="00EC1919" w:rsidRDefault="009D3D9C" w:rsidP="00151240">
      <w:pPr>
        <w:pStyle w:val="a3"/>
        <w:bidi w:val="0"/>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 </w:t>
      </w:r>
      <w:r w:rsidRPr="00317816">
        <w:rPr>
          <w:rFonts w:ascii="TimesNewRomanPSMT" w:hAnsi="TimesNewRomanPSMT" w:cs="TimesNewRomanPSMT"/>
          <w:sz w:val="18"/>
          <w:szCs w:val="18"/>
        </w:rPr>
        <w:t>Friedmann</w:t>
      </w:r>
      <w:r>
        <w:rPr>
          <w:rFonts w:ascii="TimesNewRomanPSMT" w:hAnsi="TimesNewRomanPSMT" w:cs="TimesNewRomanPSMT"/>
          <w:sz w:val="18"/>
          <w:szCs w:val="18"/>
        </w:rPr>
        <w:t>,</w:t>
      </w:r>
      <w:r w:rsidRPr="00317816">
        <w:rPr>
          <w:rFonts w:ascii="TimesNewRomanPSMT" w:hAnsi="TimesNewRomanPSMT" w:cs="TimesNewRomanPSMT"/>
          <w:sz w:val="18"/>
          <w:szCs w:val="18"/>
        </w:rPr>
        <w:t xml:space="preserve"> </w:t>
      </w:r>
      <w:r w:rsidRPr="00317816">
        <w:rPr>
          <w:rFonts w:ascii="TimesNewRomanPSMT" w:hAnsi="TimesNewRomanPSMT" w:cs="TimesNewRomanPSMT"/>
          <w:smallCaps/>
          <w:sz w:val="18"/>
          <w:szCs w:val="18"/>
        </w:rPr>
        <w:t>The Purse and the Sword</w:t>
      </w:r>
      <w:r>
        <w:rPr>
          <w:lang w:val="en"/>
        </w:rPr>
        <w:t xml:space="preserve">, </w:t>
      </w:r>
      <w:r w:rsidRPr="003B7D60">
        <w:rPr>
          <w:rFonts w:ascii="TimesNewRomanPSMT" w:hAnsi="TimesNewRomanPSMT" w:cs="TimesNewRomanPSMT"/>
          <w:sz w:val="18"/>
          <w:szCs w:val="18"/>
        </w:rPr>
        <w:t xml:space="preserve">supra note </w:t>
      </w:r>
      <w:r w:rsidRPr="003B7D60">
        <w:rPr>
          <w:rFonts w:ascii="TimesNewRomanPSMT" w:hAnsi="TimesNewRomanPSMT" w:cs="TimesNewRomanPSMT"/>
          <w:sz w:val="18"/>
          <w:szCs w:val="18"/>
        </w:rPr>
        <w:fldChar w:fldCharType="begin"/>
      </w:r>
      <w:r w:rsidRPr="003B7D60">
        <w:rPr>
          <w:rFonts w:ascii="TimesNewRomanPSMT" w:hAnsi="TimesNewRomanPSMT" w:cs="TimesNewRomanPSMT"/>
          <w:sz w:val="18"/>
          <w:szCs w:val="18"/>
        </w:rPr>
        <w:instrText xml:space="preserve"> NOTEREF _Ref518420134 \h </w:instrText>
      </w:r>
      <w:r>
        <w:rPr>
          <w:rFonts w:ascii="TimesNewRomanPSMT" w:hAnsi="TimesNewRomanPSMT" w:cs="TimesNewRomanPSMT"/>
          <w:sz w:val="18"/>
          <w:szCs w:val="18"/>
        </w:rPr>
        <w:instrText xml:space="preserve"> \* MERGEFORMAT </w:instrText>
      </w:r>
      <w:r w:rsidRPr="003B7D60">
        <w:rPr>
          <w:rFonts w:ascii="TimesNewRomanPSMT" w:hAnsi="TimesNewRomanPSMT" w:cs="TimesNewRomanPSMT"/>
          <w:sz w:val="18"/>
          <w:szCs w:val="18"/>
        </w:rPr>
      </w:r>
      <w:r w:rsidRPr="003B7D60">
        <w:rPr>
          <w:rFonts w:ascii="TimesNewRomanPSMT" w:hAnsi="TimesNewRomanPSMT" w:cs="TimesNewRomanPSMT"/>
          <w:sz w:val="18"/>
          <w:szCs w:val="18"/>
        </w:rPr>
        <w:fldChar w:fldCharType="separate"/>
      </w:r>
      <w:r w:rsidR="00141AEA">
        <w:rPr>
          <w:rFonts w:ascii="TimesNewRomanPSMT" w:hAnsi="TimesNewRomanPSMT" w:cs="TimesNewRomanPSMT"/>
          <w:sz w:val="18"/>
          <w:szCs w:val="18"/>
        </w:rPr>
        <w:t>11</w:t>
      </w:r>
      <w:r w:rsidRPr="003B7D60">
        <w:rPr>
          <w:rFonts w:ascii="TimesNewRomanPSMT" w:hAnsi="TimesNewRomanPSMT" w:cs="TimesNewRomanPSMT"/>
          <w:sz w:val="18"/>
          <w:szCs w:val="18"/>
        </w:rPr>
        <w:fldChar w:fldCharType="end"/>
      </w:r>
      <w:r>
        <w:rPr>
          <w:rFonts w:ascii="TimesNewRomanPSMT" w:hAnsi="TimesNewRomanPSMT" w:cs="TimesNewRomanPSMT"/>
          <w:sz w:val="18"/>
          <w:szCs w:val="18"/>
        </w:rPr>
        <w:t>.</w:t>
      </w:r>
      <w:r w:rsidRPr="00EC1919">
        <w:rPr>
          <w:rFonts w:asciiTheme="majorBidi" w:hAnsiTheme="majorBidi" w:cstheme="majorBidi"/>
          <w:rtl/>
        </w:rPr>
        <w:t xml:space="preserve"> </w:t>
      </w:r>
    </w:p>
  </w:footnote>
  <w:footnote w:id="27">
    <w:p w:rsidR="009D3D9C" w:rsidRPr="00EC1919" w:rsidRDefault="009D3D9C" w:rsidP="0099463B">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 xml:space="preserve">Yonah Jeremy Bob </w:t>
      </w:r>
      <w:r>
        <w:rPr>
          <w:rFonts w:asciiTheme="majorBidi" w:hAnsiTheme="majorBidi" w:cstheme="majorBidi"/>
          <w:i/>
          <w:iCs/>
        </w:rPr>
        <w:t xml:space="preserve">Supreme court gets more conservative with appointment of two new justices, </w:t>
      </w:r>
      <w:r>
        <w:rPr>
          <w:rFonts w:asciiTheme="majorBidi" w:hAnsiTheme="majorBidi" w:cstheme="majorBidi"/>
        </w:rPr>
        <w:t xml:space="preserve">JPost 22 February 2018. </w:t>
      </w:r>
    </w:p>
  </w:footnote>
  <w:footnote w:id="28">
    <w:p w:rsidR="009D3D9C" w:rsidRPr="00EC1919" w:rsidRDefault="009D3D9C" w:rsidP="00666E69">
      <w:pPr>
        <w:pStyle w:val="a3"/>
        <w:bidi w:val="0"/>
        <w:jc w:val="both"/>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w:t>
      </w:r>
      <w:r w:rsidRPr="00666E69">
        <w:rPr>
          <w:rFonts w:asciiTheme="majorBidi" w:hAnsiTheme="majorBidi" w:cstheme="majorBidi"/>
        </w:rPr>
        <w:t>Proposed Basic Law: Human Dignity and Liberty (Amendment - Clause of Overcoming</w:t>
      </w:r>
      <w:r>
        <w:rPr>
          <w:rFonts w:asciiTheme="majorBidi" w:hAnsiTheme="majorBidi" w:cstheme="majorBidi"/>
        </w:rPr>
        <w:t xml:space="preserve">)(12 March 2018), Knesset WEB site, </w:t>
      </w:r>
      <w:hyperlink r:id="rId20" w:history="1">
        <w:r w:rsidRPr="005719C1">
          <w:rPr>
            <w:rStyle w:val="Hyperlink"/>
            <w:rFonts w:asciiTheme="majorBidi" w:hAnsiTheme="majorBidi" w:cstheme="majorBidi"/>
          </w:rPr>
          <w:t>http://fs.knesset.gov.il//20/law/20_lst_491213.docx</w:t>
        </w:r>
      </w:hyperlink>
      <w:r>
        <w:rPr>
          <w:rFonts w:asciiTheme="majorBidi" w:hAnsiTheme="majorBidi" w:cstheme="majorBidi"/>
        </w:rPr>
        <w:t xml:space="preserve">; Shahar Hay </w:t>
      </w:r>
      <w:r w:rsidRPr="00666E69">
        <w:rPr>
          <w:rFonts w:asciiTheme="majorBidi" w:hAnsiTheme="majorBidi" w:cstheme="majorBidi"/>
          <w:i/>
          <w:iCs/>
        </w:rPr>
        <w:t>Knesset committee approves override power over High Court</w:t>
      </w:r>
      <w:r>
        <w:rPr>
          <w:rFonts w:asciiTheme="majorBidi" w:hAnsiTheme="majorBidi" w:cstheme="majorBidi"/>
        </w:rPr>
        <w:t xml:space="preserve">, </w:t>
      </w:r>
      <w:r w:rsidRPr="00666E69">
        <w:rPr>
          <w:rFonts w:asciiTheme="majorBidi" w:hAnsiTheme="majorBidi" w:cstheme="majorBidi"/>
          <w:smallCaps/>
        </w:rPr>
        <w:t>Y-net</w:t>
      </w:r>
      <w:r w:rsidRPr="00666E69">
        <w:rPr>
          <w:rFonts w:asciiTheme="majorBidi" w:hAnsiTheme="majorBidi" w:cstheme="majorBidi"/>
        </w:rPr>
        <w:t xml:space="preserve">, 5 June 2018, </w:t>
      </w:r>
      <w:hyperlink r:id="rId21" w:history="1">
        <w:r w:rsidRPr="00666E69">
          <w:rPr>
            <w:rStyle w:val="Hyperlink"/>
            <w:rFonts w:asciiTheme="majorBidi" w:hAnsiTheme="majorBidi" w:cstheme="majorBidi"/>
          </w:rPr>
          <w:t>https://www.ynetnews.com/articles/0,7340,L-5252771,00.html</w:t>
        </w:r>
      </w:hyperlink>
      <w:r>
        <w:rPr>
          <w:rFonts w:asciiTheme="majorBidi" w:hAnsiTheme="majorBidi" w:cstheme="majorBidi"/>
        </w:rPr>
        <w:t>;</w:t>
      </w:r>
      <w:r w:rsidRPr="00EC1919">
        <w:rPr>
          <w:rFonts w:asciiTheme="majorBidi" w:hAnsiTheme="majorBidi" w:cstheme="majorBidi"/>
          <w:rtl/>
        </w:rPr>
        <w:t xml:space="preserve"> </w:t>
      </w:r>
      <w:r>
        <w:rPr>
          <w:rFonts w:asciiTheme="majorBidi" w:hAnsiTheme="majorBidi" w:cstheme="majorBidi"/>
        </w:rPr>
        <w:t xml:space="preserve">Lahav Harkov </w:t>
      </w:r>
      <w:r w:rsidRPr="00151240">
        <w:rPr>
          <w:rFonts w:asciiTheme="majorBidi" w:hAnsiTheme="majorBidi" w:cstheme="majorBidi"/>
          <w:i/>
          <w:iCs/>
        </w:rPr>
        <w:t xml:space="preserve">Netanyahu, Levin push for dramatic judiciary </w:t>
      </w:r>
      <w:r>
        <w:rPr>
          <w:rFonts w:asciiTheme="majorBidi" w:hAnsiTheme="majorBidi" w:cstheme="majorBidi"/>
          <w:i/>
          <w:iCs/>
        </w:rPr>
        <w:t>restructuring</w:t>
      </w:r>
      <w:r>
        <w:rPr>
          <w:rFonts w:asciiTheme="majorBidi" w:hAnsiTheme="majorBidi" w:cstheme="majorBidi"/>
        </w:rPr>
        <w:t xml:space="preserve"> JPost 15 April 2018, </w:t>
      </w:r>
      <w:hyperlink r:id="rId22" w:history="1">
        <w:r w:rsidRPr="005719C1">
          <w:rPr>
            <w:rStyle w:val="Hyperlink"/>
            <w:rFonts w:asciiTheme="majorBidi" w:hAnsiTheme="majorBidi" w:cstheme="majorBidi"/>
          </w:rPr>
          <w:t>https://www.jpost.com/Israel-News/Top-Likud-minister-Well-even-go-to-election-to-limit-Supreme-Court-549850</w:t>
        </w:r>
      </w:hyperlink>
      <w:r>
        <w:rPr>
          <w:rFonts w:asciiTheme="majorBidi" w:hAnsiTheme="majorBidi" w:cstheme="majorBidi"/>
        </w:rPr>
        <w:t>;</w:t>
      </w:r>
    </w:p>
  </w:footnote>
  <w:footnote w:id="29">
    <w:p w:rsidR="009D3D9C" w:rsidRPr="00EC1919" w:rsidRDefault="009D3D9C" w:rsidP="00422035">
      <w:pPr>
        <w:pStyle w:val="a3"/>
        <w:bidi w:val="0"/>
        <w:jc w:val="both"/>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tl/>
        </w:rPr>
        <w:t xml:space="preserve"> </w:t>
      </w:r>
      <w:r w:rsidRPr="00A07FCF">
        <w:rPr>
          <w:rFonts w:ascii="Times New Roman" w:hAnsi="Times New Roman" w:cs="Times New Roman"/>
        </w:rPr>
        <w:t xml:space="preserve">Eran Vigoda Gadot, </w:t>
      </w:r>
      <w:r>
        <w:rPr>
          <w:rFonts w:ascii="Times New Roman" w:hAnsi="Times New Roman" w:cs="Times New Roman"/>
        </w:rPr>
        <w:t xml:space="preserve">Nissim Cohen, </w:t>
      </w:r>
      <w:r w:rsidRPr="00A07FCF">
        <w:rPr>
          <w:rFonts w:ascii="Times New Roman" w:hAnsi="Times New Roman" w:cs="Times New Roman"/>
        </w:rPr>
        <w:t>Shlomo Mizrahi,</w:t>
      </w:r>
      <w:r w:rsidRPr="00F259DB">
        <w:rPr>
          <w:rFonts w:ascii="Times New Roman" w:hAnsi="Times New Roman" w:cs="Times New Roman"/>
          <w:smallCaps/>
          <w:lang w:eastAsia="en-GB"/>
        </w:rPr>
        <w:t xml:space="preserve"> Israeli Public Sector Performance: Citizens</w:t>
      </w:r>
      <w:r>
        <w:rPr>
          <w:rFonts w:ascii="Times New Roman" w:hAnsi="Times New Roman" w:cs="Times New Roman"/>
          <w:smallCaps/>
          <w:lang w:eastAsia="en-GB"/>
        </w:rPr>
        <w:t>’</w:t>
      </w:r>
      <w:r w:rsidRPr="00F259DB">
        <w:rPr>
          <w:rFonts w:ascii="Times New Roman" w:hAnsi="Times New Roman" w:cs="Times New Roman"/>
          <w:smallCaps/>
          <w:lang w:eastAsia="en-GB"/>
        </w:rPr>
        <w:t xml:space="preserve"> Attitudes Analysis and National Assessment </w:t>
      </w:r>
      <w:r>
        <w:rPr>
          <w:rFonts w:ascii="Times New Roman" w:hAnsi="Times New Roman" w:cs="Times New Roman"/>
          <w:smallCaps/>
          <w:lang w:eastAsia="en-GB"/>
        </w:rPr>
        <w:t>29</w:t>
      </w:r>
      <w:r w:rsidRPr="00F259DB">
        <w:rPr>
          <w:rFonts w:ascii="Times New Roman" w:hAnsi="Times New Roman" w:cs="Times New Roman"/>
          <w:smallCaps/>
          <w:lang w:eastAsia="en-GB"/>
        </w:rPr>
        <w:t xml:space="preserve"> (20</w:t>
      </w:r>
      <w:r>
        <w:rPr>
          <w:rFonts w:ascii="Times New Roman" w:hAnsi="Times New Roman" w:cs="Times New Roman"/>
          <w:smallCaps/>
          <w:lang w:eastAsia="en-GB"/>
        </w:rPr>
        <w:t>16</w:t>
      </w:r>
      <w:r w:rsidRPr="00F259DB">
        <w:rPr>
          <w:rFonts w:ascii="Times New Roman" w:hAnsi="Times New Roman" w:cs="Times New Roman"/>
          <w:smallCaps/>
          <w:lang w:eastAsia="en-GB"/>
        </w:rPr>
        <w:t>)</w:t>
      </w:r>
      <w:r>
        <w:rPr>
          <w:rFonts w:ascii="Times New Roman" w:hAnsi="Times New Roman" w:cs="Times New Roman"/>
          <w:smallCaps/>
          <w:lang w:eastAsia="en-GB"/>
        </w:rPr>
        <w:t xml:space="preserve"> </w:t>
      </w:r>
      <w:r w:rsidRPr="00F259DB">
        <w:rPr>
          <w:rFonts w:ascii="Times New Roman" w:hAnsi="Times New Roman" w:cs="Times New Roman"/>
        </w:rPr>
        <w:t>(Hebrew)</w:t>
      </w:r>
      <w:r>
        <w:rPr>
          <w:rFonts w:asciiTheme="majorBidi" w:hAnsiTheme="majorBidi" w:cstheme="majorBidi"/>
        </w:rPr>
        <w:t>;</w:t>
      </w:r>
      <w:r w:rsidR="00422035">
        <w:rPr>
          <w:rFonts w:asciiTheme="majorBidi" w:hAnsiTheme="majorBidi" w:cstheme="majorBidi"/>
        </w:rPr>
        <w:t xml:space="preserve"> </w:t>
      </w:r>
      <w:r w:rsidRPr="00A06D6B">
        <w:rPr>
          <w:rFonts w:asciiTheme="majorBidi" w:hAnsiTheme="majorBidi" w:cstheme="majorBidi"/>
        </w:rPr>
        <w:t xml:space="preserve">Soffer </w:t>
      </w:r>
      <w:r w:rsidRPr="00A06D6B">
        <w:rPr>
          <w:rFonts w:asciiTheme="majorBidi" w:hAnsiTheme="majorBidi" w:cstheme="majorBidi"/>
          <w:i/>
          <w:iCs/>
        </w:rPr>
        <w:t>Judicial review</w:t>
      </w:r>
      <w:r w:rsidRPr="00A06D6B">
        <w:rPr>
          <w:rFonts w:asciiTheme="majorBidi" w:hAnsiTheme="majorBidi" w:cstheme="majorBidi"/>
        </w:rPr>
        <w:t xml:space="preserve">, supra note </w:t>
      </w:r>
      <w:r w:rsidRPr="00A06D6B">
        <w:rPr>
          <w:rFonts w:asciiTheme="majorBidi" w:hAnsiTheme="majorBidi" w:cstheme="majorBidi"/>
        </w:rPr>
        <w:fldChar w:fldCharType="begin"/>
      </w:r>
      <w:r w:rsidRPr="00A06D6B">
        <w:rPr>
          <w:rFonts w:asciiTheme="majorBidi" w:hAnsiTheme="majorBidi" w:cstheme="majorBidi"/>
        </w:rPr>
        <w:instrText xml:space="preserve"> NOTEREF _Ref518420134 \h </w:instrText>
      </w:r>
      <w:r>
        <w:rPr>
          <w:rFonts w:asciiTheme="majorBidi" w:hAnsiTheme="majorBidi" w:cstheme="majorBidi"/>
        </w:rPr>
        <w:instrText xml:space="preserve"> \* MERGEFORMAT </w:instrText>
      </w:r>
      <w:r w:rsidRPr="00A06D6B">
        <w:rPr>
          <w:rFonts w:asciiTheme="majorBidi" w:hAnsiTheme="majorBidi" w:cstheme="majorBidi"/>
        </w:rPr>
      </w:r>
      <w:r w:rsidRPr="00A06D6B">
        <w:rPr>
          <w:rFonts w:asciiTheme="majorBidi" w:hAnsiTheme="majorBidi" w:cstheme="majorBidi"/>
        </w:rPr>
        <w:fldChar w:fldCharType="separate"/>
      </w:r>
      <w:r w:rsidR="00141AEA">
        <w:rPr>
          <w:rFonts w:asciiTheme="majorBidi" w:hAnsiTheme="majorBidi" w:cstheme="majorBidi"/>
        </w:rPr>
        <w:t>11</w:t>
      </w:r>
      <w:r w:rsidRPr="00A06D6B">
        <w:rPr>
          <w:rFonts w:asciiTheme="majorBidi" w:hAnsiTheme="majorBidi" w:cstheme="majorBidi"/>
        </w:rPr>
        <w:fldChar w:fldCharType="end"/>
      </w:r>
      <w:r w:rsidRPr="00A06D6B">
        <w:rPr>
          <w:rFonts w:asciiTheme="majorBidi" w:hAnsiTheme="majorBidi" w:cstheme="majorBidi"/>
        </w:rPr>
        <w:t>, at</w:t>
      </w:r>
      <w:r>
        <w:rPr>
          <w:rFonts w:asciiTheme="majorBidi" w:hAnsiTheme="majorBidi" w:cstheme="majorBidi"/>
        </w:rPr>
        <w:t xml:space="preserve"> </w:t>
      </w:r>
      <w:r w:rsidR="00422035">
        <w:rPr>
          <w:rFonts w:asciiTheme="majorBidi" w:hAnsiTheme="majorBidi" w:cstheme="majorBidi"/>
        </w:rPr>
        <w:t xml:space="preserve">323-325; </w:t>
      </w:r>
      <w:r>
        <w:rPr>
          <w:rFonts w:asciiTheme="majorBidi" w:hAnsiTheme="majorBidi" w:cstheme="majorBidi"/>
        </w:rPr>
        <w:t xml:space="preserve">Haim Sandberg </w:t>
      </w:r>
      <w:r w:rsidRPr="00A07FCF">
        <w:rPr>
          <w:rFonts w:asciiTheme="majorBidi" w:hAnsiTheme="majorBidi" w:cstheme="majorBidi"/>
          <w:i/>
          <w:iCs/>
        </w:rPr>
        <w:t>Strategic considerations behind normative explanations: Lessons from Israel’s Supreme Court expropriations case</w:t>
      </w:r>
      <w:r>
        <w:rPr>
          <w:rFonts w:asciiTheme="majorBidi" w:hAnsiTheme="majorBidi" w:cstheme="majorBidi"/>
        </w:rPr>
        <w:t xml:space="preserve">, 11 </w:t>
      </w:r>
      <w:r w:rsidRPr="00A07FCF">
        <w:rPr>
          <w:rFonts w:asciiTheme="majorBidi" w:hAnsiTheme="majorBidi" w:cstheme="majorBidi"/>
          <w:smallCaps/>
        </w:rPr>
        <w:t xml:space="preserve">Int'l J. Cont. L. </w:t>
      </w:r>
      <w:r>
        <w:rPr>
          <w:rFonts w:asciiTheme="majorBidi" w:hAnsiTheme="majorBidi" w:cstheme="majorBidi"/>
        </w:rPr>
        <w:t>751, 767-768 (2013)</w:t>
      </w:r>
      <w:r w:rsidR="00422035">
        <w:rPr>
          <w:rFonts w:asciiTheme="majorBidi" w:hAnsiTheme="majorBidi" w:cstheme="majorBidi"/>
        </w:rPr>
        <w:t>.</w:t>
      </w:r>
    </w:p>
  </w:footnote>
  <w:footnote w:id="30">
    <w:p w:rsidR="009D3D9C" w:rsidRPr="003B7C36" w:rsidRDefault="009D3D9C" w:rsidP="003E01D0">
      <w:pPr>
        <w:pStyle w:val="a3"/>
        <w:bidi w:val="0"/>
        <w:jc w:val="both"/>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 Joshua Weiman </w:t>
      </w:r>
      <w:r w:rsidRPr="003B7C36">
        <w:rPr>
          <w:rFonts w:asciiTheme="majorBidi" w:hAnsiTheme="majorBidi" w:cstheme="majorBidi"/>
          <w:i/>
          <w:iCs/>
        </w:rPr>
        <w:t>The Land Law, 1969: A Critical Analysis</w:t>
      </w:r>
      <w:r w:rsidRPr="003B7C36">
        <w:rPr>
          <w:rFonts w:asciiTheme="majorBidi" w:hAnsiTheme="majorBidi" w:cstheme="majorBidi"/>
        </w:rPr>
        <w:t xml:space="preserve">, 5 </w:t>
      </w:r>
      <w:r w:rsidRPr="003B7C36">
        <w:rPr>
          <w:rFonts w:asciiTheme="majorBidi" w:hAnsiTheme="majorBidi" w:cstheme="majorBidi"/>
          <w:smallCaps/>
        </w:rPr>
        <w:t>Isr. L. Rev.</w:t>
      </w:r>
      <w:r w:rsidRPr="003B7C36">
        <w:rPr>
          <w:rFonts w:asciiTheme="majorBidi" w:hAnsiTheme="majorBidi" w:cstheme="majorBidi"/>
        </w:rPr>
        <w:t xml:space="preserve"> 379,</w:t>
      </w:r>
      <w:r w:rsidRPr="00EC1919">
        <w:rPr>
          <w:rFonts w:asciiTheme="majorBidi" w:hAnsiTheme="majorBidi" w:cstheme="majorBidi"/>
          <w:rtl/>
        </w:rPr>
        <w:t xml:space="preserve"> </w:t>
      </w:r>
      <w:r>
        <w:rPr>
          <w:rFonts w:asciiTheme="majorBidi" w:hAnsiTheme="majorBidi" w:cstheme="majorBidi"/>
        </w:rPr>
        <w:t xml:space="preserve">382-384 </w:t>
      </w:r>
      <w:r w:rsidRPr="003B7C36">
        <w:rPr>
          <w:rFonts w:asciiTheme="majorBidi" w:hAnsiTheme="majorBidi" w:cstheme="majorBidi"/>
        </w:rPr>
        <w:t>(1970)</w:t>
      </w:r>
      <w:r>
        <w:rPr>
          <w:rFonts w:asciiTheme="majorBidi" w:hAnsiTheme="majorBidi" w:cstheme="majorBidi"/>
        </w:rPr>
        <w:t xml:space="preserve">; </w:t>
      </w:r>
      <w:r>
        <w:rPr>
          <w:rFonts w:asciiTheme="majorBidi" w:eastAsia="MS Mincho" w:hAnsiTheme="majorBidi" w:cstheme="majorBidi"/>
        </w:rPr>
        <w:t xml:space="preserve">Friedmann, </w:t>
      </w:r>
      <w:r w:rsidRPr="003E01D0">
        <w:rPr>
          <w:rFonts w:asciiTheme="majorBidi" w:eastAsia="MS Mincho" w:hAnsiTheme="majorBidi" w:cstheme="majorBidi"/>
          <w:i/>
          <w:iCs/>
        </w:rPr>
        <w:t>Infusion of common law</w:t>
      </w:r>
      <w:r>
        <w:rPr>
          <w:rFonts w:asciiTheme="majorBidi" w:eastAsia="MS Mincho" w:hAnsiTheme="majorBidi" w:cstheme="majorBidi"/>
        </w:rPr>
        <w:t xml:space="preserve">, supra note </w:t>
      </w:r>
      <w:r>
        <w:rPr>
          <w:rFonts w:asciiTheme="majorBidi" w:eastAsia="MS Mincho" w:hAnsiTheme="majorBidi" w:cstheme="majorBidi"/>
        </w:rPr>
        <w:fldChar w:fldCharType="begin"/>
      </w:r>
      <w:r>
        <w:rPr>
          <w:rFonts w:asciiTheme="majorBidi" w:eastAsia="MS Mincho" w:hAnsiTheme="majorBidi" w:cstheme="majorBidi"/>
        </w:rPr>
        <w:instrText xml:space="preserve"> NOTEREF _Ref518488721 \h </w:instrText>
      </w:r>
      <w:r>
        <w:rPr>
          <w:rFonts w:asciiTheme="majorBidi" w:eastAsia="MS Mincho" w:hAnsiTheme="majorBidi" w:cstheme="majorBidi"/>
        </w:rPr>
      </w:r>
      <w:r>
        <w:rPr>
          <w:rFonts w:asciiTheme="majorBidi" w:eastAsia="MS Mincho" w:hAnsiTheme="majorBidi" w:cstheme="majorBidi"/>
        </w:rPr>
        <w:fldChar w:fldCharType="separate"/>
      </w:r>
      <w:r w:rsidR="00141AEA">
        <w:rPr>
          <w:rFonts w:asciiTheme="majorBidi" w:eastAsia="MS Mincho" w:hAnsiTheme="majorBidi" w:cstheme="majorBidi"/>
        </w:rPr>
        <w:t>5</w:t>
      </w:r>
      <w:r>
        <w:rPr>
          <w:rFonts w:asciiTheme="majorBidi" w:eastAsia="MS Mincho" w:hAnsiTheme="majorBidi" w:cstheme="majorBidi"/>
        </w:rPr>
        <w:fldChar w:fldCharType="end"/>
      </w:r>
      <w:r>
        <w:rPr>
          <w:rFonts w:asciiTheme="majorBidi" w:eastAsia="MS Mincho" w:hAnsiTheme="majorBidi" w:cstheme="majorBidi"/>
        </w:rPr>
        <w:t>, at 350.</w:t>
      </w:r>
    </w:p>
  </w:footnote>
  <w:footnote w:id="31">
    <w:p w:rsidR="009D3D9C" w:rsidRPr="00EC1919" w:rsidRDefault="009D3D9C" w:rsidP="00AE7346">
      <w:pPr>
        <w:pStyle w:val="a8"/>
        <w:bidi w:val="0"/>
        <w:spacing w:line="280" w:lineRule="exact"/>
        <w:jc w:val="both"/>
        <w:rPr>
          <w:rFonts w:asciiTheme="majorBidi" w:eastAsia="MS Mincho" w:hAnsiTheme="majorBidi" w:cstheme="majorBidi"/>
          <w:lang w:eastAsia="en-US"/>
        </w:rPr>
      </w:pPr>
      <w:r w:rsidRPr="00EC1919">
        <w:rPr>
          <w:rStyle w:val="a5"/>
          <w:rFonts w:asciiTheme="majorBidi" w:hAnsiTheme="majorBidi" w:cstheme="majorBidi"/>
        </w:rPr>
        <w:footnoteRef/>
      </w:r>
      <w:r>
        <w:rPr>
          <w:rFonts w:asciiTheme="majorBidi" w:eastAsiaTheme="minorHAnsi" w:hAnsiTheme="majorBidi" w:cstheme="majorBidi"/>
          <w:lang w:eastAsia="en-US"/>
        </w:rPr>
        <w:t xml:space="preserve"> </w:t>
      </w:r>
      <w:r w:rsidRPr="003B7C36">
        <w:rPr>
          <w:rFonts w:asciiTheme="majorBidi" w:hAnsiTheme="majorBidi" w:cstheme="majorBidi"/>
        </w:rPr>
        <w:t>L</w:t>
      </w:r>
      <w:r>
        <w:rPr>
          <w:rFonts w:asciiTheme="majorBidi" w:hAnsiTheme="majorBidi" w:cstheme="majorBidi"/>
        </w:rPr>
        <w:t xml:space="preserve">eah </w:t>
      </w:r>
      <w:r w:rsidRPr="003B7C36">
        <w:rPr>
          <w:rFonts w:asciiTheme="majorBidi" w:hAnsiTheme="majorBidi" w:cstheme="majorBidi"/>
        </w:rPr>
        <w:t>Doukhan-Landau,</w:t>
      </w:r>
      <w:r w:rsidRPr="004471E0">
        <w:rPr>
          <w:rFonts w:asciiTheme="majorBidi" w:hAnsiTheme="majorBidi" w:cstheme="majorBidi"/>
          <w:smallCaps/>
        </w:rPr>
        <w:t xml:space="preserve"> Equitable Rights to Land and the remedy of specific performance of contracts of sale of land</w:t>
      </w:r>
      <w:r>
        <w:rPr>
          <w:rFonts w:asciiTheme="majorBidi" w:hAnsiTheme="majorBidi" w:cstheme="majorBidi"/>
        </w:rPr>
        <w:t xml:space="preserve"> 37-41 (</w:t>
      </w:r>
      <w:r w:rsidRPr="00EB081E">
        <w:rPr>
          <w:rFonts w:asciiTheme="majorBidi" w:hAnsiTheme="majorBidi" w:cstheme="majorBidi"/>
        </w:rPr>
        <w:t>Institute for Legislative Research and Comparative Law</w:t>
      </w:r>
      <w:r>
        <w:t xml:space="preserve">, </w:t>
      </w:r>
      <w:r w:rsidRPr="003B7C36">
        <w:rPr>
          <w:rFonts w:asciiTheme="majorBidi" w:hAnsiTheme="majorBidi" w:cstheme="majorBidi"/>
        </w:rPr>
        <w:t>Jerusalem, 1968</w:t>
      </w:r>
      <w:r>
        <w:rPr>
          <w:rFonts w:asciiTheme="majorBidi" w:hAnsiTheme="majorBidi" w:cstheme="majorBidi"/>
        </w:rPr>
        <w:t xml:space="preserve">); A. M. Apelbom </w:t>
      </w:r>
      <w:r w:rsidRPr="004471E0">
        <w:rPr>
          <w:rFonts w:asciiTheme="majorBidi" w:hAnsiTheme="majorBidi" w:cstheme="majorBidi"/>
          <w:i/>
          <w:iCs/>
        </w:rPr>
        <w:t>Book [Review]: Equitable Rights to Land and the remedy of specific performance of contracts of sale of land</w:t>
      </w:r>
      <w:r>
        <w:rPr>
          <w:rFonts w:asciiTheme="majorBidi" w:hAnsiTheme="majorBidi" w:cstheme="majorBidi"/>
        </w:rPr>
        <w:t xml:space="preserve"> </w:t>
      </w:r>
      <w:r w:rsidRPr="003B7C36">
        <w:rPr>
          <w:rFonts w:asciiTheme="majorBidi" w:hAnsiTheme="majorBidi" w:cstheme="majorBidi"/>
        </w:rPr>
        <w:t>4</w:t>
      </w:r>
      <w:r w:rsidRPr="004471E0">
        <w:rPr>
          <w:rFonts w:asciiTheme="majorBidi" w:hAnsiTheme="majorBidi" w:cstheme="majorBidi"/>
          <w:smallCaps/>
        </w:rPr>
        <w:t xml:space="preserve"> Is.L.R.</w:t>
      </w:r>
      <w:r w:rsidRPr="003B7C36">
        <w:rPr>
          <w:rFonts w:asciiTheme="majorBidi" w:hAnsiTheme="majorBidi" w:cstheme="majorBidi"/>
        </w:rPr>
        <w:t xml:space="preserve"> 165</w:t>
      </w:r>
      <w:r>
        <w:rPr>
          <w:rFonts w:asciiTheme="majorBidi" w:hAnsiTheme="majorBidi" w:cstheme="majorBidi"/>
        </w:rPr>
        <w:t>, 166-167 (</w:t>
      </w:r>
      <w:r w:rsidRPr="003B7C36">
        <w:rPr>
          <w:rFonts w:asciiTheme="majorBidi" w:hAnsiTheme="majorBidi" w:cstheme="majorBidi"/>
        </w:rPr>
        <w:t>1969)</w:t>
      </w:r>
      <w:r>
        <w:rPr>
          <w:rFonts w:asciiTheme="majorBidi" w:hAnsiTheme="majorBidi" w:cstheme="majorBidi"/>
        </w:rPr>
        <w:t>;</w:t>
      </w:r>
      <w:r>
        <w:rPr>
          <w:rFonts w:asciiTheme="majorBidi" w:eastAsiaTheme="minorHAnsi" w:hAnsiTheme="majorBidi" w:cstheme="majorBidi"/>
          <w:lang w:eastAsia="en-US"/>
        </w:rPr>
        <w:t xml:space="preserve"> David Kretzmer </w:t>
      </w:r>
      <w:r>
        <w:rPr>
          <w:rFonts w:asciiTheme="majorBidi" w:eastAsiaTheme="minorHAnsi" w:hAnsiTheme="majorBidi" w:cstheme="majorBidi"/>
          <w:i/>
          <w:iCs/>
          <w:lang w:eastAsia="en-US"/>
        </w:rPr>
        <w:t xml:space="preserve">The acquiring of equitable title, </w:t>
      </w:r>
      <w:r>
        <w:rPr>
          <w:rFonts w:asciiTheme="majorBidi" w:eastAsiaTheme="minorHAnsi" w:hAnsiTheme="majorBidi" w:cstheme="majorBidi"/>
          <w:lang w:eastAsia="en-US"/>
        </w:rPr>
        <w:t xml:space="preserve">4 Isr. L.Rev. 452 (1969); </w:t>
      </w:r>
      <w:r>
        <w:rPr>
          <w:rFonts w:asciiTheme="majorBidi" w:eastAsia="MS Mincho" w:hAnsiTheme="majorBidi" w:cstheme="majorBidi"/>
          <w:lang w:eastAsia="en-US"/>
        </w:rPr>
        <w:t>Friedmann</w:t>
      </w:r>
      <w:r>
        <w:rPr>
          <w:rFonts w:asciiTheme="majorBidi" w:eastAsia="MS Mincho" w:hAnsiTheme="majorBidi" w:cstheme="majorBidi"/>
        </w:rPr>
        <w:t>,</w:t>
      </w:r>
      <w:r>
        <w:rPr>
          <w:rFonts w:asciiTheme="majorBidi" w:eastAsia="MS Mincho" w:hAnsiTheme="majorBidi" w:cstheme="majorBidi"/>
          <w:lang w:eastAsia="en-US"/>
        </w:rPr>
        <w:t xml:space="preserve"> </w:t>
      </w:r>
      <w:r w:rsidRPr="003E01D0">
        <w:rPr>
          <w:rFonts w:asciiTheme="majorBidi" w:eastAsia="MS Mincho" w:hAnsiTheme="majorBidi" w:cstheme="majorBidi"/>
          <w:i/>
          <w:iCs/>
        </w:rPr>
        <w:t>I</w:t>
      </w:r>
      <w:r w:rsidRPr="003E01D0">
        <w:rPr>
          <w:rFonts w:asciiTheme="majorBidi" w:eastAsia="MS Mincho" w:hAnsiTheme="majorBidi" w:cstheme="majorBidi"/>
          <w:i/>
          <w:iCs/>
          <w:lang w:eastAsia="en-US"/>
        </w:rPr>
        <w:t>nfusion of common law</w:t>
      </w:r>
      <w:r>
        <w:rPr>
          <w:rFonts w:asciiTheme="majorBidi" w:eastAsia="MS Mincho" w:hAnsiTheme="majorBidi" w:cstheme="majorBidi"/>
        </w:rPr>
        <w:t xml:space="preserve">, supra note </w:t>
      </w:r>
      <w:r>
        <w:rPr>
          <w:rFonts w:asciiTheme="majorBidi" w:eastAsia="MS Mincho" w:hAnsiTheme="majorBidi" w:cstheme="majorBidi"/>
        </w:rPr>
        <w:fldChar w:fldCharType="begin"/>
      </w:r>
      <w:r>
        <w:rPr>
          <w:rFonts w:asciiTheme="majorBidi" w:eastAsia="MS Mincho" w:hAnsiTheme="majorBidi" w:cstheme="majorBidi"/>
        </w:rPr>
        <w:instrText xml:space="preserve"> NOTEREF _Ref518488721 \h </w:instrText>
      </w:r>
      <w:r>
        <w:rPr>
          <w:rFonts w:asciiTheme="majorBidi" w:eastAsia="MS Mincho" w:hAnsiTheme="majorBidi" w:cstheme="majorBidi"/>
        </w:rPr>
      </w:r>
      <w:r>
        <w:rPr>
          <w:rFonts w:asciiTheme="majorBidi" w:eastAsia="MS Mincho" w:hAnsiTheme="majorBidi" w:cstheme="majorBidi"/>
        </w:rPr>
        <w:fldChar w:fldCharType="separate"/>
      </w:r>
      <w:r w:rsidR="00141AEA">
        <w:rPr>
          <w:rFonts w:asciiTheme="majorBidi" w:eastAsia="MS Mincho" w:hAnsiTheme="majorBidi" w:cstheme="majorBidi"/>
        </w:rPr>
        <w:t>5</w:t>
      </w:r>
      <w:r>
        <w:rPr>
          <w:rFonts w:asciiTheme="majorBidi" w:eastAsia="MS Mincho" w:hAnsiTheme="majorBidi" w:cstheme="majorBidi"/>
        </w:rPr>
        <w:fldChar w:fldCharType="end"/>
      </w:r>
      <w:r>
        <w:rPr>
          <w:rFonts w:asciiTheme="majorBidi" w:eastAsia="MS Mincho" w:hAnsiTheme="majorBidi" w:cstheme="majorBidi"/>
        </w:rPr>
        <w:t>, at</w:t>
      </w:r>
      <w:r>
        <w:rPr>
          <w:rFonts w:asciiTheme="majorBidi" w:eastAsia="MS Mincho" w:hAnsiTheme="majorBidi" w:cstheme="majorBidi"/>
          <w:lang w:eastAsia="en-US"/>
        </w:rPr>
        <w:t xml:space="preserve"> 350, 375-376; Hanoch Dagan </w:t>
      </w:r>
      <w:r w:rsidRPr="00FE3474">
        <w:rPr>
          <w:rFonts w:asciiTheme="majorBidi" w:hAnsiTheme="majorBidi" w:cstheme="majorBidi"/>
          <w:i/>
          <w:iCs/>
        </w:rPr>
        <w:t>Codification, Coherence, and Priority Conflicts</w:t>
      </w:r>
      <w:r w:rsidRPr="00FE3474">
        <w:rPr>
          <w:rFonts w:asciiTheme="majorBidi" w:hAnsiTheme="majorBidi" w:cstheme="majorBidi"/>
        </w:rPr>
        <w:t xml:space="preserve"> THE DRAFT CIVIL CODE FOR ISRAEL IN COMPARATIVE PERSPECTIVE 149</w:t>
      </w:r>
      <w:r>
        <w:rPr>
          <w:rFonts w:asciiTheme="majorBidi" w:hAnsiTheme="majorBidi" w:cstheme="majorBidi"/>
        </w:rPr>
        <w:t>, 166</w:t>
      </w:r>
      <w:r w:rsidRPr="00FE3474">
        <w:rPr>
          <w:rFonts w:asciiTheme="majorBidi" w:hAnsiTheme="majorBidi" w:cstheme="majorBidi"/>
        </w:rPr>
        <w:t xml:space="preserve"> (Kurt Siehr &amp; Reinhard Zimmermann eds. 2008).</w:t>
      </w:r>
    </w:p>
  </w:footnote>
  <w:footnote w:id="32">
    <w:p w:rsidR="009D3D9C" w:rsidRPr="00EC1919" w:rsidRDefault="009D3D9C" w:rsidP="00D20667">
      <w:pPr>
        <w:pStyle w:val="a3"/>
        <w:bidi w:val="0"/>
        <w:jc w:val="both"/>
        <w:rPr>
          <w:rFonts w:asciiTheme="majorBidi" w:hAnsiTheme="majorBidi" w:cstheme="majorBidi"/>
          <w:rtl/>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 xml:space="preserve">Joshua Weiman </w:t>
      </w:r>
      <w:r w:rsidRPr="003B7C36">
        <w:rPr>
          <w:rFonts w:asciiTheme="majorBidi" w:hAnsiTheme="majorBidi" w:cstheme="majorBidi"/>
          <w:i/>
          <w:iCs/>
        </w:rPr>
        <w:t>The Land Law, 1969</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_Ref518489692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30</w:t>
      </w:r>
      <w:r>
        <w:rPr>
          <w:rFonts w:asciiTheme="majorBidi" w:hAnsiTheme="majorBidi" w:cstheme="majorBidi"/>
        </w:rPr>
        <w:fldChar w:fldCharType="end"/>
      </w:r>
      <w:r>
        <w:rPr>
          <w:rFonts w:asciiTheme="majorBidi" w:hAnsiTheme="majorBidi" w:cstheme="majorBidi"/>
        </w:rPr>
        <w:t xml:space="preserve">, at 383; </w:t>
      </w:r>
      <w:r w:rsidRPr="00D20667">
        <w:rPr>
          <w:rFonts w:asciiTheme="majorBidi" w:hAnsiTheme="majorBidi" w:cstheme="majorBidi"/>
          <w:i/>
          <w:iCs/>
        </w:rPr>
        <w:t>Willmott v. Barber</w:t>
      </w:r>
      <w:r w:rsidRPr="00EC1919">
        <w:rPr>
          <w:rFonts w:asciiTheme="majorBidi" w:hAnsiTheme="majorBidi" w:cstheme="majorBidi"/>
        </w:rPr>
        <w:t xml:space="preserve">  15 Ch.D. 96, 105 (1880)</w:t>
      </w:r>
      <w:r>
        <w:rPr>
          <w:rFonts w:asciiTheme="majorBidi" w:hAnsiTheme="majorBidi" w:cstheme="majorBidi"/>
        </w:rPr>
        <w:t xml:space="preserve">; </w:t>
      </w:r>
      <w:r w:rsidRPr="00D20667">
        <w:rPr>
          <w:rFonts w:asciiTheme="majorBidi" w:hAnsiTheme="majorBidi" w:cstheme="majorBidi"/>
          <w:smallCaps/>
        </w:rPr>
        <w:t>Razabi v. Razabi</w:t>
      </w:r>
      <w:r>
        <w:rPr>
          <w:rFonts w:asciiTheme="majorBidi" w:hAnsiTheme="majorBidi" w:cstheme="majorBidi"/>
        </w:rPr>
        <w:t xml:space="preserve"> (1955) 9 P.D. 520, 526-528 (1955)(Hebrew).</w:t>
      </w:r>
    </w:p>
  </w:footnote>
  <w:footnote w:id="33">
    <w:p w:rsidR="009D3D9C" w:rsidRDefault="009D3D9C" w:rsidP="00D20667">
      <w:pPr>
        <w:pStyle w:val="a3"/>
        <w:bidi w:val="0"/>
      </w:pPr>
      <w:r>
        <w:rPr>
          <w:rStyle w:val="a5"/>
        </w:rPr>
        <w:footnoteRef/>
      </w:r>
      <w:r>
        <w:rPr>
          <w:rtl/>
        </w:rPr>
        <w:t xml:space="preserve"> </w:t>
      </w:r>
      <w:r>
        <w:t xml:space="preserve"> </w:t>
      </w:r>
      <w:r w:rsidRPr="001515F7">
        <w:rPr>
          <w:rFonts w:ascii="Times New Roman" w:hAnsi="Times New Roman"/>
        </w:rPr>
        <w:t xml:space="preserve">Land Law 5729-1969 § 153, 5 </w:t>
      </w:r>
      <w:r w:rsidRPr="006020C7">
        <w:rPr>
          <w:rFonts w:ascii="Times New Roman" w:hAnsi="Times New Roman"/>
          <w:smallCaps/>
        </w:rPr>
        <w:t>Isr. L. Rev.</w:t>
      </w:r>
      <w:r w:rsidRPr="001515F7">
        <w:rPr>
          <w:rFonts w:ascii="Times New Roman" w:hAnsi="Times New Roman"/>
        </w:rPr>
        <w:t xml:space="preserve"> 292, 319 (1970)(Hereafter: Land Law 1969)</w:t>
      </w:r>
      <w:r>
        <w:rPr>
          <w:rFonts w:ascii="Times New Roman" w:hAnsi="Times New Roman"/>
        </w:rPr>
        <w:t>.</w:t>
      </w:r>
    </w:p>
  </w:footnote>
  <w:footnote w:id="34">
    <w:p w:rsidR="009D3D9C" w:rsidRPr="00EC1919" w:rsidRDefault="009D3D9C" w:rsidP="007C49C5">
      <w:pPr>
        <w:pStyle w:val="a3"/>
        <w:bidi w:val="0"/>
        <w:jc w:val="both"/>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tl/>
        </w:rPr>
        <w:t xml:space="preserve"> </w:t>
      </w:r>
      <w:r>
        <w:rPr>
          <w:rFonts w:asciiTheme="majorBidi" w:hAnsiTheme="majorBidi" w:cstheme="majorBidi"/>
        </w:rPr>
        <w:t xml:space="preserve">P.C.A </w:t>
      </w:r>
      <w:r w:rsidRPr="006020C7">
        <w:rPr>
          <w:rFonts w:ascii="Times New Roman" w:hAnsi="Times New Roman"/>
        </w:rPr>
        <w:t xml:space="preserve">178/71 </w:t>
      </w:r>
      <w:r w:rsidRPr="006020C7">
        <w:rPr>
          <w:rFonts w:ascii="Times New Roman" w:hAnsi="Times New Roman"/>
          <w:smallCaps/>
        </w:rPr>
        <w:t>Boker v. Anglo-Israeli Co. Ltd.</w:t>
      </w:r>
      <w:r w:rsidRPr="006020C7">
        <w:rPr>
          <w:rFonts w:ascii="Times New Roman" w:hAnsi="Times New Roman"/>
        </w:rPr>
        <w:t xml:space="preserve"> (1971) 25(2) P.D. 121 (1971)</w:t>
      </w:r>
      <w:r>
        <w:rPr>
          <w:rFonts w:ascii="Times New Roman" w:hAnsi="Times New Roman"/>
        </w:rPr>
        <w:t xml:space="preserve">; </w:t>
      </w:r>
      <w:r>
        <w:rPr>
          <w:rFonts w:asciiTheme="majorBidi" w:hAnsiTheme="majorBidi" w:cstheme="majorBidi"/>
        </w:rPr>
        <w:t xml:space="preserve">Friedmann </w:t>
      </w:r>
      <w:r w:rsidRPr="006020C7">
        <w:rPr>
          <w:rFonts w:asciiTheme="majorBidi" w:hAnsiTheme="majorBidi" w:cstheme="majorBidi"/>
          <w:i/>
          <w:iCs/>
        </w:rPr>
        <w:t>Independent Development</w:t>
      </w:r>
      <w:r>
        <w:rPr>
          <w:rFonts w:asciiTheme="majorBidi" w:hAnsiTheme="majorBidi" w:cstheme="majorBidi"/>
          <w:i/>
          <w:iCs/>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_Ref518321682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7</w:t>
      </w:r>
      <w:r>
        <w:rPr>
          <w:rFonts w:asciiTheme="majorBidi" w:hAnsiTheme="majorBidi" w:cstheme="majorBidi"/>
        </w:rPr>
        <w:fldChar w:fldCharType="end"/>
      </w:r>
      <w:r>
        <w:rPr>
          <w:rFonts w:asciiTheme="majorBidi" w:hAnsiTheme="majorBidi" w:cstheme="majorBidi"/>
        </w:rPr>
        <w:t>, at 552 (1975).</w:t>
      </w:r>
    </w:p>
  </w:footnote>
  <w:footnote w:id="35">
    <w:p w:rsidR="009D3D9C" w:rsidRDefault="009D3D9C" w:rsidP="004165E2">
      <w:pPr>
        <w:pStyle w:val="a3"/>
        <w:bidi w:val="0"/>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4165E2">
        <w:rPr>
          <w:rFonts w:asciiTheme="majorBidi" w:hAnsiTheme="majorBidi" w:cstheme="majorBidi"/>
        </w:rPr>
        <w:t xml:space="preserve">Moshe Landau, </w:t>
      </w:r>
      <w:r w:rsidRPr="004165E2">
        <w:rPr>
          <w:rFonts w:asciiTheme="majorBidi" w:hAnsiTheme="majorBidi" w:cstheme="majorBidi"/>
          <w:i/>
          <w:iCs/>
        </w:rPr>
        <w:t>General Remarks on the Land Law and Servitudes under the Land Law</w:t>
      </w:r>
      <w:r w:rsidRPr="004165E2">
        <w:rPr>
          <w:rFonts w:asciiTheme="majorBidi" w:hAnsiTheme="majorBidi" w:cstheme="majorBidi"/>
        </w:rPr>
        <w:t xml:space="preserve">, 1 </w:t>
      </w:r>
      <w:r w:rsidRPr="004165E2">
        <w:rPr>
          <w:rFonts w:asciiTheme="majorBidi" w:hAnsiTheme="majorBidi" w:cstheme="majorBidi"/>
          <w:smallCaps/>
        </w:rPr>
        <w:t>Tel Aviv U. Stud. L.</w:t>
      </w:r>
      <w:r w:rsidRPr="004165E2">
        <w:rPr>
          <w:rFonts w:asciiTheme="majorBidi" w:hAnsiTheme="majorBidi" w:cstheme="majorBidi"/>
        </w:rPr>
        <w:t xml:space="preserve"> 110, 110-111 (1975</w:t>
      </w:r>
      <w:r>
        <w:t>)</w:t>
      </w:r>
      <w:r>
        <w:rPr>
          <w:rFonts w:asciiTheme="majorBidi" w:hAnsiTheme="majorBidi" w:cstheme="majorBidi"/>
        </w:rPr>
        <w:t xml:space="preserve">; </w:t>
      </w:r>
    </w:p>
    <w:p w:rsidR="009D3D9C" w:rsidRPr="00EC1919" w:rsidRDefault="009D3D9C">
      <w:pPr>
        <w:pStyle w:val="a3"/>
        <w:rPr>
          <w:rFonts w:asciiTheme="majorBidi" w:hAnsiTheme="majorBidi" w:cstheme="majorBidi"/>
          <w:rtl/>
        </w:rPr>
      </w:pPr>
      <w:r w:rsidRPr="00EC1919">
        <w:rPr>
          <w:rFonts w:asciiTheme="majorBidi" w:hAnsiTheme="majorBidi" w:cstheme="majorBidi"/>
          <w:rtl/>
        </w:rPr>
        <w:t>להצעת החוק ולטיוטות של רדזינר</w:t>
      </w:r>
    </w:p>
  </w:footnote>
  <w:footnote w:id="36">
    <w:p w:rsidR="009D3D9C" w:rsidRPr="00EC1919" w:rsidRDefault="009D3D9C" w:rsidP="00397534">
      <w:pPr>
        <w:pStyle w:val="a3"/>
        <w:bidi w:val="0"/>
        <w:jc w:val="both"/>
        <w:rPr>
          <w:rFonts w:asciiTheme="majorBidi" w:hAnsiTheme="majorBidi" w:cstheme="majorBidi"/>
          <w:rtl/>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397534">
        <w:rPr>
          <w:rFonts w:asciiTheme="majorBidi" w:hAnsiTheme="majorBidi" w:cstheme="majorBidi"/>
        </w:rPr>
        <w:t xml:space="preserve">Moshe Landau, </w:t>
      </w:r>
      <w:r w:rsidRPr="00397534">
        <w:rPr>
          <w:rFonts w:asciiTheme="majorBidi" w:hAnsiTheme="majorBidi" w:cstheme="majorBidi"/>
          <w:i/>
          <w:iCs/>
        </w:rPr>
        <w:t>Judicial Activism</w:t>
      </w:r>
      <w:r>
        <w:rPr>
          <w:rFonts w:asciiTheme="majorBidi" w:hAnsiTheme="majorBidi" w:cstheme="majorBidi"/>
        </w:rPr>
        <w:t xml:space="preserve"> 7 </w:t>
      </w:r>
      <w:r w:rsidRPr="00397534">
        <w:rPr>
          <w:rFonts w:asciiTheme="majorBidi" w:hAnsiTheme="majorBidi" w:cstheme="majorBidi"/>
          <w:smallCaps/>
        </w:rPr>
        <w:t xml:space="preserve">Hamishpat L.Rev. </w:t>
      </w:r>
      <w:r w:rsidRPr="00397534">
        <w:rPr>
          <w:rFonts w:asciiTheme="majorBidi" w:hAnsiTheme="majorBidi" w:cstheme="majorBidi"/>
        </w:rPr>
        <w:t>535</w:t>
      </w:r>
      <w:r>
        <w:rPr>
          <w:rFonts w:asciiTheme="majorBidi" w:hAnsiTheme="majorBidi" w:cstheme="majorBidi"/>
        </w:rPr>
        <w:t>, 536-537 (2002</w:t>
      </w:r>
      <w:r w:rsidRPr="00397534">
        <w:rPr>
          <w:rFonts w:asciiTheme="majorBidi" w:hAnsiTheme="majorBidi" w:cstheme="majorBidi"/>
        </w:rPr>
        <w:t>)</w:t>
      </w:r>
      <w:r>
        <w:rPr>
          <w:rFonts w:asciiTheme="majorBidi" w:hAnsiTheme="majorBidi" w:cstheme="majorBidi"/>
        </w:rPr>
        <w:t>(Hebrew)</w:t>
      </w:r>
      <w:r>
        <w:rPr>
          <w:rFonts w:ascii="TimesNewRomanPSMT" w:hAnsi="TimesNewRomanPSMT" w:cs="TimesNewRomanPSMT"/>
          <w:sz w:val="18"/>
          <w:szCs w:val="18"/>
        </w:rPr>
        <w:t xml:space="preserve">; </w:t>
      </w:r>
      <w:r w:rsidRPr="00317816">
        <w:rPr>
          <w:rFonts w:ascii="TimesNewRomanPSMT" w:hAnsi="TimesNewRomanPSMT" w:cs="TimesNewRomanPSMT"/>
          <w:sz w:val="18"/>
          <w:szCs w:val="18"/>
        </w:rPr>
        <w:t>Friedmann</w:t>
      </w:r>
      <w:r>
        <w:rPr>
          <w:rFonts w:ascii="TimesNewRomanPSMT" w:hAnsi="TimesNewRomanPSMT" w:cs="TimesNewRomanPSMT"/>
          <w:sz w:val="18"/>
          <w:szCs w:val="18"/>
        </w:rPr>
        <w:t>,</w:t>
      </w:r>
      <w:r w:rsidRPr="00317816">
        <w:rPr>
          <w:rFonts w:ascii="TimesNewRomanPSMT" w:hAnsi="TimesNewRomanPSMT" w:cs="TimesNewRomanPSMT"/>
          <w:sz w:val="18"/>
          <w:szCs w:val="18"/>
        </w:rPr>
        <w:t xml:space="preserve"> </w:t>
      </w:r>
      <w:r w:rsidRPr="00317816">
        <w:rPr>
          <w:rFonts w:ascii="TimesNewRomanPSMT" w:hAnsi="TimesNewRomanPSMT" w:cs="TimesNewRomanPSMT"/>
          <w:smallCaps/>
          <w:sz w:val="18"/>
          <w:szCs w:val="18"/>
        </w:rPr>
        <w:t>The Purse and the Sword</w:t>
      </w:r>
      <w:r>
        <w:rPr>
          <w:lang w:val="en"/>
        </w:rPr>
        <w:t xml:space="preserve">, </w:t>
      </w:r>
      <w:r w:rsidRPr="003B7D60">
        <w:rPr>
          <w:rFonts w:ascii="TimesNewRomanPSMT" w:hAnsi="TimesNewRomanPSMT" w:cs="TimesNewRomanPSMT"/>
          <w:sz w:val="18"/>
          <w:szCs w:val="18"/>
        </w:rPr>
        <w:t xml:space="preserve">supra note </w:t>
      </w:r>
      <w:r w:rsidRPr="003B7D60">
        <w:rPr>
          <w:rFonts w:ascii="TimesNewRomanPSMT" w:hAnsi="TimesNewRomanPSMT" w:cs="TimesNewRomanPSMT"/>
          <w:sz w:val="18"/>
          <w:szCs w:val="18"/>
        </w:rPr>
        <w:fldChar w:fldCharType="begin"/>
      </w:r>
      <w:r w:rsidRPr="003B7D60">
        <w:rPr>
          <w:rFonts w:ascii="TimesNewRomanPSMT" w:hAnsi="TimesNewRomanPSMT" w:cs="TimesNewRomanPSMT"/>
          <w:sz w:val="18"/>
          <w:szCs w:val="18"/>
        </w:rPr>
        <w:instrText xml:space="preserve"> NOTEREF _Ref518420134 \h </w:instrText>
      </w:r>
      <w:r>
        <w:rPr>
          <w:rFonts w:ascii="TimesNewRomanPSMT" w:hAnsi="TimesNewRomanPSMT" w:cs="TimesNewRomanPSMT"/>
          <w:sz w:val="18"/>
          <w:szCs w:val="18"/>
        </w:rPr>
        <w:instrText xml:space="preserve"> \* MERGEFORMAT </w:instrText>
      </w:r>
      <w:r w:rsidRPr="003B7D60">
        <w:rPr>
          <w:rFonts w:ascii="TimesNewRomanPSMT" w:hAnsi="TimesNewRomanPSMT" w:cs="TimesNewRomanPSMT"/>
          <w:sz w:val="18"/>
          <w:szCs w:val="18"/>
        </w:rPr>
      </w:r>
      <w:r w:rsidRPr="003B7D60">
        <w:rPr>
          <w:rFonts w:ascii="TimesNewRomanPSMT" w:hAnsi="TimesNewRomanPSMT" w:cs="TimesNewRomanPSMT"/>
          <w:sz w:val="18"/>
          <w:szCs w:val="18"/>
        </w:rPr>
        <w:fldChar w:fldCharType="separate"/>
      </w:r>
      <w:r w:rsidR="00141AEA">
        <w:rPr>
          <w:rFonts w:ascii="TimesNewRomanPSMT" w:hAnsi="TimesNewRomanPSMT" w:cs="TimesNewRomanPSMT"/>
          <w:sz w:val="18"/>
          <w:szCs w:val="18"/>
        </w:rPr>
        <w:t>11</w:t>
      </w:r>
      <w:r w:rsidRPr="003B7D60">
        <w:rPr>
          <w:rFonts w:ascii="TimesNewRomanPSMT" w:hAnsi="TimesNewRomanPSMT" w:cs="TimesNewRomanPSMT"/>
          <w:sz w:val="18"/>
          <w:szCs w:val="18"/>
        </w:rPr>
        <w:fldChar w:fldCharType="end"/>
      </w:r>
      <w:r w:rsidRPr="003B7D60">
        <w:rPr>
          <w:rFonts w:ascii="TimesNewRomanPSMT" w:hAnsi="TimesNewRomanPSMT" w:cs="TimesNewRomanPSMT"/>
          <w:sz w:val="18"/>
          <w:szCs w:val="18"/>
        </w:rPr>
        <w:t>, at</w:t>
      </w:r>
      <w:r>
        <w:rPr>
          <w:rFonts w:asciiTheme="majorBidi" w:hAnsiTheme="majorBidi" w:cstheme="majorBidi"/>
        </w:rPr>
        <w:t xml:space="preserve"> 303; </w:t>
      </w:r>
      <w:hyperlink r:id="rId23" w:history="1">
        <w:r w:rsidRPr="00397534">
          <w:rPr>
            <w:rFonts w:asciiTheme="majorBidi" w:hAnsiTheme="majorBidi"/>
          </w:rPr>
          <w:t>Tomer Zarchin</w:t>
        </w:r>
      </w:hyperlink>
      <w:r>
        <w:rPr>
          <w:rFonts w:asciiTheme="majorBidi" w:hAnsiTheme="majorBidi"/>
        </w:rPr>
        <w:t xml:space="preserve"> </w:t>
      </w:r>
      <w:r w:rsidRPr="00397534">
        <w:rPr>
          <w:rFonts w:asciiTheme="majorBidi" w:hAnsiTheme="majorBidi"/>
          <w:i/>
          <w:iCs/>
        </w:rPr>
        <w:t>Eichmann Trial Judge, Moshe Landau, Dies at 99</w:t>
      </w:r>
      <w:r>
        <w:rPr>
          <w:rFonts w:asciiTheme="majorBidi" w:hAnsiTheme="majorBidi" w:cstheme="majorBidi"/>
        </w:rPr>
        <w:t xml:space="preserve">, </w:t>
      </w:r>
      <w:r w:rsidRPr="00397534">
        <w:rPr>
          <w:rFonts w:asciiTheme="majorBidi" w:hAnsiTheme="majorBidi" w:cstheme="majorBidi"/>
        </w:rPr>
        <w:t>HAARETZ</w:t>
      </w:r>
      <w:r>
        <w:rPr>
          <w:rFonts w:asciiTheme="majorBidi" w:hAnsiTheme="majorBidi" w:cstheme="majorBidi"/>
        </w:rPr>
        <w:t>, 2 May,</w:t>
      </w:r>
      <w:r w:rsidRPr="00397534">
        <w:rPr>
          <w:rFonts w:asciiTheme="majorBidi" w:hAnsiTheme="majorBidi" w:cstheme="majorBidi"/>
        </w:rPr>
        <w:t xml:space="preserve"> 2011</w:t>
      </w:r>
      <w:r>
        <w:rPr>
          <w:rFonts w:asciiTheme="majorBidi" w:hAnsiTheme="majorBidi" w:cstheme="majorBidi"/>
        </w:rPr>
        <w:t xml:space="preserve">, </w:t>
      </w:r>
      <w:hyperlink r:id="rId24" w:history="1">
        <w:r w:rsidRPr="00397534">
          <w:rPr>
            <w:rStyle w:val="Hyperlink"/>
            <w:rFonts w:asciiTheme="majorBidi" w:hAnsiTheme="majorBidi" w:cstheme="majorBidi"/>
          </w:rPr>
          <w:t>https://www.haaretz.com/1.5006533</w:t>
        </w:r>
      </w:hyperlink>
      <w:r w:rsidRPr="00397534">
        <w:rPr>
          <w:rFonts w:asciiTheme="majorBidi" w:hAnsiTheme="majorBidi" w:cstheme="majorBidi"/>
        </w:rPr>
        <w:t>.</w:t>
      </w:r>
    </w:p>
  </w:footnote>
  <w:footnote w:id="37">
    <w:p w:rsidR="009D3D9C" w:rsidRPr="007C49C5" w:rsidRDefault="009D3D9C" w:rsidP="00241BFB">
      <w:pPr>
        <w:pStyle w:val="a3"/>
        <w:bidi w:val="0"/>
        <w:jc w:val="both"/>
        <w:rPr>
          <w:rFonts w:asciiTheme="majorBidi" w:hAnsiTheme="majorBidi" w:cstheme="majorBidi"/>
          <w:spacing w:val="-2"/>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 xml:space="preserve">Joshua Weiman </w:t>
      </w:r>
      <w:r w:rsidRPr="003B7C36">
        <w:rPr>
          <w:rFonts w:asciiTheme="majorBidi" w:hAnsiTheme="majorBidi" w:cstheme="majorBidi"/>
          <w:i/>
          <w:iCs/>
        </w:rPr>
        <w:t>The Land Law, 1969</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_Ref518489692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30</w:t>
      </w:r>
      <w:r>
        <w:rPr>
          <w:rFonts w:asciiTheme="majorBidi" w:hAnsiTheme="majorBidi" w:cstheme="majorBidi"/>
        </w:rPr>
        <w:fldChar w:fldCharType="end"/>
      </w:r>
      <w:r>
        <w:rPr>
          <w:rFonts w:asciiTheme="majorBidi" w:hAnsiTheme="majorBidi" w:cstheme="majorBidi"/>
        </w:rPr>
        <w:t xml:space="preserve">, at </w:t>
      </w:r>
      <w:r w:rsidRPr="00221BBD">
        <w:rPr>
          <w:rFonts w:asciiTheme="majorBidi" w:hAnsiTheme="majorBidi" w:cstheme="majorBidi"/>
          <w:spacing w:val="-2"/>
        </w:rPr>
        <w:t>386-388</w:t>
      </w:r>
      <w:r w:rsidRPr="00221BBD">
        <w:rPr>
          <w:rFonts w:asciiTheme="majorBidi" w:hAnsiTheme="majorBidi" w:cstheme="majorBidi"/>
        </w:rPr>
        <w:t>;</w:t>
      </w:r>
      <w:r>
        <w:rPr>
          <w:rFonts w:asciiTheme="majorBidi" w:hAnsiTheme="majorBidi" w:cstheme="majorBidi"/>
        </w:rPr>
        <w:t xml:space="preserve"> Friedmann </w:t>
      </w:r>
      <w:r w:rsidRPr="006020C7">
        <w:rPr>
          <w:rFonts w:asciiTheme="majorBidi" w:hAnsiTheme="majorBidi" w:cstheme="majorBidi"/>
          <w:i/>
          <w:iCs/>
        </w:rPr>
        <w:t>Independent Development</w:t>
      </w:r>
      <w:r>
        <w:rPr>
          <w:rFonts w:asciiTheme="majorBidi" w:hAnsiTheme="majorBidi" w:cstheme="majorBidi"/>
          <w:i/>
          <w:iCs/>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_Ref518321682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7</w:t>
      </w:r>
      <w:r>
        <w:rPr>
          <w:rFonts w:asciiTheme="majorBidi" w:hAnsiTheme="majorBidi" w:cstheme="majorBidi"/>
        </w:rPr>
        <w:fldChar w:fldCharType="end"/>
      </w:r>
      <w:r>
        <w:rPr>
          <w:rFonts w:asciiTheme="majorBidi" w:hAnsiTheme="majorBidi" w:cstheme="majorBidi"/>
        </w:rPr>
        <w:t xml:space="preserve">, </w:t>
      </w:r>
      <w:r w:rsidRPr="006020C7">
        <w:rPr>
          <w:rFonts w:asciiTheme="majorBidi" w:hAnsiTheme="majorBidi" w:cstheme="majorBidi"/>
        </w:rPr>
        <w:t>at 55</w:t>
      </w:r>
      <w:r>
        <w:rPr>
          <w:rFonts w:asciiTheme="majorBidi" w:hAnsiTheme="majorBidi" w:cstheme="majorBidi"/>
        </w:rPr>
        <w:t>2</w:t>
      </w:r>
      <w:r w:rsidRPr="006020C7">
        <w:rPr>
          <w:rFonts w:asciiTheme="majorBidi" w:hAnsiTheme="majorBidi" w:cstheme="majorBidi"/>
        </w:rPr>
        <w:t>-554</w:t>
      </w:r>
      <w:r>
        <w:rPr>
          <w:rFonts w:asciiTheme="majorBidi" w:hAnsiTheme="majorBidi" w:cstheme="majorBidi"/>
        </w:rPr>
        <w:t>.</w:t>
      </w:r>
    </w:p>
  </w:footnote>
  <w:footnote w:id="38">
    <w:p w:rsidR="009D3D9C" w:rsidRPr="00EC1919" w:rsidRDefault="009D3D9C" w:rsidP="00241BFB">
      <w:pPr>
        <w:pStyle w:val="a3"/>
        <w:bidi w:val="0"/>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EC1919">
        <w:rPr>
          <w:rFonts w:asciiTheme="majorBidi" w:hAnsiTheme="majorBidi" w:cstheme="majorBidi"/>
          <w:smallCaps/>
        </w:rPr>
        <w:t>Aharonov</w:t>
      </w:r>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_Ref517949871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1</w:t>
      </w:r>
      <w:r>
        <w:rPr>
          <w:rFonts w:asciiTheme="majorBidi" w:hAnsiTheme="majorBidi" w:cstheme="majorBidi"/>
        </w:rPr>
        <w:fldChar w:fldCharType="end"/>
      </w:r>
      <w:r>
        <w:rPr>
          <w:rFonts w:asciiTheme="majorBidi" w:hAnsiTheme="majorBidi" w:cstheme="majorBidi"/>
        </w:rPr>
        <w:t>.</w:t>
      </w:r>
    </w:p>
  </w:footnote>
  <w:footnote w:id="39">
    <w:p w:rsidR="009D3D9C" w:rsidRPr="00EC1919" w:rsidRDefault="009D3D9C" w:rsidP="00241BFB">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Ibid, at 241-242.</w:t>
      </w:r>
    </w:p>
  </w:footnote>
  <w:footnote w:id="40">
    <w:p w:rsidR="009D3D9C" w:rsidRPr="00EC1919" w:rsidRDefault="009D3D9C" w:rsidP="00241BFB">
      <w:pPr>
        <w:pStyle w:val="a3"/>
        <w:bidi w:val="0"/>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 Land Law 1969, §9.</w:t>
      </w:r>
    </w:p>
  </w:footnote>
  <w:footnote w:id="41">
    <w:p w:rsidR="009D3D9C" w:rsidRPr="00EC1919" w:rsidRDefault="009D3D9C" w:rsidP="00241BFB">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smallCaps/>
        </w:rPr>
        <w:t xml:space="preserve"> </w:t>
      </w:r>
      <w:r w:rsidRPr="00241BFB">
        <w:rPr>
          <w:rFonts w:asciiTheme="majorBidi" w:hAnsiTheme="majorBidi" w:cstheme="majorBidi"/>
          <w:smallCaps/>
        </w:rPr>
        <w:t>Boker</w:t>
      </w:r>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_Ref518492047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34</w:t>
      </w:r>
      <w:r>
        <w:rPr>
          <w:rFonts w:asciiTheme="majorBidi" w:hAnsiTheme="majorBidi" w:cstheme="majorBidi"/>
        </w:rPr>
        <w:fldChar w:fldCharType="end"/>
      </w:r>
      <w:r>
        <w:rPr>
          <w:rFonts w:asciiTheme="majorBidi" w:hAnsiTheme="majorBidi" w:cstheme="majorBidi"/>
        </w:rPr>
        <w:t>, at 134 (J.Landau).</w:t>
      </w:r>
    </w:p>
  </w:footnote>
  <w:footnote w:id="42">
    <w:p w:rsidR="009D3D9C" w:rsidRPr="00EC1919" w:rsidRDefault="009D3D9C" w:rsidP="00241BFB">
      <w:pPr>
        <w:pStyle w:val="a3"/>
        <w:bidi w:val="0"/>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EC1919">
        <w:rPr>
          <w:rFonts w:asciiTheme="majorBidi" w:hAnsiTheme="majorBidi" w:cstheme="majorBidi"/>
          <w:smallCaps/>
        </w:rPr>
        <w:t>Aharonov</w:t>
      </w:r>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_Ref517949871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1</w:t>
      </w:r>
      <w:r>
        <w:rPr>
          <w:rFonts w:asciiTheme="majorBidi" w:hAnsiTheme="majorBidi" w:cstheme="majorBidi"/>
        </w:rPr>
        <w:fldChar w:fldCharType="end"/>
      </w:r>
      <w:r>
        <w:rPr>
          <w:rFonts w:asciiTheme="majorBidi" w:hAnsiTheme="majorBidi" w:cstheme="majorBidi"/>
        </w:rPr>
        <w:t xml:space="preserve">, at </w:t>
      </w:r>
      <w:r w:rsidRPr="00EC1919">
        <w:rPr>
          <w:rFonts w:asciiTheme="majorBidi" w:hAnsiTheme="majorBidi" w:cstheme="majorBidi"/>
          <w:rtl/>
        </w:rPr>
        <w:t>244-245,249</w:t>
      </w:r>
      <w:r>
        <w:rPr>
          <w:rFonts w:asciiTheme="majorBidi" w:hAnsiTheme="majorBidi" w:cstheme="majorBidi"/>
        </w:rPr>
        <w:t>.</w:t>
      </w:r>
    </w:p>
  </w:footnote>
  <w:footnote w:id="43">
    <w:p w:rsidR="009D3D9C" w:rsidRPr="00EC1919" w:rsidRDefault="009D3D9C" w:rsidP="00AE7346">
      <w:pPr>
        <w:pStyle w:val="a3"/>
        <w:bidi w:val="0"/>
        <w:jc w:val="both"/>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Ibid, at 232-235, </w:t>
      </w:r>
      <w:r w:rsidRPr="00EC1919">
        <w:rPr>
          <w:rFonts w:asciiTheme="majorBidi" w:hAnsiTheme="majorBidi" w:cstheme="majorBidi"/>
          <w:rtl/>
        </w:rPr>
        <w:t>246-247</w:t>
      </w:r>
      <w:r>
        <w:rPr>
          <w:rFonts w:asciiTheme="majorBidi" w:hAnsiTheme="majorBidi" w:cstheme="majorBidi"/>
        </w:rPr>
        <w:t xml:space="preserve">; </w:t>
      </w:r>
      <w:r w:rsidRPr="00F34873">
        <w:rPr>
          <w:rFonts w:asciiTheme="majorBidi" w:hAnsiTheme="majorBidi" w:cstheme="majorBidi"/>
        </w:rPr>
        <w:t xml:space="preserve">CA 790/97 </w:t>
      </w:r>
      <w:r w:rsidRPr="00F34873">
        <w:rPr>
          <w:rFonts w:asciiTheme="majorBidi" w:hAnsiTheme="majorBidi" w:cstheme="majorBidi"/>
          <w:smallCaps/>
        </w:rPr>
        <w:t>United Mizrahi Bank Ltd. v. Gadi</w:t>
      </w:r>
      <w:r w:rsidRPr="00F34873">
        <w:rPr>
          <w:rFonts w:asciiTheme="majorBidi" w:hAnsiTheme="majorBidi" w:cstheme="majorBidi"/>
        </w:rPr>
        <w:t xml:space="preserve">, </w:t>
      </w:r>
      <w:r>
        <w:rPr>
          <w:rFonts w:asciiTheme="majorBidi" w:hAnsiTheme="majorBidi" w:cstheme="majorBidi"/>
        </w:rPr>
        <w:t xml:space="preserve">59 </w:t>
      </w:r>
      <w:r w:rsidRPr="00F34873">
        <w:rPr>
          <w:rFonts w:asciiTheme="majorBidi" w:hAnsiTheme="majorBidi" w:cstheme="majorBidi"/>
        </w:rPr>
        <w:t>PD(3) 697</w:t>
      </w:r>
      <w:r>
        <w:rPr>
          <w:rFonts w:asciiTheme="majorBidi" w:hAnsiTheme="majorBidi" w:cstheme="majorBidi"/>
        </w:rPr>
        <w:t xml:space="preserve">, 707-710 </w:t>
      </w:r>
      <w:r w:rsidRPr="00F34873">
        <w:rPr>
          <w:rFonts w:asciiTheme="majorBidi" w:hAnsiTheme="majorBidi" w:cstheme="majorBidi"/>
        </w:rPr>
        <w:t>(2004)</w:t>
      </w:r>
      <w:r>
        <w:rPr>
          <w:rFonts w:asciiTheme="majorBidi" w:hAnsiTheme="majorBidi" w:cstheme="majorBidi"/>
        </w:rPr>
        <w:t xml:space="preserve">(Hebrew)(Hereafter: </w:t>
      </w:r>
      <w:r w:rsidRPr="00993548">
        <w:rPr>
          <w:rFonts w:asciiTheme="majorBidi" w:hAnsiTheme="majorBidi" w:cstheme="majorBidi"/>
          <w:smallCaps/>
        </w:rPr>
        <w:t>Gadi</w:t>
      </w:r>
      <w:r>
        <w:rPr>
          <w:rFonts w:asciiTheme="majorBidi" w:hAnsiTheme="majorBidi" w:cstheme="majorBidi"/>
        </w:rPr>
        <w:t xml:space="preserve"> case); Dagan </w:t>
      </w:r>
      <w:r w:rsidRPr="00FE3474">
        <w:rPr>
          <w:rFonts w:asciiTheme="majorBidi" w:hAnsiTheme="majorBidi" w:cstheme="majorBidi"/>
          <w:i/>
          <w:iCs/>
        </w:rPr>
        <w:t>Codification</w:t>
      </w:r>
      <w:r>
        <w:rPr>
          <w:rFonts w:asciiTheme="majorBidi" w:hAnsiTheme="majorBidi" w:cstheme="majorBidi"/>
        </w:rPr>
        <w:t xml:space="preserve"> , supra note </w:t>
      </w:r>
      <w:r>
        <w:rPr>
          <w:rFonts w:asciiTheme="majorBidi" w:hAnsiTheme="majorBidi" w:cstheme="majorBidi"/>
        </w:rPr>
        <w:fldChar w:fldCharType="begin"/>
      </w:r>
      <w:r>
        <w:rPr>
          <w:rFonts w:asciiTheme="majorBidi" w:hAnsiTheme="majorBidi" w:cstheme="majorBidi"/>
        </w:rPr>
        <w:instrText xml:space="preserve"> NOTEREF _Ref518547722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31</w:t>
      </w:r>
      <w:r>
        <w:rPr>
          <w:rFonts w:asciiTheme="majorBidi" w:hAnsiTheme="majorBidi" w:cstheme="majorBidi"/>
        </w:rPr>
        <w:fldChar w:fldCharType="end"/>
      </w:r>
      <w:r>
        <w:rPr>
          <w:rFonts w:asciiTheme="majorBidi" w:hAnsiTheme="majorBidi" w:cstheme="majorBidi"/>
        </w:rPr>
        <w:t>, at 169, 176-177.</w:t>
      </w:r>
    </w:p>
  </w:footnote>
  <w:footnote w:id="44">
    <w:p w:rsidR="009D3D9C" w:rsidRPr="00EC1919" w:rsidRDefault="009D3D9C" w:rsidP="00241BFB">
      <w:pPr>
        <w:pStyle w:val="a3"/>
        <w:bidi w:val="0"/>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smallCaps/>
        </w:rPr>
        <w:t>Aharonov</w:t>
      </w:r>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_Ref517949871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1</w:t>
      </w:r>
      <w:r>
        <w:rPr>
          <w:rFonts w:asciiTheme="majorBidi" w:hAnsiTheme="majorBidi" w:cstheme="majorBidi"/>
        </w:rPr>
        <w:fldChar w:fldCharType="end"/>
      </w:r>
      <w:r>
        <w:rPr>
          <w:rFonts w:asciiTheme="majorBidi" w:hAnsiTheme="majorBidi" w:cstheme="majorBidi"/>
        </w:rPr>
        <w:t>, at249.</w:t>
      </w:r>
    </w:p>
  </w:footnote>
  <w:footnote w:id="45">
    <w:p w:rsidR="009D3D9C" w:rsidRPr="00EC1919" w:rsidRDefault="009D3D9C" w:rsidP="00241BFB">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Ibid, at 231.</w:t>
      </w:r>
    </w:p>
  </w:footnote>
  <w:footnote w:id="46">
    <w:p w:rsidR="009D3D9C" w:rsidRPr="00EC1919" w:rsidRDefault="009D3D9C" w:rsidP="00241BFB">
      <w:pPr>
        <w:pStyle w:val="a3"/>
        <w:bidi w:val="0"/>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Ibid, at 226.</w:t>
      </w:r>
      <w:r w:rsidRPr="00EC1919">
        <w:rPr>
          <w:rFonts w:asciiTheme="majorBidi" w:hAnsiTheme="majorBidi" w:cstheme="majorBidi"/>
          <w:rtl/>
        </w:rPr>
        <w:t xml:space="preserve"> </w:t>
      </w:r>
    </w:p>
  </w:footnote>
  <w:footnote w:id="47">
    <w:p w:rsidR="009D3D9C" w:rsidRPr="00EC1919" w:rsidRDefault="009D3D9C" w:rsidP="00241BFB">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Ibid, at 248, 251.</w:t>
      </w:r>
    </w:p>
  </w:footnote>
  <w:footnote w:id="48">
    <w:p w:rsidR="009D3D9C" w:rsidRPr="00EC1919" w:rsidRDefault="009D3D9C" w:rsidP="00E4268B">
      <w:pPr>
        <w:pStyle w:val="a3"/>
        <w:bidi w:val="0"/>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Ibid, at 227-230, 253-254.</w:t>
      </w:r>
    </w:p>
  </w:footnote>
  <w:footnote w:id="49">
    <w:p w:rsidR="009D3D9C" w:rsidRPr="00AE7346" w:rsidRDefault="009D3D9C" w:rsidP="00AE7346">
      <w:pPr>
        <w:pStyle w:val="a3"/>
        <w:bidi w:val="0"/>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hint="cs"/>
        </w:rPr>
        <w:t xml:space="preserve"> </w:t>
      </w:r>
      <w:r w:rsidRPr="00AE7346">
        <w:rPr>
          <w:rFonts w:asciiTheme="majorBidi" w:hAnsiTheme="majorBidi" w:cstheme="majorBidi"/>
        </w:rPr>
        <w:t xml:space="preserve">F.H. 30/67 </w:t>
      </w:r>
      <w:r w:rsidRPr="00AE7346">
        <w:rPr>
          <w:rFonts w:asciiTheme="majorBidi" w:hAnsiTheme="majorBidi" w:cstheme="majorBidi"/>
          <w:smallCaps/>
        </w:rPr>
        <w:t>Stern v. Stern</w:t>
      </w:r>
      <w:r w:rsidRPr="00AE7346">
        <w:rPr>
          <w:rFonts w:asciiTheme="majorBidi" w:hAnsiTheme="majorBidi" w:cstheme="majorBidi"/>
        </w:rPr>
        <w:t xml:space="preserve"> </w:t>
      </w:r>
      <w:r>
        <w:rPr>
          <w:rFonts w:asciiTheme="majorBidi" w:hAnsiTheme="majorBidi" w:cstheme="majorBidi"/>
        </w:rPr>
        <w:t>PD 22(2) 36, 49 (1968)(Hebrew).</w:t>
      </w:r>
    </w:p>
  </w:footnote>
  <w:footnote w:id="50">
    <w:p w:rsidR="009D3D9C" w:rsidRPr="007B6453" w:rsidRDefault="009D3D9C" w:rsidP="00640DEE">
      <w:pPr>
        <w:pStyle w:val="a3"/>
        <w:bidi w:val="0"/>
        <w:jc w:val="both"/>
        <w:rPr>
          <w:rFonts w:asciiTheme="majorBidi" w:hAnsiTheme="majorBidi" w:cstheme="majorBidi"/>
          <w:color w:val="333333"/>
        </w:rPr>
      </w:pPr>
      <w:r>
        <w:rPr>
          <w:rStyle w:val="a5"/>
        </w:rPr>
        <w:footnoteRef/>
      </w:r>
      <w:r>
        <w:rPr>
          <w:rtl/>
        </w:rPr>
        <w:t xml:space="preserve"> </w:t>
      </w:r>
      <w:r>
        <w:rPr>
          <w:rFonts w:asciiTheme="majorBidi" w:hAnsiTheme="majorBidi" w:cstheme="majorBidi"/>
          <w:color w:val="333333"/>
        </w:rPr>
        <w:t xml:space="preserve">C.A. 5955/09 </w:t>
      </w:r>
      <w:r w:rsidRPr="00640DEE">
        <w:rPr>
          <w:rFonts w:asciiTheme="majorBidi" w:hAnsiTheme="majorBidi" w:cstheme="majorBidi"/>
          <w:smallCaps/>
          <w:color w:val="333333"/>
        </w:rPr>
        <w:t>The Receiver v. Tauber</w:t>
      </w:r>
      <w:r>
        <w:rPr>
          <w:rFonts w:asciiTheme="majorBidi" w:hAnsiTheme="majorBidi" w:cstheme="majorBidi"/>
          <w:color w:val="333333"/>
        </w:rPr>
        <w:t xml:space="preserve"> (Nevo, 19.7.2011)(Hebrew); </w:t>
      </w:r>
      <w:r w:rsidRPr="007B6453">
        <w:rPr>
          <w:rFonts w:asciiTheme="majorBidi" w:hAnsiTheme="majorBidi" w:cstheme="majorBidi"/>
          <w:color w:val="333333"/>
        </w:rPr>
        <w:t>George Rosenberg, Niv Goldstein</w:t>
      </w:r>
      <w:r>
        <w:rPr>
          <w:rFonts w:asciiTheme="majorBidi" w:hAnsiTheme="majorBidi" w:cstheme="majorBidi"/>
          <w:color w:val="333333"/>
        </w:rPr>
        <w:t xml:space="preserve"> </w:t>
      </w:r>
      <w:r w:rsidRPr="007B6453">
        <w:rPr>
          <w:rFonts w:asciiTheme="majorBidi" w:hAnsiTheme="majorBidi" w:cstheme="majorBidi"/>
          <w:i/>
          <w:iCs/>
          <w:color w:val="333333"/>
        </w:rPr>
        <w:t>Bank Leumi Le’Israel Ltd v Tauber - Israel Supreme Court judgment on trust law</w:t>
      </w:r>
      <w:r>
        <w:rPr>
          <w:rFonts w:asciiTheme="majorBidi" w:hAnsiTheme="majorBidi" w:cstheme="majorBidi"/>
          <w:color w:val="333333"/>
        </w:rPr>
        <w:t xml:space="preserve">, </w:t>
      </w:r>
      <w:r w:rsidRPr="007B6453">
        <w:rPr>
          <w:rFonts w:asciiTheme="majorBidi" w:hAnsiTheme="majorBidi" w:cstheme="majorBidi"/>
          <w:color w:val="333333"/>
        </w:rPr>
        <w:t xml:space="preserve">10(2) </w:t>
      </w:r>
      <w:r w:rsidRPr="007B6453">
        <w:rPr>
          <w:rFonts w:asciiTheme="majorBidi" w:hAnsiTheme="majorBidi" w:cstheme="majorBidi"/>
          <w:smallCaps/>
          <w:color w:val="333333"/>
        </w:rPr>
        <w:t>Trust Quarterly Review</w:t>
      </w:r>
      <w:r w:rsidRPr="007B6453">
        <w:rPr>
          <w:rFonts w:asciiTheme="majorBidi" w:hAnsiTheme="majorBidi" w:cstheme="majorBidi"/>
          <w:color w:val="333333"/>
        </w:rPr>
        <w:t xml:space="preserve"> 9, 10-12 (2012)</w:t>
      </w:r>
      <w:r>
        <w:rPr>
          <w:rFonts w:asciiTheme="majorBidi" w:hAnsiTheme="majorBidi" w:cstheme="majorBidi"/>
          <w:color w:val="333333"/>
        </w:rPr>
        <w:t xml:space="preserve">; Insolvency case (Jerusalem District Court) 5250/08 </w:t>
      </w:r>
      <w:r w:rsidRPr="00640DEE">
        <w:rPr>
          <w:rFonts w:asciiTheme="majorBidi" w:hAnsiTheme="majorBidi" w:cstheme="majorBidi"/>
          <w:smallCaps/>
          <w:color w:val="333333"/>
        </w:rPr>
        <w:t>Frenkel v. Kastenbaum</w:t>
      </w:r>
      <w:r>
        <w:rPr>
          <w:rFonts w:asciiTheme="majorBidi" w:hAnsiTheme="majorBidi" w:cstheme="majorBidi"/>
          <w:color w:val="333333"/>
        </w:rPr>
        <w:t xml:space="preserve"> (Nevo, 3.4.2011)(Hebrew).</w:t>
      </w:r>
    </w:p>
  </w:footnote>
  <w:footnote w:id="51">
    <w:p w:rsidR="009D3D9C" w:rsidRPr="00EC1919" w:rsidRDefault="009D3D9C" w:rsidP="00640DEE">
      <w:pPr>
        <w:pStyle w:val="a3"/>
        <w:bidi w:val="0"/>
        <w:rPr>
          <w:rFonts w:asciiTheme="majorBidi" w:hAnsiTheme="majorBidi" w:cstheme="majorBidi"/>
          <w:rtl/>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 xml:space="preserve">C.A. 3911/01 </w:t>
      </w:r>
      <w:r>
        <w:rPr>
          <w:rFonts w:asciiTheme="majorBidi" w:hAnsiTheme="majorBidi" w:cstheme="majorBidi"/>
          <w:smallCaps/>
        </w:rPr>
        <w:t>K</w:t>
      </w:r>
      <w:r w:rsidRPr="00640DEE">
        <w:rPr>
          <w:rFonts w:asciiTheme="majorBidi" w:hAnsiTheme="majorBidi" w:cstheme="majorBidi"/>
          <w:smallCaps/>
        </w:rPr>
        <w:t>aspi v. Nes</w:t>
      </w:r>
      <w:r>
        <w:rPr>
          <w:rFonts w:asciiTheme="majorBidi" w:hAnsiTheme="majorBidi" w:cstheme="majorBidi"/>
        </w:rPr>
        <w:t>, 56(6) PD 752, 760-761 (2002).</w:t>
      </w:r>
    </w:p>
  </w:footnote>
  <w:footnote w:id="52">
    <w:p w:rsidR="009D3D9C" w:rsidRPr="00EC1919" w:rsidRDefault="009D3D9C" w:rsidP="00640DEE">
      <w:pPr>
        <w:pStyle w:val="a3"/>
        <w:bidi w:val="0"/>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 C.A. 11502/05 </w:t>
      </w:r>
      <w:r w:rsidRPr="00F73B2B">
        <w:rPr>
          <w:rFonts w:asciiTheme="majorBidi" w:hAnsiTheme="majorBidi" w:cstheme="majorBidi"/>
          <w:smallCaps/>
        </w:rPr>
        <w:t>Lanyado v. Holland Israel Ltd</w:t>
      </w:r>
      <w:r>
        <w:rPr>
          <w:rFonts w:asciiTheme="majorBidi" w:hAnsiTheme="majorBidi" w:cstheme="majorBidi"/>
        </w:rPr>
        <w:t>. (Nevo, 24.2.2008)(Hebrew).</w:t>
      </w:r>
    </w:p>
  </w:footnote>
  <w:footnote w:id="53">
    <w:p w:rsidR="009D3D9C" w:rsidRPr="00094054" w:rsidRDefault="009D3D9C" w:rsidP="00094054">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094054">
        <w:rPr>
          <w:rFonts w:asciiTheme="majorBidi" w:hAnsiTheme="majorBidi" w:cstheme="majorBidi"/>
        </w:rPr>
        <w:t xml:space="preserve">C.A. 1559/99 </w:t>
      </w:r>
      <w:r w:rsidRPr="00094054">
        <w:rPr>
          <w:rFonts w:asciiTheme="majorBidi" w:hAnsiTheme="majorBidi" w:cstheme="majorBidi"/>
          <w:smallCaps/>
        </w:rPr>
        <w:t>Zimbler v. Turgeman</w:t>
      </w:r>
      <w:r w:rsidRPr="00094054">
        <w:rPr>
          <w:rFonts w:asciiTheme="majorBidi" w:hAnsiTheme="majorBidi" w:cstheme="majorBidi"/>
        </w:rPr>
        <w:t>, 57(5) PD 49, 63-67 (2003)</w:t>
      </w:r>
      <w:r>
        <w:rPr>
          <w:rFonts w:asciiTheme="majorBidi" w:hAnsiTheme="majorBidi" w:cstheme="majorBidi"/>
        </w:rPr>
        <w:t>(Hebrew)</w:t>
      </w:r>
      <w:r w:rsidRPr="00094054">
        <w:rPr>
          <w:rFonts w:asciiTheme="majorBidi" w:hAnsiTheme="majorBidi" w:cstheme="majorBidi"/>
        </w:rPr>
        <w:t xml:space="preserve">; Nili Cohen </w:t>
      </w:r>
      <w:r w:rsidRPr="00094054">
        <w:rPr>
          <w:rFonts w:asciiTheme="majorBidi" w:hAnsiTheme="majorBidi" w:cstheme="majorBidi"/>
          <w:i/>
          <w:iCs/>
        </w:rPr>
        <w:t xml:space="preserve">Distributive Justice in the Enforcement of Contracts </w:t>
      </w:r>
      <w:r w:rsidRPr="00094054">
        <w:rPr>
          <w:rFonts w:asciiTheme="majorBidi" w:hAnsiTheme="majorBidi" w:cstheme="majorBidi"/>
          <w:smallCaps/>
        </w:rPr>
        <w:t>Festschrift filr Gunther Kuhne zum 70. Geburtstag</w:t>
      </w:r>
      <w:r w:rsidRPr="00094054">
        <w:rPr>
          <w:rFonts w:asciiTheme="majorBidi" w:hAnsiTheme="majorBidi" w:cstheme="majorBidi"/>
        </w:rPr>
        <w:t>,</w:t>
      </w:r>
      <w:r>
        <w:rPr>
          <w:rFonts w:asciiTheme="majorBidi" w:hAnsiTheme="majorBidi" w:cstheme="majorBidi"/>
        </w:rPr>
        <w:t xml:space="preserve"> </w:t>
      </w:r>
      <w:r w:rsidRPr="00094054">
        <w:rPr>
          <w:rFonts w:asciiTheme="majorBidi" w:hAnsiTheme="majorBidi" w:cstheme="majorBidi"/>
        </w:rPr>
        <w:t>971, 1002 (H.Erausgcgcben et al eds., Verlag Recht und Wirtschaft GmbH Frankfurt am Main</w:t>
      </w:r>
      <w:r>
        <w:rPr>
          <w:rFonts w:asciiTheme="majorBidi" w:hAnsiTheme="majorBidi" w:cstheme="majorBidi"/>
        </w:rPr>
        <w:t xml:space="preserve"> 2009).</w:t>
      </w:r>
    </w:p>
  </w:footnote>
  <w:footnote w:id="54">
    <w:p w:rsidR="009D3D9C" w:rsidRDefault="009D3D9C" w:rsidP="006D5842">
      <w:pPr>
        <w:pStyle w:val="a3"/>
        <w:bidi w:val="0"/>
        <w:jc w:val="both"/>
      </w:pPr>
      <w:r>
        <w:rPr>
          <w:rStyle w:val="a5"/>
        </w:rPr>
        <w:footnoteRef/>
      </w:r>
      <w:r>
        <w:rPr>
          <w:rtl/>
        </w:rPr>
        <w:t xml:space="preserve"> </w:t>
      </w:r>
      <w:r w:rsidRPr="006D5842">
        <w:rPr>
          <w:rFonts w:asciiTheme="majorBidi" w:hAnsiTheme="majorBidi" w:cstheme="majorBidi"/>
        </w:rPr>
        <w:t xml:space="preserve">Ralph A. Newman,  </w:t>
      </w:r>
      <w:r w:rsidRPr="006D5842">
        <w:rPr>
          <w:rFonts w:asciiTheme="majorBidi" w:hAnsiTheme="majorBidi" w:cstheme="majorBidi"/>
          <w:i/>
          <w:iCs/>
        </w:rPr>
        <w:t>The Principles of Equity as a Source of World Law</w:t>
      </w:r>
      <w:r w:rsidRPr="006D5842">
        <w:rPr>
          <w:rFonts w:asciiTheme="majorBidi" w:hAnsiTheme="majorBidi" w:cstheme="majorBidi"/>
        </w:rPr>
        <w:t xml:space="preserve">, 4 </w:t>
      </w:r>
      <w:r w:rsidRPr="006D5842">
        <w:rPr>
          <w:rFonts w:asciiTheme="majorBidi" w:hAnsiTheme="majorBidi" w:cstheme="majorBidi"/>
          <w:smallCaps/>
        </w:rPr>
        <w:t>Israel Law Review</w:t>
      </w:r>
      <w:r w:rsidRPr="006D5842">
        <w:rPr>
          <w:rFonts w:asciiTheme="majorBidi" w:hAnsiTheme="majorBidi" w:cstheme="majorBidi"/>
        </w:rPr>
        <w:t xml:space="preserve"> 616, (1966).</w:t>
      </w:r>
    </w:p>
  </w:footnote>
  <w:footnote w:id="55">
    <w:p w:rsidR="009D3D9C" w:rsidRPr="00EC1919" w:rsidRDefault="009D3D9C" w:rsidP="001839C5">
      <w:pPr>
        <w:pStyle w:val="a3"/>
        <w:bidi w:val="0"/>
        <w:jc w:val="both"/>
        <w:rPr>
          <w:rFonts w:asciiTheme="majorBidi" w:hAnsiTheme="majorBidi" w:cstheme="majorBidi"/>
        </w:rPr>
      </w:pPr>
      <w:r w:rsidRPr="00EC1919">
        <w:rPr>
          <w:rStyle w:val="a5"/>
          <w:rFonts w:asciiTheme="majorBidi" w:hAnsiTheme="majorBidi" w:cstheme="majorBidi"/>
        </w:rPr>
        <w:footnoteRef/>
      </w:r>
      <w:r>
        <w:rPr>
          <w:rFonts w:cs="Times New Roman" w:hint="cs"/>
          <w:smallCaps/>
          <w:rtl/>
        </w:rPr>
        <w:t xml:space="preserve"> </w:t>
      </w:r>
      <w:r w:rsidRPr="001705D1">
        <w:rPr>
          <w:rFonts w:asciiTheme="majorBidi" w:hAnsiTheme="majorBidi" w:cstheme="majorBidi"/>
          <w:smallCaps/>
        </w:rPr>
        <w:t>Snell's Equity</w:t>
      </w:r>
      <w:r w:rsidRPr="001839C5">
        <w:rPr>
          <w:rFonts w:asciiTheme="majorBidi" w:hAnsiTheme="majorBidi" w:cstheme="majorBidi"/>
        </w:rPr>
        <w:t xml:space="preserve"> 387 (32nd ed. John McGee ed. 2010</w:t>
      </w:r>
      <w:r w:rsidRPr="004C402D">
        <w:rPr>
          <w:lang w:bidi="ar-SY"/>
        </w:rPr>
        <w:t>)</w:t>
      </w:r>
      <w:r>
        <w:rPr>
          <w:lang w:bidi="ar-SY"/>
        </w:rPr>
        <w:t>.</w:t>
      </w:r>
    </w:p>
  </w:footnote>
  <w:footnote w:id="56">
    <w:p w:rsidR="009D3D9C" w:rsidRPr="00EC1919" w:rsidRDefault="009D3D9C" w:rsidP="001839C5">
      <w:pPr>
        <w:pStyle w:val="a3"/>
        <w:bidi w:val="0"/>
        <w:jc w:val="both"/>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tl/>
        </w:rPr>
        <w:t xml:space="preserve"> </w:t>
      </w:r>
      <w:r w:rsidRPr="001839C5">
        <w:rPr>
          <w:rFonts w:asciiTheme="majorBidi" w:hAnsiTheme="majorBidi" w:cstheme="majorBidi"/>
        </w:rPr>
        <w:t xml:space="preserve">C. A. 2643/97 </w:t>
      </w:r>
      <w:r w:rsidRPr="001839C5">
        <w:rPr>
          <w:rFonts w:asciiTheme="majorBidi" w:hAnsiTheme="majorBidi" w:cstheme="majorBidi"/>
          <w:smallCaps/>
        </w:rPr>
        <w:t>Ganz v. British &amp; Colonial</w:t>
      </w:r>
      <w:r w:rsidRPr="001839C5">
        <w:rPr>
          <w:rFonts w:asciiTheme="majorBidi" w:hAnsiTheme="majorBidi" w:cstheme="majorBidi"/>
        </w:rPr>
        <w:t xml:space="preserve"> 57(2) P. D. 385 (2003)(Hereafter: </w:t>
      </w:r>
      <w:r w:rsidRPr="001839C5">
        <w:rPr>
          <w:rFonts w:asciiTheme="majorBidi" w:hAnsiTheme="majorBidi" w:cstheme="majorBidi"/>
          <w:smallCaps/>
        </w:rPr>
        <w:t>Ganz</w:t>
      </w:r>
      <w:r w:rsidRPr="001839C5">
        <w:rPr>
          <w:rFonts w:asciiTheme="majorBidi" w:hAnsiTheme="majorBidi" w:cstheme="majorBidi"/>
        </w:rPr>
        <w:t xml:space="preserve"> case).</w:t>
      </w:r>
    </w:p>
  </w:footnote>
  <w:footnote w:id="57">
    <w:p w:rsidR="009D3D9C" w:rsidRPr="00EC1919" w:rsidRDefault="009D3D9C" w:rsidP="00FD7625">
      <w:pPr>
        <w:pStyle w:val="a3"/>
        <w:bidi w:val="0"/>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Ibid, at 391-392.</w:t>
      </w:r>
    </w:p>
  </w:footnote>
  <w:footnote w:id="58">
    <w:p w:rsidR="009D3D9C" w:rsidRPr="00EC1919" w:rsidRDefault="009D3D9C" w:rsidP="00C62E1A">
      <w:pPr>
        <w:pStyle w:val="a3"/>
        <w:bidi w:val="0"/>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_Ref518552316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32</w:t>
      </w:r>
      <w:r>
        <w:rPr>
          <w:rFonts w:asciiTheme="majorBidi" w:hAnsiTheme="majorBidi" w:cstheme="majorBidi"/>
        </w:rPr>
        <w:fldChar w:fldCharType="end"/>
      </w:r>
      <w:r>
        <w:rPr>
          <w:rFonts w:asciiTheme="majorBidi" w:hAnsiTheme="majorBidi" w:cstheme="majorBidi"/>
        </w:rPr>
        <w:t>.</w:t>
      </w:r>
    </w:p>
  </w:footnote>
  <w:footnote w:id="59">
    <w:p w:rsidR="009D3D9C" w:rsidRPr="00EC1919" w:rsidRDefault="009D3D9C" w:rsidP="00FA35F8">
      <w:pPr>
        <w:pStyle w:val="a3"/>
        <w:bidi w:val="0"/>
        <w:jc w:val="both"/>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 Dagan </w:t>
      </w:r>
      <w:r w:rsidRPr="00FE3474">
        <w:rPr>
          <w:rFonts w:asciiTheme="majorBidi" w:hAnsiTheme="majorBidi" w:cstheme="majorBidi"/>
          <w:i/>
          <w:iCs/>
        </w:rPr>
        <w:t>Codification</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_Ref518547722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31</w:t>
      </w:r>
      <w:r>
        <w:rPr>
          <w:rFonts w:asciiTheme="majorBidi" w:hAnsiTheme="majorBidi" w:cstheme="majorBidi"/>
        </w:rPr>
        <w:fldChar w:fldCharType="end"/>
      </w:r>
      <w:r>
        <w:rPr>
          <w:rFonts w:asciiTheme="majorBidi" w:hAnsiTheme="majorBidi" w:cstheme="majorBidi"/>
        </w:rPr>
        <w:t xml:space="preserve">, at 161-162, 172; Menachem Mautner </w:t>
      </w:r>
      <w:r w:rsidRPr="00CA3D49">
        <w:rPr>
          <w:rFonts w:asciiTheme="majorBidi" w:hAnsiTheme="majorBidi" w:cstheme="majorBidi"/>
          <w:i/>
          <w:iCs/>
        </w:rPr>
        <w:t>The eternal triangle of the law: Toward a theory of priorities in conflicts involving remote parties</w:t>
      </w:r>
      <w:r>
        <w:rPr>
          <w:rFonts w:asciiTheme="majorBidi" w:hAnsiTheme="majorBidi" w:cstheme="majorBidi"/>
        </w:rPr>
        <w:t xml:space="preserve"> </w:t>
      </w:r>
      <w:r w:rsidRPr="00CA3D49">
        <w:rPr>
          <w:rFonts w:asciiTheme="majorBidi" w:hAnsiTheme="majorBidi" w:cstheme="majorBidi"/>
        </w:rPr>
        <w:t xml:space="preserve">90 </w:t>
      </w:r>
      <w:r w:rsidRPr="00CA3D49">
        <w:rPr>
          <w:rFonts w:asciiTheme="majorBidi" w:hAnsiTheme="majorBidi" w:cstheme="majorBidi"/>
          <w:smallCaps/>
        </w:rPr>
        <w:t>Mich. L. Rev.</w:t>
      </w:r>
      <w:r w:rsidRPr="00CA3D49">
        <w:rPr>
          <w:rFonts w:asciiTheme="majorBidi" w:hAnsiTheme="majorBidi" w:cstheme="majorBidi"/>
        </w:rPr>
        <w:t xml:space="preserve"> 95, 117 (1991)</w:t>
      </w:r>
      <w:r>
        <w:rPr>
          <w:rFonts w:asciiTheme="majorBidi" w:hAnsiTheme="majorBidi" w:cstheme="majorBidi"/>
        </w:rPr>
        <w:t xml:space="preserve">; </w:t>
      </w:r>
      <w:r w:rsidRPr="00CA3D49">
        <w:rPr>
          <w:rFonts w:asciiTheme="majorBidi" w:hAnsiTheme="majorBidi" w:cstheme="majorBidi"/>
        </w:rPr>
        <w:t xml:space="preserve">Nili Cohen </w:t>
      </w:r>
      <w:r w:rsidRPr="00CA3D49">
        <w:rPr>
          <w:rFonts w:asciiTheme="majorBidi" w:hAnsiTheme="majorBidi" w:cstheme="majorBidi"/>
          <w:i/>
          <w:iCs/>
        </w:rPr>
        <w:t>A Minor’s Contract to Acquire an Interest in Land, as Against the Vendor’s Creditor</w:t>
      </w:r>
      <w:r w:rsidRPr="00CA3D49">
        <w:rPr>
          <w:rFonts w:asciiTheme="majorBidi" w:hAnsiTheme="majorBidi" w:cstheme="majorBidi"/>
        </w:rPr>
        <w:t xml:space="preserve">, (1993) 41 Ha-Praklit 161 (Hebrew); </w:t>
      </w:r>
      <w:r>
        <w:rPr>
          <w:rFonts w:asciiTheme="majorBidi" w:hAnsiTheme="majorBidi" w:cstheme="majorBidi"/>
        </w:rPr>
        <w:t xml:space="preserve">Menachem Mautner </w:t>
      </w:r>
      <w:r>
        <w:rPr>
          <w:rFonts w:asciiTheme="majorBidi" w:hAnsiTheme="majorBidi" w:cstheme="majorBidi"/>
          <w:i/>
          <w:iCs/>
        </w:rPr>
        <w:t xml:space="preserve">Conflicting transactions and the negligence of a purchaser who does not register a caveat </w:t>
      </w:r>
      <w:r>
        <w:rPr>
          <w:rFonts w:ascii="TimesNewRomanPS-BoldMT" w:hAnsi="TimesNewRomanPS-BoldMT" w:cs="TimesNewRomanPS-BoldMT"/>
          <w:smallCaps/>
          <w:sz w:val="18"/>
          <w:szCs w:val="18"/>
        </w:rPr>
        <w:t xml:space="preserve">40 </w:t>
      </w:r>
      <w:r w:rsidRPr="0002288E">
        <w:rPr>
          <w:rFonts w:ascii="TimesNewRomanPS-BoldMT" w:hAnsi="TimesNewRomanPS-BoldMT" w:cs="TimesNewRomanPS-BoldMT"/>
          <w:smallCaps/>
          <w:sz w:val="18"/>
          <w:szCs w:val="18"/>
        </w:rPr>
        <w:t>Hapraklit-The Israel Bar Law Journal</w:t>
      </w:r>
      <w:r>
        <w:rPr>
          <w:rFonts w:ascii="TimesNewRomanPS-BoldMT" w:hAnsi="TimesNewRomanPS-BoldMT" w:cs="TimesNewRomanPS-BoldMT"/>
          <w:smallCaps/>
          <w:sz w:val="18"/>
          <w:szCs w:val="18"/>
        </w:rPr>
        <w:t xml:space="preserve"> 525, 521 (1992)</w:t>
      </w:r>
      <w:r w:rsidRPr="00FA35F8">
        <w:t xml:space="preserve"> </w:t>
      </w:r>
      <w:r w:rsidRPr="00FA35F8">
        <w:rPr>
          <w:rFonts w:asciiTheme="majorBidi" w:hAnsiTheme="majorBidi" w:cstheme="majorBidi"/>
        </w:rPr>
        <w:t>(Hebrew); Miguel D</w:t>
      </w:r>
      <w:r>
        <w:rPr>
          <w:rFonts w:asciiTheme="majorBidi" w:hAnsiTheme="majorBidi" w:cstheme="majorBidi"/>
        </w:rPr>
        <w:t>e</w:t>
      </w:r>
      <w:r w:rsidRPr="00FA35F8">
        <w:rPr>
          <w:rFonts w:asciiTheme="majorBidi" w:hAnsiTheme="majorBidi" w:cstheme="majorBidi"/>
        </w:rPr>
        <w:t xml:space="preserve">utch </w:t>
      </w:r>
      <w:r w:rsidRPr="00FA35F8">
        <w:rPr>
          <w:rFonts w:asciiTheme="majorBidi" w:hAnsiTheme="majorBidi" w:cstheme="majorBidi"/>
          <w:smallCaps/>
        </w:rPr>
        <w:t>Property</w:t>
      </w:r>
      <w:r w:rsidRPr="00FA35F8">
        <w:rPr>
          <w:rFonts w:asciiTheme="majorBidi" w:hAnsiTheme="majorBidi" w:cstheme="majorBidi"/>
        </w:rPr>
        <w:t xml:space="preserve"> 174 (Vol A, 1997)(Hebrew)</w:t>
      </w:r>
      <w:r>
        <w:rPr>
          <w:rFonts w:asciiTheme="majorBidi" w:hAnsiTheme="majorBidi" w:cstheme="majorBidi"/>
        </w:rPr>
        <w:t>.</w:t>
      </w:r>
    </w:p>
  </w:footnote>
  <w:footnote w:id="60">
    <w:p w:rsidR="009D3D9C" w:rsidRPr="00EC1919" w:rsidRDefault="009D3D9C" w:rsidP="00BF2C64">
      <w:pPr>
        <w:pStyle w:val="a3"/>
        <w:bidi w:val="0"/>
        <w:jc w:val="both"/>
        <w:rPr>
          <w:rFonts w:asciiTheme="majorBidi" w:hAnsiTheme="majorBidi" w:cstheme="majorBidi"/>
          <w:rtl/>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 xml:space="preserve"> </w:t>
      </w:r>
      <w:r w:rsidRPr="00A93065">
        <w:rPr>
          <w:rFonts w:asciiTheme="majorBidi" w:hAnsiTheme="majorBidi" w:cstheme="majorBidi"/>
        </w:rPr>
        <w:t xml:space="preserve">F.H. 21/80 </w:t>
      </w:r>
      <w:r w:rsidRPr="00A93065">
        <w:rPr>
          <w:rFonts w:asciiTheme="majorBidi" w:hAnsiTheme="majorBidi" w:cstheme="majorBidi"/>
          <w:smallCaps/>
        </w:rPr>
        <w:t>Wertheimer v. Harari</w:t>
      </w:r>
      <w:r w:rsidRPr="00A93065">
        <w:rPr>
          <w:rFonts w:asciiTheme="majorBidi" w:hAnsiTheme="majorBidi" w:cstheme="majorBidi"/>
        </w:rPr>
        <w:t xml:space="preserve"> 35(3) P. D. 253</w:t>
      </w:r>
      <w:r>
        <w:rPr>
          <w:rFonts w:asciiTheme="majorBidi" w:hAnsiTheme="majorBidi" w:cstheme="majorBidi"/>
        </w:rPr>
        <w:t>, 263-267</w:t>
      </w:r>
      <w:r w:rsidRPr="00A93065">
        <w:rPr>
          <w:rFonts w:asciiTheme="majorBidi" w:hAnsiTheme="majorBidi" w:cstheme="majorBidi"/>
        </w:rPr>
        <w:t xml:space="preserve"> (1981) </w:t>
      </w:r>
      <w:r>
        <w:rPr>
          <w:rFonts w:asciiTheme="majorBidi" w:hAnsiTheme="majorBidi" w:cstheme="majorBidi"/>
        </w:rPr>
        <w:t xml:space="preserve">Hebrew); </w:t>
      </w:r>
      <w:r>
        <w:rPr>
          <w:rFonts w:asciiTheme="majorBidi" w:hAnsiTheme="majorBidi" w:cstheme="majorBidi" w:hint="cs"/>
        </w:rPr>
        <w:t>C</w:t>
      </w:r>
      <w:r>
        <w:rPr>
          <w:rFonts w:asciiTheme="majorBidi" w:hAnsiTheme="majorBidi" w:cstheme="majorBidi"/>
        </w:rPr>
        <w:t>.A.</w:t>
      </w:r>
      <w:r w:rsidRPr="00C571DF">
        <w:rPr>
          <w:rFonts w:asciiTheme="majorBidi" w:hAnsiTheme="majorBidi" w:cstheme="majorBidi"/>
        </w:rPr>
        <w:t xml:space="preserve"> 839/90 </w:t>
      </w:r>
      <w:r w:rsidRPr="00C571DF">
        <w:rPr>
          <w:rFonts w:asciiTheme="majorBidi" w:hAnsiTheme="majorBidi" w:cstheme="majorBidi"/>
          <w:smallCaps/>
        </w:rPr>
        <w:t>Raz Construction Company Ltd. v. Irenstein</w:t>
      </w:r>
      <w:r>
        <w:rPr>
          <w:rFonts w:asciiTheme="majorBidi" w:hAnsiTheme="majorBidi" w:cstheme="majorBidi"/>
        </w:rPr>
        <w:t xml:space="preserve">, </w:t>
      </w:r>
      <w:r w:rsidRPr="00C571DF">
        <w:rPr>
          <w:rFonts w:asciiTheme="majorBidi" w:hAnsiTheme="majorBidi" w:cstheme="majorBidi"/>
        </w:rPr>
        <w:t>PD (5) 739</w:t>
      </w:r>
      <w:r>
        <w:rPr>
          <w:rFonts w:asciiTheme="majorBidi" w:hAnsiTheme="majorBidi" w:cstheme="majorBidi"/>
        </w:rPr>
        <w:t xml:space="preserve">, 748 (1991)(Hebrew); </w:t>
      </w:r>
      <w:r>
        <w:rPr>
          <w:rFonts w:asciiTheme="majorBidi" w:hAnsiTheme="majorBidi" w:cstheme="majorBidi" w:hint="cs"/>
        </w:rPr>
        <w:t>C</w:t>
      </w:r>
      <w:r>
        <w:rPr>
          <w:rFonts w:asciiTheme="majorBidi" w:hAnsiTheme="majorBidi" w:cstheme="majorBidi"/>
        </w:rPr>
        <w:t xml:space="preserve">.A. 1235/90 </w:t>
      </w:r>
      <w:r w:rsidRPr="000B5E5B">
        <w:rPr>
          <w:rFonts w:asciiTheme="majorBidi" w:hAnsiTheme="majorBidi" w:cstheme="majorBidi"/>
          <w:smallCaps/>
        </w:rPr>
        <w:t>Herbst v. M. Arian Electrical Works Contractor Ltd.</w:t>
      </w:r>
      <w:r>
        <w:rPr>
          <w:rFonts w:asciiTheme="majorBidi" w:hAnsiTheme="majorBidi" w:cstheme="majorBidi"/>
        </w:rPr>
        <w:t xml:space="preserve">, Par. 9 J. Barak (Nevo, 1.9.1992)(Hebrew); Dagan </w:t>
      </w:r>
      <w:r w:rsidRPr="00FE3474">
        <w:rPr>
          <w:rFonts w:asciiTheme="majorBidi" w:hAnsiTheme="majorBidi" w:cstheme="majorBidi"/>
          <w:i/>
          <w:iCs/>
        </w:rPr>
        <w:t>Codification</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_Ref518547722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31</w:t>
      </w:r>
      <w:r>
        <w:rPr>
          <w:rFonts w:asciiTheme="majorBidi" w:hAnsiTheme="majorBidi" w:cstheme="majorBidi"/>
        </w:rPr>
        <w:fldChar w:fldCharType="end"/>
      </w:r>
      <w:r>
        <w:rPr>
          <w:rFonts w:asciiTheme="majorBidi" w:hAnsiTheme="majorBidi" w:cstheme="majorBidi"/>
        </w:rPr>
        <w:t>, at 172.</w:t>
      </w:r>
    </w:p>
  </w:footnote>
  <w:footnote w:id="61">
    <w:p w:rsidR="009D3D9C" w:rsidRPr="00EC1919" w:rsidRDefault="009D3D9C" w:rsidP="007A1F5B">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smallCaps/>
        </w:rPr>
        <w:t xml:space="preserve"> </w:t>
      </w:r>
      <w:r w:rsidRPr="001839C5">
        <w:rPr>
          <w:rFonts w:asciiTheme="majorBidi" w:hAnsiTheme="majorBidi" w:cstheme="majorBidi"/>
          <w:smallCaps/>
        </w:rPr>
        <w:t>Ganz</w:t>
      </w:r>
      <w:r w:rsidRPr="001839C5">
        <w:rPr>
          <w:rFonts w:asciiTheme="majorBidi" w:hAnsiTheme="majorBidi" w:cstheme="majorBidi"/>
        </w:rPr>
        <w:t xml:space="preserve"> case</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_Ref518568858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56</w:t>
      </w:r>
      <w:r>
        <w:rPr>
          <w:rFonts w:asciiTheme="majorBidi" w:hAnsiTheme="majorBidi" w:cstheme="majorBidi"/>
        </w:rPr>
        <w:fldChar w:fldCharType="end"/>
      </w:r>
      <w:r>
        <w:rPr>
          <w:rFonts w:asciiTheme="majorBidi" w:hAnsiTheme="majorBidi" w:cstheme="majorBidi"/>
        </w:rPr>
        <w:t>, at 400-401.</w:t>
      </w:r>
      <w:r w:rsidRPr="00EC1919">
        <w:rPr>
          <w:rFonts w:asciiTheme="majorBidi" w:hAnsiTheme="majorBidi" w:cstheme="majorBidi"/>
          <w:rtl/>
        </w:rPr>
        <w:t xml:space="preserve"> </w:t>
      </w:r>
    </w:p>
  </w:footnote>
  <w:footnote w:id="62">
    <w:p w:rsidR="009D3D9C" w:rsidRPr="0014169F" w:rsidRDefault="009D3D9C" w:rsidP="0014169F">
      <w:pPr>
        <w:pStyle w:val="a3"/>
        <w:bidi w:val="0"/>
        <w:rPr>
          <w:rtl/>
        </w:rPr>
      </w:pPr>
      <w:r>
        <w:rPr>
          <w:rStyle w:val="a5"/>
        </w:rPr>
        <w:footnoteRef/>
      </w:r>
      <w:r>
        <w:rPr>
          <w:rtl/>
        </w:rPr>
        <w:t xml:space="preserve"> </w:t>
      </w:r>
      <w:r w:rsidRPr="0014169F">
        <w:rPr>
          <w:rFonts w:asciiTheme="majorBidi" w:hAnsiTheme="majorBidi" w:cstheme="majorBidi"/>
        </w:rPr>
        <w:t>The Contracts (General Part) Law, 5733-1973, § 39, 61(b), S.H.118 (Hebrew)</w:t>
      </w:r>
      <w:r>
        <w:rPr>
          <w:rFonts w:asciiTheme="majorBidi" w:hAnsiTheme="majorBidi" w:cstheme="majorBidi"/>
        </w:rPr>
        <w:t>, 27 L.S.I. 117</w:t>
      </w:r>
      <w:r w:rsidRPr="0014169F">
        <w:rPr>
          <w:rFonts w:asciiTheme="majorBidi" w:hAnsiTheme="majorBidi" w:cstheme="majorBidi"/>
        </w:rPr>
        <w:t>; The Land Law 1969, § 14</w:t>
      </w:r>
      <w:r>
        <w:t>.</w:t>
      </w:r>
    </w:p>
  </w:footnote>
  <w:footnote w:id="63">
    <w:p w:rsidR="009D3D9C" w:rsidRDefault="009D3D9C" w:rsidP="00E321F6">
      <w:pPr>
        <w:pStyle w:val="a3"/>
        <w:bidi w:val="0"/>
        <w:jc w:val="both"/>
      </w:pPr>
      <w:r>
        <w:rPr>
          <w:rStyle w:val="a5"/>
        </w:rPr>
        <w:footnoteRef/>
      </w:r>
      <w:r w:rsidRPr="0076334D">
        <w:rPr>
          <w:rFonts w:asciiTheme="majorBidi" w:hAnsiTheme="majorBidi" w:cstheme="majorBidi"/>
        </w:rPr>
        <w:t xml:space="preserve">W. Z. Zeltner </w:t>
      </w:r>
      <w:r w:rsidRPr="0076334D">
        <w:rPr>
          <w:rFonts w:asciiTheme="majorBidi" w:hAnsiTheme="majorBidi" w:cstheme="majorBidi"/>
          <w:i/>
          <w:iCs/>
        </w:rPr>
        <w:t>Reflections of the Contracts Law (General Part), 5733-1973</w:t>
      </w:r>
      <w:r w:rsidRPr="0076334D">
        <w:rPr>
          <w:rFonts w:asciiTheme="majorBidi" w:hAnsiTheme="majorBidi" w:cstheme="majorBidi"/>
        </w:rPr>
        <w:t xml:space="preserve">, 1 </w:t>
      </w:r>
      <w:r w:rsidRPr="0076334D">
        <w:rPr>
          <w:rFonts w:asciiTheme="majorBidi" w:hAnsiTheme="majorBidi" w:cstheme="majorBidi"/>
          <w:smallCaps/>
        </w:rPr>
        <w:t xml:space="preserve">Tel Aviv U. Stud. L. </w:t>
      </w:r>
      <w:r w:rsidRPr="0076334D">
        <w:rPr>
          <w:rFonts w:asciiTheme="majorBidi" w:hAnsiTheme="majorBidi" w:cstheme="majorBidi"/>
        </w:rPr>
        <w:t>153</w:t>
      </w:r>
      <w:r>
        <w:rPr>
          <w:rFonts w:asciiTheme="majorBidi" w:hAnsiTheme="majorBidi" w:cstheme="majorBidi"/>
        </w:rPr>
        <w:t>, 162</w:t>
      </w:r>
      <w:r w:rsidRPr="0076334D">
        <w:rPr>
          <w:rFonts w:asciiTheme="majorBidi" w:hAnsiTheme="majorBidi" w:cstheme="majorBidi"/>
        </w:rPr>
        <w:t xml:space="preserve"> (1975)</w:t>
      </w:r>
      <w:r>
        <w:rPr>
          <w:rFonts w:asciiTheme="majorBidi" w:hAnsiTheme="majorBidi" w:cstheme="majorBidi"/>
        </w:rPr>
        <w:t xml:space="preserve">; </w:t>
      </w:r>
      <w:r w:rsidRPr="00E321F6">
        <w:rPr>
          <w:rFonts w:asciiTheme="majorBidi" w:hAnsiTheme="majorBidi" w:cstheme="majorBidi"/>
        </w:rPr>
        <w:t xml:space="preserve">Aharon Barak, </w:t>
      </w:r>
      <w:r w:rsidRPr="00E321F6">
        <w:rPr>
          <w:rFonts w:asciiTheme="majorBidi" w:hAnsiTheme="majorBidi" w:cstheme="majorBidi"/>
          <w:i/>
          <w:iCs/>
        </w:rPr>
        <w:t>Codification of Civil Law and the Law of Torts</w:t>
      </w:r>
      <w:r w:rsidRPr="00E321F6">
        <w:rPr>
          <w:rFonts w:asciiTheme="majorBidi" w:hAnsiTheme="majorBidi" w:cstheme="majorBidi"/>
        </w:rPr>
        <w:t xml:space="preserve">, 24 </w:t>
      </w:r>
      <w:r w:rsidRPr="00E321F6">
        <w:rPr>
          <w:rFonts w:asciiTheme="majorBidi" w:hAnsiTheme="majorBidi" w:cstheme="majorBidi"/>
          <w:smallCaps/>
        </w:rPr>
        <w:t>Isr. L. Rev.</w:t>
      </w:r>
      <w:r w:rsidRPr="00E321F6">
        <w:rPr>
          <w:rFonts w:asciiTheme="majorBidi" w:hAnsiTheme="majorBidi" w:cstheme="majorBidi"/>
        </w:rPr>
        <w:t xml:space="preserve"> 628</w:t>
      </w:r>
      <w:r>
        <w:rPr>
          <w:rFonts w:asciiTheme="majorBidi" w:hAnsiTheme="majorBidi" w:cstheme="majorBidi"/>
        </w:rPr>
        <w:t>, 632-638</w:t>
      </w:r>
      <w:r w:rsidRPr="00E321F6">
        <w:rPr>
          <w:rFonts w:asciiTheme="majorBidi" w:hAnsiTheme="majorBidi" w:cstheme="majorBidi"/>
        </w:rPr>
        <w:t xml:space="preserve"> (1990)</w:t>
      </w:r>
      <w:r>
        <w:rPr>
          <w:rFonts w:asciiTheme="majorBidi" w:hAnsiTheme="majorBidi" w:cstheme="majorBidi"/>
        </w:rPr>
        <w:t>.</w:t>
      </w:r>
    </w:p>
  </w:footnote>
  <w:footnote w:id="64">
    <w:p w:rsidR="009D3D9C" w:rsidRDefault="009D3D9C" w:rsidP="007A1F5B">
      <w:pPr>
        <w:pStyle w:val="a3"/>
        <w:bidi w:val="0"/>
        <w:jc w:val="both"/>
      </w:pPr>
      <w:r>
        <w:rPr>
          <w:rStyle w:val="a5"/>
        </w:rPr>
        <w:footnoteRef/>
      </w:r>
      <w:r>
        <w:rPr>
          <w:rtl/>
        </w:rPr>
        <w:t xml:space="preserve"> </w:t>
      </w:r>
      <w:r w:rsidRPr="00B72F81">
        <w:rPr>
          <w:rFonts w:asciiTheme="majorBidi" w:hAnsiTheme="majorBidi" w:cstheme="majorBidi"/>
        </w:rPr>
        <w:t xml:space="preserve">C.A. 4628/93 </w:t>
      </w:r>
      <w:r w:rsidRPr="007A1F5B">
        <w:rPr>
          <w:rFonts w:asciiTheme="majorBidi" w:hAnsiTheme="majorBidi" w:cstheme="majorBidi"/>
          <w:smallCaps/>
        </w:rPr>
        <w:t>State of Israel v. Apropim</w:t>
      </w:r>
      <w:r w:rsidRPr="00B72F81">
        <w:rPr>
          <w:rFonts w:asciiTheme="majorBidi" w:hAnsiTheme="majorBidi" w:cstheme="majorBidi"/>
        </w:rPr>
        <w:t>, 49(2) 265,</w:t>
      </w:r>
      <w:r>
        <w:rPr>
          <w:rFonts w:asciiTheme="majorBidi" w:hAnsiTheme="majorBidi" w:cstheme="majorBidi"/>
        </w:rPr>
        <w:t xml:space="preserve"> 305-306</w:t>
      </w:r>
      <w:r w:rsidRPr="00B72F81">
        <w:rPr>
          <w:rFonts w:asciiTheme="majorBidi" w:hAnsiTheme="majorBidi" w:cstheme="majorBidi"/>
        </w:rPr>
        <w:t xml:space="preserve"> (1995)</w:t>
      </w:r>
      <w:r>
        <w:rPr>
          <w:rFonts w:asciiTheme="majorBidi" w:hAnsiTheme="majorBidi" w:cstheme="majorBidi"/>
        </w:rPr>
        <w:t>(Hebrew)</w:t>
      </w:r>
      <w:r w:rsidRPr="00B72F81">
        <w:rPr>
          <w:rFonts w:asciiTheme="majorBidi" w:hAnsiTheme="majorBidi" w:cstheme="majorBidi"/>
        </w:rPr>
        <w:t>,</w:t>
      </w:r>
      <w:r>
        <w:t xml:space="preserve"> </w:t>
      </w:r>
      <w:r w:rsidRPr="00EC302E">
        <w:rPr>
          <w:rFonts w:ascii="Times New Roman" w:hAnsi="Times New Roman" w:cs="Times New Roman"/>
          <w:smallCaps/>
        </w:rPr>
        <w:t>VERSA-Opinions of The Supreme Court of Israel, Translated Opinions,</w:t>
      </w:r>
      <w:r>
        <w:t xml:space="preserve"> </w:t>
      </w:r>
      <w:hyperlink r:id="rId25" w:history="1">
        <w:r w:rsidRPr="00B72F81">
          <w:rPr>
            <w:rStyle w:val="Hyperlink"/>
            <w:rFonts w:asciiTheme="majorBidi" w:hAnsiTheme="majorBidi" w:cstheme="majorBidi"/>
          </w:rPr>
          <w:t>http://versa.cardozo.yu.edu/opinions/state-israel-v-apropim</w:t>
        </w:r>
      </w:hyperlink>
      <w:r>
        <w:rPr>
          <w:rFonts w:asciiTheme="majorBidi" w:hAnsiTheme="majorBidi" w:cstheme="majorBidi"/>
        </w:rPr>
        <w:t>, Par 9-10 J.Barak</w:t>
      </w:r>
      <w:r>
        <w:t xml:space="preserve">; </w:t>
      </w:r>
      <w:r>
        <w:rPr>
          <w:rFonts w:asciiTheme="majorBidi" w:hAnsiTheme="majorBidi" w:cstheme="majorBidi"/>
        </w:rPr>
        <w:t>L</w:t>
      </w:r>
      <w:r w:rsidRPr="007A1F5B">
        <w:rPr>
          <w:rFonts w:asciiTheme="majorBidi" w:hAnsiTheme="majorBidi" w:cstheme="majorBidi"/>
        </w:rPr>
        <w:t xml:space="preserve">.C.A 6339/97 </w:t>
      </w:r>
      <w:r w:rsidRPr="007A1F5B">
        <w:rPr>
          <w:rFonts w:asciiTheme="majorBidi" w:hAnsiTheme="majorBidi" w:cstheme="majorBidi"/>
          <w:smallCaps/>
        </w:rPr>
        <w:t>Roker v, Salomon</w:t>
      </w:r>
      <w:r w:rsidRPr="007A1F5B">
        <w:rPr>
          <w:rFonts w:asciiTheme="majorBidi" w:hAnsiTheme="majorBidi" w:cstheme="majorBidi"/>
        </w:rPr>
        <w:t>, 58(1)PD 199,</w:t>
      </w:r>
      <w:r>
        <w:rPr>
          <w:rFonts w:asciiTheme="majorBidi" w:hAnsiTheme="majorBidi" w:cstheme="majorBidi"/>
        </w:rPr>
        <w:t xml:space="preserve"> 275-278.</w:t>
      </w:r>
    </w:p>
  </w:footnote>
  <w:footnote w:id="65">
    <w:p w:rsidR="009D3D9C" w:rsidRDefault="009D3D9C" w:rsidP="00E321F6">
      <w:pPr>
        <w:pStyle w:val="a3"/>
        <w:bidi w:val="0"/>
      </w:pPr>
      <w:r>
        <w:rPr>
          <w:rStyle w:val="a5"/>
        </w:rPr>
        <w:footnoteRef/>
      </w:r>
      <w:r>
        <w:rPr>
          <w:rtl/>
        </w:rPr>
        <w:t xml:space="preserve"> </w:t>
      </w:r>
      <w:r w:rsidRPr="00E321F6">
        <w:rPr>
          <w:rFonts w:asciiTheme="majorBidi" w:hAnsiTheme="majorBidi" w:cstheme="majorBidi"/>
        </w:rPr>
        <w:t xml:space="preserve">Barak, </w:t>
      </w:r>
      <w:r w:rsidRPr="00E321F6">
        <w:rPr>
          <w:rFonts w:asciiTheme="majorBidi" w:hAnsiTheme="majorBidi" w:cstheme="majorBidi"/>
          <w:i/>
          <w:iCs/>
        </w:rPr>
        <w:t>Codification</w:t>
      </w:r>
      <w:r>
        <w:t xml:space="preserve">, </w:t>
      </w:r>
      <w:r w:rsidRPr="00E321F6">
        <w:rPr>
          <w:rFonts w:asciiTheme="majorBidi" w:hAnsiTheme="majorBidi" w:cstheme="majorBidi"/>
        </w:rPr>
        <w:t>supra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_Ref518572258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63</w:t>
      </w:r>
      <w:r>
        <w:rPr>
          <w:rFonts w:asciiTheme="majorBidi" w:hAnsiTheme="majorBidi" w:cstheme="majorBidi"/>
        </w:rPr>
        <w:fldChar w:fldCharType="end"/>
      </w:r>
      <w:r>
        <w:rPr>
          <w:rFonts w:asciiTheme="majorBidi" w:hAnsiTheme="majorBidi" w:cstheme="majorBidi"/>
        </w:rPr>
        <w:t xml:space="preserve">, </w:t>
      </w:r>
      <w:r w:rsidRPr="00E321F6">
        <w:rPr>
          <w:rFonts w:asciiTheme="majorBidi" w:hAnsiTheme="majorBidi" w:cstheme="majorBidi"/>
        </w:rPr>
        <w:t>at 638.</w:t>
      </w:r>
      <w:r>
        <w:t xml:space="preserve"> </w:t>
      </w:r>
    </w:p>
  </w:footnote>
  <w:footnote w:id="66">
    <w:p w:rsidR="009D3D9C" w:rsidRPr="00EC1919" w:rsidRDefault="009D3D9C" w:rsidP="007A1F5B">
      <w:pPr>
        <w:pStyle w:val="a3"/>
        <w:bidi w:val="0"/>
        <w:rPr>
          <w:rFonts w:asciiTheme="majorBidi" w:hAnsiTheme="majorBidi" w:cstheme="majorBidi"/>
        </w:rPr>
      </w:pPr>
      <w:r w:rsidRPr="00EC1919">
        <w:rPr>
          <w:rStyle w:val="a5"/>
          <w:rFonts w:asciiTheme="majorBidi" w:hAnsiTheme="majorBidi" w:cstheme="majorBidi"/>
        </w:rPr>
        <w:footnoteRef/>
      </w:r>
      <w:r w:rsidRPr="001839C5">
        <w:rPr>
          <w:rFonts w:asciiTheme="majorBidi" w:hAnsiTheme="majorBidi" w:cstheme="majorBidi"/>
          <w:smallCaps/>
        </w:rPr>
        <w:t>Ganz</w:t>
      </w:r>
      <w:r w:rsidRPr="001839C5">
        <w:rPr>
          <w:rFonts w:asciiTheme="majorBidi" w:hAnsiTheme="majorBidi" w:cstheme="majorBidi"/>
        </w:rPr>
        <w:t xml:space="preserve"> case</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_Ref518568858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56</w:t>
      </w:r>
      <w:r>
        <w:rPr>
          <w:rFonts w:asciiTheme="majorBidi" w:hAnsiTheme="majorBidi" w:cstheme="majorBidi"/>
        </w:rPr>
        <w:fldChar w:fldCharType="end"/>
      </w:r>
      <w:r>
        <w:rPr>
          <w:rFonts w:asciiTheme="majorBidi" w:hAnsiTheme="majorBidi" w:cstheme="majorBidi"/>
        </w:rPr>
        <w:t>, at 404.</w:t>
      </w:r>
    </w:p>
  </w:footnote>
  <w:footnote w:id="67">
    <w:p w:rsidR="009D3D9C" w:rsidRPr="00EC1919" w:rsidRDefault="009D3D9C" w:rsidP="007A1F5B">
      <w:pPr>
        <w:pStyle w:val="a3"/>
        <w:bidi w:val="0"/>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 Ibid, ibid.</w:t>
      </w:r>
    </w:p>
  </w:footnote>
  <w:footnote w:id="68">
    <w:p w:rsidR="009D3D9C" w:rsidRPr="00EC1919" w:rsidRDefault="009D3D9C" w:rsidP="007A1F5B">
      <w:pPr>
        <w:pStyle w:val="a3"/>
        <w:bidi w:val="0"/>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Ibid, at 406.</w:t>
      </w:r>
    </w:p>
  </w:footnote>
  <w:footnote w:id="69">
    <w:p w:rsidR="009D3D9C" w:rsidRPr="00EC1919" w:rsidRDefault="009D3D9C" w:rsidP="007A1F5B">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Ibid, ibid.</w:t>
      </w:r>
    </w:p>
  </w:footnote>
  <w:footnote w:id="70">
    <w:p w:rsidR="009D3D9C" w:rsidRPr="00EC1919" w:rsidRDefault="009D3D9C" w:rsidP="007A1F5B">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Ibid, at 416 (J.Shtrasberg-Cohen),418 (J.Levin), 426 (J. Matza), 431 (J.Rivlin).</w:t>
      </w:r>
      <w:r w:rsidRPr="00EC1919">
        <w:rPr>
          <w:rFonts w:asciiTheme="majorBidi" w:hAnsiTheme="majorBidi" w:cstheme="majorBidi"/>
          <w:rtl/>
        </w:rPr>
        <w:t xml:space="preserve"> </w:t>
      </w:r>
    </w:p>
  </w:footnote>
  <w:footnote w:id="71">
    <w:p w:rsidR="009D3D9C" w:rsidRPr="00EC1919" w:rsidRDefault="009D3D9C" w:rsidP="007A1F5B">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w:t>
      </w:r>
      <w:r w:rsidRPr="001705D1">
        <w:rPr>
          <w:rFonts w:asciiTheme="majorBidi" w:hAnsiTheme="majorBidi" w:cstheme="majorBidi"/>
          <w:smallCaps/>
        </w:rPr>
        <w:t>Snell's Equity</w:t>
      </w:r>
      <w:r>
        <w:rPr>
          <w:rFonts w:asciiTheme="majorBidi" w:hAnsiTheme="majorBidi" w:cstheme="majorBidi"/>
          <w:smallCaps/>
        </w:rPr>
        <w:t>,</w:t>
      </w:r>
      <w:r w:rsidRPr="007A1F5B">
        <w:rPr>
          <w:rFonts w:asciiTheme="majorBidi" w:hAnsiTheme="majorBidi" w:cstheme="majorBidi"/>
        </w:rPr>
        <w:t xml:space="preserve"> supra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_Ref518575999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55</w:t>
      </w:r>
      <w:r>
        <w:rPr>
          <w:rFonts w:asciiTheme="majorBidi" w:hAnsiTheme="majorBidi" w:cstheme="majorBidi"/>
        </w:rPr>
        <w:fldChar w:fldCharType="end"/>
      </w:r>
      <w:r>
        <w:rPr>
          <w:rFonts w:asciiTheme="majorBidi" w:hAnsiTheme="majorBidi" w:cstheme="majorBidi"/>
        </w:rPr>
        <w:t>.</w:t>
      </w:r>
    </w:p>
  </w:footnote>
  <w:footnote w:id="72">
    <w:p w:rsidR="009D3D9C" w:rsidRPr="00EC1919" w:rsidRDefault="009D3D9C" w:rsidP="007A1F5B">
      <w:pPr>
        <w:pStyle w:val="a3"/>
        <w:bidi w:val="0"/>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smallCaps/>
        </w:rPr>
        <w:t xml:space="preserve"> </w:t>
      </w:r>
      <w:r w:rsidRPr="001839C5">
        <w:rPr>
          <w:rFonts w:asciiTheme="majorBidi" w:hAnsiTheme="majorBidi" w:cstheme="majorBidi"/>
          <w:smallCaps/>
        </w:rPr>
        <w:t>Ganz</w:t>
      </w:r>
      <w:r w:rsidRPr="001839C5">
        <w:rPr>
          <w:rFonts w:asciiTheme="majorBidi" w:hAnsiTheme="majorBidi" w:cstheme="majorBidi"/>
        </w:rPr>
        <w:t xml:space="preserve"> case</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_Ref518568858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56</w:t>
      </w:r>
      <w:r>
        <w:rPr>
          <w:rFonts w:asciiTheme="majorBidi" w:hAnsiTheme="majorBidi" w:cstheme="majorBidi"/>
        </w:rPr>
        <w:fldChar w:fldCharType="end"/>
      </w:r>
      <w:r>
        <w:rPr>
          <w:rFonts w:asciiTheme="majorBidi" w:hAnsiTheme="majorBidi" w:cstheme="majorBidi"/>
        </w:rPr>
        <w:t>, at</w:t>
      </w:r>
      <w:r w:rsidRPr="00EC1919">
        <w:rPr>
          <w:rFonts w:asciiTheme="majorBidi" w:hAnsiTheme="majorBidi" w:cstheme="majorBidi"/>
          <w:rtl/>
        </w:rPr>
        <w:t xml:space="preserve"> </w:t>
      </w:r>
      <w:r>
        <w:rPr>
          <w:rFonts w:asciiTheme="majorBidi" w:hAnsiTheme="majorBidi" w:cstheme="majorBidi"/>
        </w:rPr>
        <w:t>418 (J.Levin), 431 (J.Rivlin).</w:t>
      </w:r>
    </w:p>
  </w:footnote>
  <w:footnote w:id="73">
    <w:p w:rsidR="009D3D9C" w:rsidRPr="00EC1919" w:rsidRDefault="009D3D9C" w:rsidP="007A1F5B">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Ibid, at 407.</w:t>
      </w:r>
    </w:p>
  </w:footnote>
  <w:footnote w:id="74">
    <w:p w:rsidR="009D3D9C" w:rsidRPr="00EC1919" w:rsidRDefault="009D3D9C" w:rsidP="00F36EE2">
      <w:pPr>
        <w:pStyle w:val="a3"/>
        <w:bidi w:val="0"/>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C62490">
        <w:rPr>
          <w:rFonts w:asciiTheme="majorBidi" w:hAnsiTheme="majorBidi" w:cstheme="majorBidi"/>
        </w:rPr>
        <w:t xml:space="preserve">C.A. 9245/99 </w:t>
      </w:r>
      <w:r w:rsidRPr="00F36EE2">
        <w:rPr>
          <w:rFonts w:asciiTheme="majorBidi" w:hAnsiTheme="majorBidi" w:cstheme="majorBidi"/>
          <w:smallCaps/>
        </w:rPr>
        <w:t>Weinberg v, Arian</w:t>
      </w:r>
      <w:r w:rsidRPr="00C62490">
        <w:rPr>
          <w:rFonts w:asciiTheme="majorBidi" w:hAnsiTheme="majorBidi" w:cstheme="majorBidi"/>
        </w:rPr>
        <w:t xml:space="preserve">, 58(4) PD </w:t>
      </w:r>
      <w:r>
        <w:rPr>
          <w:rFonts w:asciiTheme="majorBidi" w:hAnsiTheme="majorBidi" w:cstheme="majorBidi"/>
        </w:rPr>
        <w:t xml:space="preserve">804-806 (2004)(Hebrew); </w:t>
      </w:r>
      <w:r w:rsidRPr="00F36EE2">
        <w:rPr>
          <w:rFonts w:asciiTheme="majorBidi" w:hAnsiTheme="majorBidi" w:cstheme="majorBidi"/>
        </w:rPr>
        <w:t xml:space="preserve">C.A. 8881/07 </w:t>
      </w:r>
      <w:r w:rsidRPr="00F36EE2">
        <w:rPr>
          <w:rFonts w:asciiTheme="majorBidi" w:hAnsiTheme="majorBidi" w:cstheme="majorBidi"/>
          <w:smallCaps/>
        </w:rPr>
        <w:t>Lev v. Tubi</w:t>
      </w:r>
      <w:r w:rsidRPr="00F36EE2">
        <w:rPr>
          <w:rFonts w:asciiTheme="majorBidi" w:hAnsiTheme="majorBidi" w:cstheme="majorBidi"/>
        </w:rPr>
        <w:t xml:space="preserve">, </w:t>
      </w:r>
      <w:r>
        <w:rPr>
          <w:rFonts w:asciiTheme="majorBidi" w:hAnsiTheme="majorBidi" w:cstheme="majorBidi"/>
        </w:rPr>
        <w:t>par.24-25 J.Melc</w:t>
      </w:r>
      <w:r w:rsidRPr="00F36EE2">
        <w:rPr>
          <w:rFonts w:asciiTheme="majorBidi" w:hAnsiTheme="majorBidi" w:cstheme="majorBidi"/>
        </w:rPr>
        <w:t xml:space="preserve">er </w:t>
      </w:r>
      <w:r>
        <w:rPr>
          <w:rFonts w:asciiTheme="majorBidi" w:hAnsiTheme="majorBidi" w:cstheme="majorBidi"/>
        </w:rPr>
        <w:t>p</w:t>
      </w:r>
      <w:r w:rsidRPr="00F36EE2">
        <w:rPr>
          <w:rFonts w:asciiTheme="majorBidi" w:hAnsiTheme="majorBidi" w:cstheme="majorBidi"/>
        </w:rPr>
        <w:t>ar. 3-4 J. Rivlin (Nevo, 27.8.2012)(Hebrew)</w:t>
      </w:r>
      <w:r>
        <w:rPr>
          <w:rFonts w:ascii="David" w:hAnsi="David" w:cs="David" w:hint="cs"/>
          <w:rtl/>
        </w:rPr>
        <w:t>.</w:t>
      </w:r>
    </w:p>
  </w:footnote>
  <w:footnote w:id="75">
    <w:p w:rsidR="009D3D9C" w:rsidRPr="00EC1919" w:rsidRDefault="009D3D9C" w:rsidP="00EA3B3F">
      <w:pPr>
        <w:pStyle w:val="a3"/>
        <w:bidi w:val="0"/>
        <w:jc w:val="both"/>
        <w:rPr>
          <w:rFonts w:asciiTheme="majorBidi" w:hAnsiTheme="majorBidi" w:cstheme="majorBidi"/>
          <w:rtl/>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F36EE2">
        <w:rPr>
          <w:rFonts w:asciiTheme="majorBidi" w:hAnsiTheme="majorBidi" w:cstheme="majorBidi"/>
          <w:smallCaps/>
        </w:rPr>
        <w:t>Lev</w:t>
      </w:r>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_Ref518578262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74</w:t>
      </w:r>
      <w:r>
        <w:rPr>
          <w:rFonts w:asciiTheme="majorBidi" w:hAnsiTheme="majorBidi" w:cstheme="majorBidi"/>
        </w:rPr>
        <w:fldChar w:fldCharType="end"/>
      </w:r>
      <w:r>
        <w:rPr>
          <w:rFonts w:asciiTheme="majorBidi" w:hAnsiTheme="majorBidi" w:cstheme="majorBidi"/>
        </w:rPr>
        <w:t xml:space="preserve">, at par. 26-27 J.Melcer; C.A.1217/03 </w:t>
      </w:r>
      <w:r w:rsidRPr="006F0BD1">
        <w:rPr>
          <w:rFonts w:asciiTheme="majorBidi" w:hAnsiTheme="majorBidi" w:cstheme="majorBidi"/>
          <w:smallCaps/>
        </w:rPr>
        <w:t>Awnallah Group for Initiating and Investments Ltd. v. Khazen</w:t>
      </w:r>
      <w:r>
        <w:rPr>
          <w:rFonts w:asciiTheme="majorBidi" w:hAnsiTheme="majorBidi" w:cstheme="majorBidi"/>
        </w:rPr>
        <w:t xml:space="preserve"> 58(1) PD 224, 236-240 (2003); </w:t>
      </w:r>
      <w:r>
        <w:rPr>
          <w:rFonts w:ascii="David" w:hAnsi="David" w:cs="David"/>
        </w:rPr>
        <w:t xml:space="preserve">C.A.4836/06 </w:t>
      </w:r>
      <w:r w:rsidRPr="00EA3B3F">
        <w:rPr>
          <w:rFonts w:ascii="David" w:hAnsi="David" w:cs="David"/>
          <w:smallCaps/>
        </w:rPr>
        <w:t>Hamoud v.Harb</w:t>
      </w:r>
      <w:r>
        <w:rPr>
          <w:rFonts w:ascii="David" w:hAnsi="David" w:cs="David"/>
        </w:rPr>
        <w:t>, par. 36 J.Rubinsein (Nevo, 13.7.2008).</w:t>
      </w:r>
    </w:p>
  </w:footnote>
  <w:footnote w:id="76">
    <w:p w:rsidR="009D3D9C" w:rsidRPr="00EC1919" w:rsidRDefault="009D3D9C" w:rsidP="000C1C36">
      <w:pPr>
        <w:pStyle w:val="a3"/>
        <w:bidi w:val="0"/>
        <w:rPr>
          <w:rFonts w:asciiTheme="majorBidi" w:hAnsiTheme="majorBidi" w:cstheme="majorBidi"/>
        </w:rPr>
      </w:pPr>
      <w:r w:rsidRPr="00EC1919">
        <w:rPr>
          <w:rStyle w:val="a5"/>
          <w:rFonts w:asciiTheme="majorBidi" w:hAnsiTheme="majorBidi" w:cstheme="majorBidi"/>
        </w:rPr>
        <w:footnoteRef/>
      </w:r>
      <w:r w:rsidRPr="0053533A">
        <w:rPr>
          <w:rFonts w:asciiTheme="majorBidi" w:hAnsiTheme="majorBidi" w:cstheme="majorBidi"/>
        </w:rPr>
        <w:t xml:space="preserve"> C.A. 48/16 </w:t>
      </w:r>
      <w:r w:rsidRPr="0053533A">
        <w:rPr>
          <w:rFonts w:asciiTheme="majorBidi" w:hAnsiTheme="majorBidi" w:cstheme="majorBidi"/>
          <w:smallCaps/>
        </w:rPr>
        <w:t>Dahan v, Simhon</w:t>
      </w:r>
      <w:r w:rsidRPr="0053533A">
        <w:rPr>
          <w:rFonts w:asciiTheme="majorBidi" w:hAnsiTheme="majorBidi" w:cstheme="majorBidi"/>
        </w:rPr>
        <w:t xml:space="preserve">, par.45 </w:t>
      </w:r>
      <w:r>
        <w:rPr>
          <w:rFonts w:asciiTheme="majorBidi" w:hAnsiTheme="majorBidi" w:cstheme="majorBidi"/>
        </w:rPr>
        <w:t xml:space="preserve">J. Barak-Erez </w:t>
      </w:r>
      <w:r w:rsidRPr="0053533A">
        <w:rPr>
          <w:rFonts w:asciiTheme="majorBidi" w:hAnsiTheme="majorBidi" w:cstheme="majorBidi"/>
        </w:rPr>
        <w:t>(Nevo, 9.8.2017).</w:t>
      </w:r>
    </w:p>
  </w:footnote>
  <w:footnote w:id="77">
    <w:p w:rsidR="009D3D9C" w:rsidRPr="00EC1919" w:rsidRDefault="009D3D9C" w:rsidP="00DC2E19">
      <w:pPr>
        <w:pStyle w:val="a3"/>
        <w:bidi w:val="0"/>
        <w:jc w:val="both"/>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C.A. 580/10 </w:t>
      </w:r>
      <w:r w:rsidRPr="00DC2E19">
        <w:rPr>
          <w:rFonts w:asciiTheme="majorBidi" w:hAnsiTheme="majorBidi" w:cstheme="majorBidi"/>
          <w:smallCaps/>
        </w:rPr>
        <w:t>Nir Cooperative - National Cooperative Society for Settlement Workers v. Hod Hasharon Municipality</w:t>
      </w:r>
      <w:r w:rsidRPr="000C1C36">
        <w:rPr>
          <w:rFonts w:asciiTheme="majorBidi" w:hAnsiTheme="majorBidi" w:cstheme="majorBidi"/>
        </w:rPr>
        <w:t>,</w:t>
      </w:r>
      <w:r>
        <w:rPr>
          <w:rFonts w:asciiTheme="majorBidi" w:hAnsiTheme="majorBidi" w:cstheme="majorBidi"/>
        </w:rPr>
        <w:t xml:space="preserve"> pars. 24-26 J. Melcer (25.7.2013); C.A. </w:t>
      </w:r>
      <w:r w:rsidRPr="00C1728D">
        <w:rPr>
          <w:rFonts w:asciiTheme="majorBidi" w:hAnsiTheme="majorBidi" w:cstheme="majorBidi"/>
        </w:rPr>
        <w:t xml:space="preserve">136/14 </w:t>
      </w:r>
      <w:r w:rsidRPr="00DC2E19">
        <w:rPr>
          <w:rFonts w:asciiTheme="majorBidi" w:hAnsiTheme="majorBidi" w:cstheme="majorBidi"/>
          <w:smallCaps/>
        </w:rPr>
        <w:t>Dan Op Ltd v.</w:t>
      </w:r>
      <w:r>
        <w:rPr>
          <w:rFonts w:asciiTheme="majorBidi" w:hAnsiTheme="majorBidi" w:cstheme="majorBidi"/>
          <w:smallCaps/>
        </w:rPr>
        <w:t xml:space="preserve"> </w:t>
      </w:r>
      <w:r w:rsidRPr="00DC2E19">
        <w:rPr>
          <w:rFonts w:asciiTheme="majorBidi" w:hAnsiTheme="majorBidi" w:cstheme="majorBidi"/>
          <w:smallCaps/>
        </w:rPr>
        <w:t>Cornucopia Equities Ltd</w:t>
      </w:r>
      <w:r>
        <w:rPr>
          <w:rFonts w:asciiTheme="majorBidi" w:hAnsiTheme="majorBidi" w:cstheme="majorBidi"/>
        </w:rPr>
        <w:t xml:space="preserve">, pars. 62-63 J. Melcer </w:t>
      </w:r>
      <w:r w:rsidRPr="00C1728D">
        <w:rPr>
          <w:rFonts w:asciiTheme="majorBidi" w:hAnsiTheme="majorBidi" w:cstheme="majorBidi"/>
        </w:rPr>
        <w:t>(Nevo, 6.9.2017</w:t>
      </w:r>
      <w:r>
        <w:rPr>
          <w:rFonts w:asciiTheme="majorBidi" w:hAnsiTheme="majorBidi" w:cstheme="majorBidi"/>
        </w:rPr>
        <w:t>).</w:t>
      </w:r>
    </w:p>
  </w:footnote>
  <w:footnote w:id="78">
    <w:p w:rsidR="009D3D9C" w:rsidRPr="00EC1919" w:rsidRDefault="009D3D9C" w:rsidP="0018524E">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smallCaps/>
        </w:rPr>
        <w:t xml:space="preserve"> </w:t>
      </w:r>
      <w:r w:rsidRPr="00993548">
        <w:rPr>
          <w:rFonts w:asciiTheme="majorBidi" w:hAnsiTheme="majorBidi" w:cstheme="majorBidi"/>
          <w:smallCaps/>
        </w:rPr>
        <w:t>Gadi</w:t>
      </w:r>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_Ref518581301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43</w:t>
      </w:r>
      <w:r>
        <w:rPr>
          <w:rFonts w:asciiTheme="majorBidi" w:hAnsiTheme="majorBidi" w:cstheme="majorBidi"/>
        </w:rPr>
        <w:fldChar w:fldCharType="end"/>
      </w:r>
      <w:r>
        <w:rPr>
          <w:rFonts w:asciiTheme="majorBidi" w:hAnsiTheme="majorBidi" w:cstheme="majorBidi"/>
        </w:rPr>
        <w:t xml:space="preserve">, at 707-708; Dagan </w:t>
      </w:r>
      <w:r w:rsidRPr="00FE3474">
        <w:rPr>
          <w:rFonts w:asciiTheme="majorBidi" w:hAnsiTheme="majorBidi" w:cstheme="majorBidi"/>
          <w:i/>
          <w:iCs/>
        </w:rPr>
        <w:t>Codification</w:t>
      </w:r>
      <w:r>
        <w:rPr>
          <w:rFonts w:asciiTheme="majorBidi" w:hAnsiTheme="majorBidi" w:cstheme="majorBidi"/>
        </w:rPr>
        <w:t xml:space="preserve"> , supra note </w:t>
      </w:r>
      <w:r>
        <w:rPr>
          <w:rFonts w:asciiTheme="majorBidi" w:hAnsiTheme="majorBidi" w:cstheme="majorBidi"/>
        </w:rPr>
        <w:fldChar w:fldCharType="begin"/>
      </w:r>
      <w:r>
        <w:rPr>
          <w:rFonts w:asciiTheme="majorBidi" w:hAnsiTheme="majorBidi" w:cstheme="majorBidi"/>
        </w:rPr>
        <w:instrText xml:space="preserve"> NOTEREF _Ref518547722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31</w:t>
      </w:r>
      <w:r>
        <w:rPr>
          <w:rFonts w:asciiTheme="majorBidi" w:hAnsiTheme="majorBidi" w:cstheme="majorBidi"/>
        </w:rPr>
        <w:fldChar w:fldCharType="end"/>
      </w:r>
      <w:r>
        <w:rPr>
          <w:rFonts w:asciiTheme="majorBidi" w:hAnsiTheme="majorBidi" w:cstheme="majorBidi"/>
        </w:rPr>
        <w:t>, at 176-177.</w:t>
      </w:r>
    </w:p>
  </w:footnote>
  <w:footnote w:id="79">
    <w:p w:rsidR="009D3D9C" w:rsidRPr="00BA1836" w:rsidRDefault="009D3D9C" w:rsidP="00215B59">
      <w:pPr>
        <w:pStyle w:val="a3"/>
        <w:bidi w:val="0"/>
        <w:jc w:val="both"/>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 C.A. 216/66 </w:t>
      </w:r>
      <w:r w:rsidRPr="00BA1836">
        <w:rPr>
          <w:rFonts w:asciiTheme="majorBidi" w:hAnsiTheme="majorBidi" w:cstheme="majorBidi"/>
          <w:smallCaps/>
        </w:rPr>
        <w:t>City of Tel-Aviv v. Abu Daia</w:t>
      </w:r>
      <w:r>
        <w:rPr>
          <w:rFonts w:asciiTheme="majorBidi" w:hAnsiTheme="majorBidi" w:cstheme="majorBidi"/>
        </w:rPr>
        <w:t xml:space="preserve"> 20(4) PD 522, 546 (1966)(Hebrew); C.A. 695/76 </w:t>
      </w:r>
      <w:r w:rsidRPr="00BA1836">
        <w:rPr>
          <w:rFonts w:asciiTheme="majorBidi" w:hAnsiTheme="majorBidi" w:cstheme="majorBidi"/>
          <w:smallCaps/>
        </w:rPr>
        <w:t>Rosen v. City of Haifa</w:t>
      </w:r>
      <w:r>
        <w:rPr>
          <w:rFonts w:asciiTheme="majorBidi" w:hAnsiTheme="majorBidi" w:cstheme="majorBidi"/>
        </w:rPr>
        <w:t xml:space="preserve"> 33(1)PD 175, 188 (1978); Rachelle Alterman, </w:t>
      </w:r>
      <w:r w:rsidRPr="00BA1836">
        <w:rPr>
          <w:rFonts w:asciiTheme="majorBidi" w:hAnsiTheme="majorBidi" w:cstheme="majorBidi"/>
          <w:smallCaps/>
        </w:rPr>
        <w:t>Takings international: A comparative perspective on land use regulations and compensation rights</w:t>
      </w:r>
      <w:r w:rsidRPr="00BA1836">
        <w:rPr>
          <w:rFonts w:asciiTheme="majorBidi" w:hAnsiTheme="majorBidi" w:cstheme="majorBidi"/>
        </w:rPr>
        <w:t xml:space="preserve"> 315</w:t>
      </w:r>
      <w:r w:rsidRPr="00BA1836">
        <w:rPr>
          <w:rFonts w:asciiTheme="majorBidi" w:hAnsiTheme="majorBidi" w:cstheme="majorBidi"/>
          <w:color w:val="333333"/>
        </w:rPr>
        <w:t> </w:t>
      </w:r>
      <w:r w:rsidRPr="00215B59">
        <w:rPr>
          <w:rFonts w:asciiTheme="majorBidi" w:hAnsiTheme="majorBidi" w:cstheme="majorBidi"/>
        </w:rPr>
        <w:t>(ABA 2010).</w:t>
      </w:r>
    </w:p>
  </w:footnote>
  <w:footnote w:id="80">
    <w:p w:rsidR="009D3D9C" w:rsidRDefault="009D3D9C" w:rsidP="00215B59">
      <w:pPr>
        <w:pStyle w:val="a3"/>
        <w:bidi w:val="0"/>
        <w:jc w:val="both"/>
        <w:rPr>
          <w:rtl/>
        </w:rPr>
      </w:pPr>
      <w:r>
        <w:rPr>
          <w:rStyle w:val="a5"/>
        </w:rPr>
        <w:footnoteRef/>
      </w:r>
      <w:r>
        <w:rPr>
          <w:rFonts w:asciiTheme="majorBidi" w:hAnsiTheme="majorBidi" w:cstheme="majorBidi"/>
        </w:rPr>
        <w:t xml:space="preserve">  </w:t>
      </w:r>
      <w:r w:rsidRPr="00215B59">
        <w:rPr>
          <w:rFonts w:asciiTheme="majorBidi" w:hAnsiTheme="majorBidi" w:cstheme="majorBidi"/>
        </w:rPr>
        <w:t>Lands (Expropriation) Ordinance, 1943, PG [Palestine Gazette—Official Gazette durin</w:t>
      </w:r>
      <w:r>
        <w:rPr>
          <w:rFonts w:asciiTheme="majorBidi" w:hAnsiTheme="majorBidi" w:cstheme="majorBidi"/>
        </w:rPr>
        <w:t>g</w:t>
      </w:r>
      <w:r w:rsidRPr="00215B59">
        <w:rPr>
          <w:rFonts w:asciiTheme="majorBidi" w:hAnsiTheme="majorBidi" w:cstheme="majorBidi"/>
        </w:rPr>
        <w:t xml:space="preserve"> the Mandat</w:t>
      </w:r>
      <w:r>
        <w:rPr>
          <w:rFonts w:asciiTheme="majorBidi" w:hAnsiTheme="majorBidi" w:cstheme="majorBidi"/>
        </w:rPr>
        <w:t>o</w:t>
      </w:r>
      <w:r w:rsidRPr="00215B59">
        <w:rPr>
          <w:rFonts w:asciiTheme="majorBidi" w:hAnsiTheme="majorBidi" w:cstheme="majorBidi"/>
        </w:rPr>
        <w:t>ry G</w:t>
      </w:r>
      <w:r>
        <w:rPr>
          <w:rFonts w:asciiTheme="majorBidi" w:hAnsiTheme="majorBidi" w:cstheme="majorBidi"/>
        </w:rPr>
        <w:t>o</w:t>
      </w:r>
      <w:r w:rsidRPr="00215B59">
        <w:rPr>
          <w:rFonts w:asciiTheme="majorBidi" w:hAnsiTheme="majorBidi" w:cstheme="majorBidi"/>
        </w:rPr>
        <w:t>vern</w:t>
      </w:r>
      <w:r>
        <w:rPr>
          <w:rFonts w:asciiTheme="majorBidi" w:hAnsiTheme="majorBidi" w:cstheme="majorBidi"/>
        </w:rPr>
        <w:t>m</w:t>
      </w:r>
      <w:r w:rsidRPr="00215B59">
        <w:rPr>
          <w:rFonts w:asciiTheme="majorBidi" w:hAnsiTheme="majorBidi" w:cstheme="majorBidi"/>
        </w:rPr>
        <w:t>ent], su</w:t>
      </w:r>
      <w:r>
        <w:rPr>
          <w:rFonts w:asciiTheme="majorBidi" w:hAnsiTheme="majorBidi" w:cstheme="majorBidi"/>
        </w:rPr>
        <w:t>pp</w:t>
      </w:r>
      <w:r w:rsidRPr="00215B59">
        <w:rPr>
          <w:rFonts w:asciiTheme="majorBidi" w:hAnsiTheme="majorBidi" w:cstheme="majorBidi"/>
        </w:rPr>
        <w:t xml:space="preserve">. </w:t>
      </w:r>
      <w:r>
        <w:rPr>
          <w:rFonts w:asciiTheme="majorBidi" w:hAnsiTheme="majorBidi" w:cstheme="majorBidi"/>
        </w:rPr>
        <w:t>I</w:t>
      </w:r>
      <w:r w:rsidRPr="00215B59">
        <w:rPr>
          <w:rFonts w:asciiTheme="majorBidi" w:hAnsiTheme="majorBidi" w:cstheme="majorBidi"/>
        </w:rPr>
        <w:t> 32 (1943)</w:t>
      </w:r>
      <w:r>
        <w:rPr>
          <w:rFonts w:asciiTheme="majorBidi" w:hAnsiTheme="majorBidi" w:cstheme="majorBidi"/>
        </w:rPr>
        <w:t xml:space="preserve"> § 4, 20; </w:t>
      </w:r>
      <w:r w:rsidRPr="00215B59">
        <w:rPr>
          <w:rFonts w:asciiTheme="majorBidi" w:hAnsiTheme="majorBidi" w:cstheme="majorBidi"/>
        </w:rPr>
        <w:t xml:space="preserve">Planning and Building law 5725-1965, </w:t>
      </w:r>
      <w:r>
        <w:rPr>
          <w:rFonts w:asciiTheme="majorBidi" w:hAnsiTheme="majorBidi" w:cstheme="majorBidi"/>
        </w:rPr>
        <w:t xml:space="preserve">§190, 197, 200, 19 </w:t>
      </w:r>
      <w:r w:rsidRPr="00215B59">
        <w:rPr>
          <w:rFonts w:asciiTheme="majorBidi" w:hAnsiTheme="majorBidi" w:cstheme="majorBidi"/>
        </w:rPr>
        <w:t>L.S.I</w:t>
      </w:r>
      <w:r>
        <w:rPr>
          <w:rFonts w:asciiTheme="majorBidi" w:hAnsiTheme="majorBidi" w:cstheme="majorBidi"/>
        </w:rPr>
        <w:t xml:space="preserve"> 330 (Original text); Unofficial consolidated translation by the Israel Ministry of Environmental Protection (2008): </w:t>
      </w:r>
      <w:hyperlink r:id="rId26" w:history="1">
        <w:r>
          <w:rPr>
            <w:rStyle w:val="Hyperlink"/>
            <w:rFonts w:asciiTheme="majorBidi" w:hAnsiTheme="majorBidi" w:cstheme="majorBidi"/>
          </w:rPr>
          <w:t>http://www.sviva.gov.il/English/Legislation/Documents/Planning%20and%20Building%20Laws%20and%20Regulations/PlanningAndBuildingLaw1965-Excerpts.pdf</w:t>
        </w:r>
      </w:hyperlink>
      <w:r>
        <w:rPr>
          <w:rFonts w:asciiTheme="majorBidi" w:hAnsiTheme="majorBidi" w:cstheme="majorBidi"/>
        </w:rPr>
        <w:t>. Consolidated binding most updated version is available only in Hebrew. In the absence of updated translation, I shall refer to the combined updated Hebrew version published by Nevo Publishers.</w:t>
      </w:r>
    </w:p>
  </w:footnote>
  <w:footnote w:id="81">
    <w:p w:rsidR="009D3D9C" w:rsidRPr="00215B59" w:rsidRDefault="009D3D9C" w:rsidP="00215B59">
      <w:pPr>
        <w:pStyle w:val="a3"/>
        <w:bidi w:val="0"/>
      </w:pPr>
      <w:r>
        <w:rPr>
          <w:rStyle w:val="a5"/>
        </w:rPr>
        <w:footnoteRef/>
      </w:r>
      <w:r>
        <w:rPr>
          <w:rtl/>
        </w:rPr>
        <w:t xml:space="preserve"> </w:t>
      </w:r>
      <w:r>
        <w:rPr>
          <w:rFonts w:asciiTheme="majorBidi" w:hAnsiTheme="majorBidi" w:cstheme="majorBidi"/>
        </w:rPr>
        <w:t xml:space="preserve">Alterman, </w:t>
      </w:r>
      <w:r w:rsidRPr="00BA1836">
        <w:rPr>
          <w:rFonts w:asciiTheme="majorBidi" w:hAnsiTheme="majorBidi" w:cstheme="majorBidi"/>
          <w:smallCaps/>
        </w:rPr>
        <w:t>Takings i</w:t>
      </w:r>
      <w:r>
        <w:rPr>
          <w:rFonts w:asciiTheme="majorBidi" w:hAnsiTheme="majorBidi" w:cstheme="majorBidi"/>
          <w:smallCaps/>
        </w:rPr>
        <w:t xml:space="preserve">nternational,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_Ref518637374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79</w:t>
      </w:r>
      <w:r>
        <w:rPr>
          <w:rFonts w:asciiTheme="majorBidi" w:hAnsiTheme="majorBidi" w:cstheme="majorBidi"/>
        </w:rPr>
        <w:fldChar w:fldCharType="end"/>
      </w:r>
      <w:r>
        <w:rPr>
          <w:rFonts w:asciiTheme="majorBidi" w:hAnsiTheme="majorBidi" w:cstheme="majorBidi"/>
        </w:rPr>
        <w:t>, at 316-317.</w:t>
      </w:r>
    </w:p>
  </w:footnote>
  <w:footnote w:id="82">
    <w:p w:rsidR="009D3D9C" w:rsidRPr="00EC1919" w:rsidRDefault="009D3D9C" w:rsidP="00755CD9">
      <w:pPr>
        <w:pStyle w:val="a3"/>
        <w:bidi w:val="0"/>
        <w:jc w:val="both"/>
        <w:rPr>
          <w:rFonts w:asciiTheme="majorBidi" w:hAnsiTheme="majorBidi" w:cstheme="majorBidi"/>
        </w:rPr>
      </w:pPr>
      <w:r w:rsidRPr="00EC1919">
        <w:rPr>
          <w:rStyle w:val="a5"/>
          <w:rFonts w:asciiTheme="majorBidi" w:hAnsiTheme="majorBidi" w:cstheme="majorBidi"/>
        </w:rPr>
        <w:footnoteRef/>
      </w:r>
      <w:r>
        <w:t xml:space="preserve"> </w:t>
      </w:r>
      <w:r w:rsidRPr="00A46AB6">
        <w:rPr>
          <w:rFonts w:asciiTheme="majorBidi" w:hAnsiTheme="majorBidi" w:cstheme="majorBidi"/>
        </w:rPr>
        <w:t xml:space="preserve">CFH 2316/95 </w:t>
      </w:r>
      <w:r w:rsidRPr="00A46AB6">
        <w:rPr>
          <w:rFonts w:asciiTheme="majorBidi" w:hAnsiTheme="majorBidi" w:cstheme="majorBidi"/>
          <w:smallCaps/>
        </w:rPr>
        <w:t>Ganimat v. The State of Israel</w:t>
      </w:r>
      <w:r w:rsidRPr="00A46AB6">
        <w:rPr>
          <w:rFonts w:asciiTheme="majorBidi" w:hAnsiTheme="majorBidi" w:cstheme="majorBidi"/>
        </w:rPr>
        <w:t xml:space="preserve">  PD 49(4) 589, 652-654 (1995)</w:t>
      </w:r>
      <w:r>
        <w:rPr>
          <w:rFonts w:asciiTheme="majorBidi" w:hAnsiTheme="majorBidi" w:cstheme="majorBidi"/>
        </w:rPr>
        <w:t>; F</w:t>
      </w:r>
      <w:r w:rsidRPr="00755CD9">
        <w:rPr>
          <w:rFonts w:asciiTheme="majorBidi" w:hAnsiTheme="majorBidi" w:cstheme="majorBidi"/>
        </w:rPr>
        <w:t xml:space="preserve">HCJ 4466/94 </w:t>
      </w:r>
      <w:r w:rsidRPr="00755CD9">
        <w:rPr>
          <w:rFonts w:asciiTheme="majorBidi" w:hAnsiTheme="majorBidi" w:cstheme="majorBidi"/>
          <w:smallCaps/>
        </w:rPr>
        <w:t>Nusseibeh v. Minister of Finance</w:t>
      </w:r>
      <w:r w:rsidRPr="00755CD9">
        <w:rPr>
          <w:rFonts w:asciiTheme="majorBidi" w:hAnsiTheme="majorBidi" w:cstheme="majorBidi"/>
        </w:rPr>
        <w:t>, PD 43 (4) 68</w:t>
      </w:r>
      <w:r>
        <w:rPr>
          <w:rFonts w:asciiTheme="majorBidi" w:hAnsiTheme="majorBidi" w:cstheme="majorBidi"/>
        </w:rPr>
        <w:t xml:space="preserve">, 85-89 </w:t>
      </w:r>
      <w:r w:rsidRPr="00755CD9">
        <w:rPr>
          <w:rFonts w:asciiTheme="majorBidi" w:hAnsiTheme="majorBidi" w:cstheme="majorBidi"/>
        </w:rPr>
        <w:t>(1995)</w:t>
      </w:r>
      <w:r>
        <w:rPr>
          <w:rFonts w:asciiTheme="majorBidi" w:hAnsiTheme="majorBidi" w:cstheme="majorBidi"/>
        </w:rPr>
        <w:t xml:space="preserve">(Hebrew)(Hereafter: </w:t>
      </w:r>
      <w:r w:rsidRPr="00755CD9">
        <w:rPr>
          <w:rFonts w:asciiTheme="majorBidi" w:hAnsiTheme="majorBidi" w:cstheme="majorBidi"/>
          <w:smallCaps/>
        </w:rPr>
        <w:t>Nusseibeh</w:t>
      </w:r>
      <w:r>
        <w:rPr>
          <w:rFonts w:asciiTheme="majorBidi" w:hAnsiTheme="majorBidi" w:cstheme="majorBidi"/>
        </w:rPr>
        <w:t xml:space="preserve"> case</w:t>
      </w:r>
      <w:r w:rsidRPr="00755CD9">
        <w:rPr>
          <w:rFonts w:asciiTheme="majorBidi" w:hAnsiTheme="majorBidi" w:cstheme="majorBidi"/>
        </w:rPr>
        <w:t>.</w:t>
      </w:r>
    </w:p>
  </w:footnote>
  <w:footnote w:id="83">
    <w:p w:rsidR="009D3D9C" w:rsidRPr="00EC1919" w:rsidRDefault="009D3D9C" w:rsidP="004E7B4E">
      <w:pPr>
        <w:pStyle w:val="a3"/>
        <w:bidi w:val="0"/>
        <w:jc w:val="both"/>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 Y</w:t>
      </w:r>
      <w:r w:rsidRPr="005A5E4F">
        <w:rPr>
          <w:rFonts w:asciiTheme="majorBidi" w:hAnsiTheme="majorBidi" w:cstheme="majorBidi"/>
        </w:rPr>
        <w:t xml:space="preserve">ifaat </w:t>
      </w:r>
      <w:r>
        <w:rPr>
          <w:rFonts w:asciiTheme="majorBidi" w:hAnsiTheme="majorBidi" w:cstheme="majorBidi"/>
        </w:rPr>
        <w:t>Ho</w:t>
      </w:r>
      <w:r w:rsidRPr="005A5E4F">
        <w:rPr>
          <w:rFonts w:asciiTheme="majorBidi" w:hAnsiTheme="majorBidi" w:cstheme="majorBidi"/>
        </w:rPr>
        <w:t>lz</w:t>
      </w:r>
      <w:r>
        <w:rPr>
          <w:rFonts w:asciiTheme="majorBidi" w:hAnsiTheme="majorBidi" w:cstheme="majorBidi"/>
        </w:rPr>
        <w:t>m</w:t>
      </w:r>
      <w:r w:rsidRPr="005A5E4F">
        <w:rPr>
          <w:rFonts w:asciiTheme="majorBidi" w:hAnsiTheme="majorBidi" w:cstheme="majorBidi"/>
        </w:rPr>
        <w:t xml:space="preserve">an-Gazit, </w:t>
      </w:r>
      <w:r w:rsidRPr="004E7B4E">
        <w:rPr>
          <w:rFonts w:asciiTheme="majorBidi" w:hAnsiTheme="majorBidi" w:cstheme="majorBidi"/>
          <w:smallCaps/>
        </w:rPr>
        <w:t>Land expropriation in Israel: Law culture and society</w:t>
      </w:r>
      <w:r w:rsidRPr="005A5E4F">
        <w:rPr>
          <w:rFonts w:asciiTheme="majorBidi" w:hAnsiTheme="majorBidi" w:cstheme="majorBidi"/>
        </w:rPr>
        <w:t xml:space="preserve"> 167–168 (2007)</w:t>
      </w:r>
      <w:r>
        <w:rPr>
          <w:rFonts w:asciiTheme="majorBidi" w:hAnsiTheme="majorBidi" w:cstheme="majorBidi"/>
        </w:rPr>
        <w:t xml:space="preserve">. </w:t>
      </w:r>
    </w:p>
  </w:footnote>
  <w:footnote w:id="84">
    <w:p w:rsidR="009D3D9C" w:rsidRDefault="009D3D9C" w:rsidP="004E7B4E">
      <w:pPr>
        <w:pStyle w:val="a3"/>
        <w:bidi w:val="0"/>
      </w:pPr>
      <w:r>
        <w:rPr>
          <w:rStyle w:val="a5"/>
        </w:rPr>
        <w:footnoteRef/>
      </w:r>
      <w:r>
        <w:rPr>
          <w:rFonts w:asciiTheme="majorBidi" w:hAnsiTheme="majorBidi" w:cstheme="majorBidi"/>
        </w:rPr>
        <w:t xml:space="preserve">Alterman, </w:t>
      </w:r>
      <w:r w:rsidRPr="00BA1836">
        <w:rPr>
          <w:rFonts w:asciiTheme="majorBidi" w:hAnsiTheme="majorBidi" w:cstheme="majorBidi"/>
          <w:smallCaps/>
        </w:rPr>
        <w:t>Takings i</w:t>
      </w:r>
      <w:r>
        <w:rPr>
          <w:rFonts w:asciiTheme="majorBidi" w:hAnsiTheme="majorBidi" w:cstheme="majorBidi"/>
          <w:smallCaps/>
        </w:rPr>
        <w:t xml:space="preserve">nternational,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_Ref518637374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79</w:t>
      </w:r>
      <w:r>
        <w:rPr>
          <w:rFonts w:asciiTheme="majorBidi" w:hAnsiTheme="majorBidi" w:cstheme="majorBidi"/>
        </w:rPr>
        <w:fldChar w:fldCharType="end"/>
      </w:r>
      <w:r>
        <w:rPr>
          <w:rFonts w:asciiTheme="majorBidi" w:hAnsiTheme="majorBidi" w:cstheme="majorBidi"/>
        </w:rPr>
        <w:t>, at 316.</w:t>
      </w:r>
      <w:r>
        <w:rPr>
          <w:rtl/>
        </w:rPr>
        <w:t xml:space="preserve"> </w:t>
      </w:r>
    </w:p>
  </w:footnote>
  <w:footnote w:id="85">
    <w:p w:rsidR="009D3D9C" w:rsidRDefault="009D3D9C" w:rsidP="004E7B4E">
      <w:pPr>
        <w:pStyle w:val="a3"/>
        <w:bidi w:val="0"/>
      </w:pPr>
      <w:r>
        <w:rPr>
          <w:rStyle w:val="a5"/>
        </w:rPr>
        <w:footnoteRef/>
      </w:r>
      <w:r>
        <w:rPr>
          <w:rtl/>
        </w:rPr>
        <w:t xml:space="preserve"> </w:t>
      </w:r>
      <w:r>
        <w:t xml:space="preserve"> </w:t>
      </w:r>
      <w:r w:rsidRPr="004E7B4E">
        <w:rPr>
          <w:rFonts w:asciiTheme="majorBidi" w:hAnsiTheme="majorBidi" w:cstheme="majorBidi"/>
        </w:rPr>
        <w:t xml:space="preserve">Supra note </w:t>
      </w:r>
      <w:r w:rsidRPr="004E7B4E">
        <w:rPr>
          <w:rFonts w:asciiTheme="majorBidi" w:hAnsiTheme="majorBidi" w:cstheme="majorBidi"/>
        </w:rPr>
        <w:fldChar w:fldCharType="begin"/>
      </w:r>
      <w:r w:rsidRPr="004E7B4E">
        <w:rPr>
          <w:rFonts w:asciiTheme="majorBidi" w:hAnsiTheme="majorBidi" w:cstheme="majorBidi"/>
        </w:rPr>
        <w:instrText xml:space="preserve"> NOTEREF _Ref518640772 \h </w:instrText>
      </w:r>
      <w:r>
        <w:rPr>
          <w:rFonts w:asciiTheme="majorBidi" w:hAnsiTheme="majorBidi" w:cstheme="majorBidi"/>
        </w:rPr>
        <w:instrText xml:space="preserve"> \* MERGEFORMAT </w:instrText>
      </w:r>
      <w:r w:rsidRPr="004E7B4E">
        <w:rPr>
          <w:rFonts w:asciiTheme="majorBidi" w:hAnsiTheme="majorBidi" w:cstheme="majorBidi"/>
        </w:rPr>
      </w:r>
      <w:r w:rsidRPr="004E7B4E">
        <w:rPr>
          <w:rFonts w:asciiTheme="majorBidi" w:hAnsiTheme="majorBidi" w:cstheme="majorBidi"/>
        </w:rPr>
        <w:fldChar w:fldCharType="separate"/>
      </w:r>
      <w:r w:rsidR="00141AEA">
        <w:rPr>
          <w:rFonts w:asciiTheme="majorBidi" w:hAnsiTheme="majorBidi" w:cstheme="majorBidi"/>
        </w:rPr>
        <w:t>80</w:t>
      </w:r>
      <w:r w:rsidRPr="004E7B4E">
        <w:rPr>
          <w:rFonts w:asciiTheme="majorBidi" w:hAnsiTheme="majorBidi" w:cstheme="majorBidi"/>
        </w:rPr>
        <w:fldChar w:fldCharType="end"/>
      </w:r>
      <w:r w:rsidRPr="004E7B4E">
        <w:rPr>
          <w:rFonts w:asciiTheme="majorBidi" w:hAnsiTheme="majorBidi" w:cstheme="majorBidi"/>
        </w:rPr>
        <w:t>.</w:t>
      </w:r>
    </w:p>
  </w:footnote>
  <w:footnote w:id="86">
    <w:p w:rsidR="009D3D9C" w:rsidRDefault="009D3D9C" w:rsidP="004E7B4E">
      <w:pPr>
        <w:pStyle w:val="a3"/>
        <w:bidi w:val="0"/>
      </w:pPr>
      <w:r>
        <w:rPr>
          <w:rStyle w:val="a5"/>
        </w:rPr>
        <w:footnoteRef/>
      </w:r>
      <w:r>
        <w:rPr>
          <w:rtl/>
        </w:rPr>
        <w:t xml:space="preserve"> </w:t>
      </w:r>
      <w:r>
        <w:t xml:space="preserve"> </w:t>
      </w:r>
      <w:r>
        <w:rPr>
          <w:rFonts w:asciiTheme="majorBidi" w:hAnsiTheme="majorBidi" w:cstheme="majorBidi"/>
        </w:rPr>
        <w:t xml:space="preserve">US Constitution, </w:t>
      </w:r>
      <w:r w:rsidRPr="004E7B4E">
        <w:rPr>
          <w:rFonts w:asciiTheme="majorBidi" w:hAnsiTheme="majorBidi" w:cstheme="majorBidi"/>
        </w:rPr>
        <w:t>Ame</w:t>
      </w:r>
      <w:r>
        <w:rPr>
          <w:rFonts w:asciiTheme="majorBidi" w:hAnsiTheme="majorBidi" w:cstheme="majorBidi"/>
        </w:rPr>
        <w:t>n</w:t>
      </w:r>
      <w:r w:rsidRPr="004E7B4E">
        <w:rPr>
          <w:rFonts w:asciiTheme="majorBidi" w:hAnsiTheme="majorBidi" w:cstheme="majorBidi"/>
        </w:rPr>
        <w:t>dme</w:t>
      </w:r>
      <w:r>
        <w:rPr>
          <w:rFonts w:asciiTheme="majorBidi" w:hAnsiTheme="majorBidi" w:cstheme="majorBidi"/>
        </w:rPr>
        <w:t>n</w:t>
      </w:r>
      <w:r w:rsidRPr="004E7B4E">
        <w:rPr>
          <w:rFonts w:asciiTheme="majorBidi" w:hAnsiTheme="majorBidi" w:cstheme="majorBidi"/>
        </w:rPr>
        <w:t>ts 5, 14</w:t>
      </w:r>
      <w:r>
        <w:rPr>
          <w:rFonts w:asciiTheme="majorBidi" w:hAnsiTheme="majorBidi" w:cstheme="majorBidi"/>
        </w:rPr>
        <w:t>.</w:t>
      </w:r>
    </w:p>
  </w:footnote>
  <w:footnote w:id="87">
    <w:p w:rsidR="009D3D9C" w:rsidRDefault="009D3D9C" w:rsidP="004E7B4E">
      <w:pPr>
        <w:pStyle w:val="a3"/>
        <w:bidi w:val="0"/>
      </w:pPr>
      <w:r>
        <w:rPr>
          <w:rStyle w:val="a5"/>
        </w:rPr>
        <w:footnoteRef/>
      </w:r>
      <w:r>
        <w:rPr>
          <w:rtl/>
        </w:rPr>
        <w:t xml:space="preserve"> </w:t>
      </w:r>
      <w:r w:rsidRPr="004E7B4E">
        <w:rPr>
          <w:rFonts w:asciiTheme="majorBidi" w:hAnsiTheme="majorBidi" w:cstheme="majorBidi"/>
          <w:smallCaps/>
        </w:rPr>
        <w:t>Kelo v. City of New London</w:t>
      </w:r>
      <w:r w:rsidRPr="004E7B4E">
        <w:rPr>
          <w:rFonts w:asciiTheme="majorBidi" w:hAnsiTheme="majorBidi" w:cstheme="majorBidi"/>
        </w:rPr>
        <w:t>, 545</w:t>
      </w:r>
      <w:r w:rsidRPr="004E7B4E">
        <w:rPr>
          <w:rFonts w:asciiTheme="majorBidi" w:hAnsiTheme="majorBidi" w:cstheme="majorBidi"/>
          <w:smallCaps/>
        </w:rPr>
        <w:t xml:space="preserve"> U.S</w:t>
      </w:r>
      <w:r w:rsidRPr="004E7B4E">
        <w:rPr>
          <w:rFonts w:asciiTheme="majorBidi" w:hAnsiTheme="majorBidi" w:cstheme="majorBidi"/>
        </w:rPr>
        <w:t>. 469</w:t>
      </w:r>
      <w:r>
        <w:rPr>
          <w:rFonts w:asciiTheme="majorBidi" w:hAnsiTheme="majorBidi" w:cstheme="majorBidi"/>
        </w:rPr>
        <w:t>, 485</w:t>
      </w:r>
      <w:r w:rsidRPr="004E7B4E">
        <w:rPr>
          <w:rFonts w:asciiTheme="majorBidi" w:hAnsiTheme="majorBidi" w:cstheme="majorBidi"/>
        </w:rPr>
        <w:t xml:space="preserve"> (2005)</w:t>
      </w:r>
      <w:r>
        <w:t>.</w:t>
      </w:r>
    </w:p>
  </w:footnote>
  <w:footnote w:id="88">
    <w:p w:rsidR="009D3D9C" w:rsidRPr="00EC1919" w:rsidRDefault="009D3D9C" w:rsidP="00B53BE5">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Ho</w:t>
      </w:r>
      <w:r w:rsidRPr="005A5E4F">
        <w:rPr>
          <w:rFonts w:asciiTheme="majorBidi" w:hAnsiTheme="majorBidi" w:cstheme="majorBidi"/>
        </w:rPr>
        <w:t>lz</w:t>
      </w:r>
      <w:r>
        <w:rPr>
          <w:rFonts w:asciiTheme="majorBidi" w:hAnsiTheme="majorBidi" w:cstheme="majorBidi"/>
        </w:rPr>
        <w:t>m</w:t>
      </w:r>
      <w:r w:rsidRPr="005A5E4F">
        <w:rPr>
          <w:rFonts w:asciiTheme="majorBidi" w:hAnsiTheme="majorBidi" w:cstheme="majorBidi"/>
        </w:rPr>
        <w:t>an-Gazit</w:t>
      </w:r>
      <w:r>
        <w:rPr>
          <w:rFonts w:asciiTheme="majorBidi" w:hAnsiTheme="majorBidi" w:cstheme="majorBidi"/>
        </w:rPr>
        <w:t xml:space="preserve"> , supra note </w:t>
      </w:r>
      <w:r>
        <w:rPr>
          <w:rFonts w:asciiTheme="majorBidi" w:hAnsiTheme="majorBidi" w:cstheme="majorBidi"/>
        </w:rPr>
        <w:fldChar w:fldCharType="begin"/>
      </w:r>
      <w:r>
        <w:rPr>
          <w:rFonts w:asciiTheme="majorBidi" w:hAnsiTheme="majorBidi" w:cstheme="majorBidi"/>
        </w:rPr>
        <w:instrText xml:space="preserve"> NOTEREF _Ref518643409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83</w:t>
      </w:r>
      <w:r>
        <w:rPr>
          <w:rFonts w:asciiTheme="majorBidi" w:hAnsiTheme="majorBidi" w:cstheme="majorBidi"/>
        </w:rPr>
        <w:fldChar w:fldCharType="end"/>
      </w:r>
      <w:r>
        <w:rPr>
          <w:rFonts w:asciiTheme="majorBidi" w:hAnsiTheme="majorBidi" w:cstheme="majorBidi"/>
        </w:rPr>
        <w:t xml:space="preserve">, at </w:t>
      </w:r>
      <w:r w:rsidRPr="00B53BE5">
        <w:rPr>
          <w:rFonts w:asciiTheme="majorBidi" w:hAnsiTheme="majorBidi" w:cstheme="majorBidi"/>
          <w:highlight w:val="yellow"/>
        </w:rPr>
        <w:t>???</w:t>
      </w:r>
      <w:r>
        <w:rPr>
          <w:rFonts w:asciiTheme="majorBidi" w:hAnsiTheme="majorBidi" w:cstheme="majorBidi"/>
        </w:rPr>
        <w:t xml:space="preserve">; Haim Sandberg </w:t>
      </w:r>
      <w:r w:rsidRPr="00B53BE5">
        <w:rPr>
          <w:rFonts w:asciiTheme="majorBidi" w:hAnsiTheme="majorBidi" w:cstheme="majorBidi"/>
          <w:i/>
          <w:iCs/>
        </w:rPr>
        <w:t>Land Expropriations of Private Arab Land in Israel - An Empirical Analysis of the Regular Course of Business</w:t>
      </w:r>
      <w:r w:rsidRPr="00B53BE5">
        <w:rPr>
          <w:rFonts w:asciiTheme="majorBidi" w:hAnsiTheme="majorBidi" w:cstheme="majorBidi"/>
        </w:rPr>
        <w:t xml:space="preserve">, 43 </w:t>
      </w:r>
      <w:r w:rsidRPr="00B53BE5">
        <w:rPr>
          <w:rFonts w:asciiTheme="majorBidi" w:hAnsiTheme="majorBidi" w:cstheme="majorBidi"/>
          <w:smallCaps/>
        </w:rPr>
        <w:t>Israel Law Review</w:t>
      </w:r>
      <w:r w:rsidRPr="00B53BE5">
        <w:rPr>
          <w:rFonts w:asciiTheme="majorBidi" w:hAnsiTheme="majorBidi" w:cstheme="majorBidi"/>
          <w:i/>
          <w:iCs/>
        </w:rPr>
        <w:t xml:space="preserve"> </w:t>
      </w:r>
      <w:r w:rsidRPr="00B53BE5">
        <w:rPr>
          <w:rFonts w:asciiTheme="majorBidi" w:hAnsiTheme="majorBidi" w:cstheme="majorBidi"/>
        </w:rPr>
        <w:t>590</w:t>
      </w:r>
      <w:r>
        <w:rPr>
          <w:rFonts w:asciiTheme="majorBidi" w:hAnsiTheme="majorBidi" w:cstheme="majorBidi"/>
        </w:rPr>
        <w:t xml:space="preserve">, 605 </w:t>
      </w:r>
      <w:r w:rsidRPr="00B53BE5">
        <w:rPr>
          <w:rFonts w:asciiTheme="majorBidi" w:hAnsiTheme="majorBidi" w:cstheme="majorBidi"/>
        </w:rPr>
        <w:t>(2010)</w:t>
      </w:r>
      <w:r>
        <w:rPr>
          <w:rFonts w:asciiTheme="majorBidi" w:hAnsiTheme="majorBidi" w:cstheme="majorBidi"/>
        </w:rPr>
        <w:t xml:space="preserve">; Haim Sandberg </w:t>
      </w:r>
      <w:r w:rsidRPr="00B53BE5">
        <w:rPr>
          <w:rFonts w:asciiTheme="majorBidi" w:hAnsiTheme="majorBidi" w:cstheme="majorBidi"/>
          <w:bCs/>
          <w:i/>
          <w:iCs/>
        </w:rPr>
        <w:t>Land Title Settlement in Jerusalem - Legal Aspects</w:t>
      </w:r>
      <w:r w:rsidRPr="00B53BE5">
        <w:rPr>
          <w:rFonts w:asciiTheme="majorBidi" w:hAnsiTheme="majorBidi" w:cstheme="majorBidi"/>
        </w:rPr>
        <w:t xml:space="preserve">, </w:t>
      </w:r>
      <w:r w:rsidRPr="00B53BE5">
        <w:rPr>
          <w:rFonts w:asciiTheme="majorBidi" w:hAnsiTheme="majorBidi" w:cstheme="majorBidi"/>
          <w:smallCaps/>
        </w:rPr>
        <w:t>23  The Journal of Israeli History</w:t>
      </w:r>
      <w:r>
        <w:rPr>
          <w:rFonts w:asciiTheme="majorBidi" w:hAnsiTheme="majorBidi" w:cstheme="majorBidi"/>
          <w:iCs/>
        </w:rPr>
        <w:t xml:space="preserve"> 216, 222-225</w:t>
      </w:r>
      <w:r w:rsidRPr="00B53BE5">
        <w:rPr>
          <w:rFonts w:asciiTheme="majorBidi" w:hAnsiTheme="majorBidi" w:cstheme="majorBidi"/>
          <w:iCs/>
        </w:rPr>
        <w:t xml:space="preserve"> (2004).</w:t>
      </w:r>
    </w:p>
  </w:footnote>
  <w:footnote w:id="89">
    <w:p w:rsidR="009D3D9C" w:rsidRPr="00EC1919" w:rsidRDefault="009D3D9C" w:rsidP="00755CD9">
      <w:pPr>
        <w:pStyle w:val="a3"/>
        <w:bidi w:val="0"/>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755CD9">
        <w:rPr>
          <w:rFonts w:asciiTheme="majorBidi" w:hAnsiTheme="majorBidi" w:cstheme="majorBidi"/>
          <w:smallCaps/>
        </w:rPr>
        <w:t>Nusseibeh</w:t>
      </w:r>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_Ref518645762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82</w:t>
      </w:r>
      <w:r>
        <w:rPr>
          <w:rFonts w:asciiTheme="majorBidi" w:hAnsiTheme="majorBidi" w:cstheme="majorBidi"/>
        </w:rPr>
        <w:fldChar w:fldCharType="end"/>
      </w:r>
      <w:r>
        <w:rPr>
          <w:rFonts w:asciiTheme="majorBidi" w:hAnsiTheme="majorBidi" w:cstheme="majorBidi"/>
        </w:rPr>
        <w:t>, at 76</w:t>
      </w:r>
      <w:r w:rsidRPr="00755CD9">
        <w:rPr>
          <w:rFonts w:asciiTheme="majorBidi" w:hAnsiTheme="majorBidi" w:cstheme="majorBidi"/>
        </w:rPr>
        <w:t>.</w:t>
      </w:r>
    </w:p>
  </w:footnote>
  <w:footnote w:id="90">
    <w:p w:rsidR="009D3D9C" w:rsidRDefault="009D3D9C" w:rsidP="00755CD9">
      <w:pPr>
        <w:pStyle w:val="a3"/>
        <w:bidi w:val="0"/>
      </w:pPr>
      <w:r>
        <w:rPr>
          <w:rStyle w:val="a5"/>
        </w:rPr>
        <w:footnoteRef/>
      </w:r>
      <w:r>
        <w:rPr>
          <w:rtl/>
        </w:rPr>
        <w:t xml:space="preserve"> </w:t>
      </w:r>
      <w:r w:rsidRPr="00755CD9">
        <w:rPr>
          <w:rFonts w:asciiTheme="majorBidi" w:hAnsiTheme="majorBidi" w:cstheme="majorBidi"/>
        </w:rPr>
        <w:t xml:space="preserve">Ibid, at  90-91 (J.Dorner), </w:t>
      </w:r>
      <w:r w:rsidRPr="00AD185A">
        <w:rPr>
          <w:rFonts w:asciiTheme="majorBidi" w:hAnsiTheme="majorBidi" w:cstheme="majorBidi"/>
        </w:rPr>
        <w:t>93 (J.Matza), 93 (J.Levin)</w:t>
      </w:r>
    </w:p>
  </w:footnote>
  <w:footnote w:id="91">
    <w:p w:rsidR="009D3D9C" w:rsidRPr="00EC1919" w:rsidRDefault="009D3D9C" w:rsidP="00AD185A">
      <w:pPr>
        <w:pStyle w:val="a3"/>
        <w:bidi w:val="0"/>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Ibid, at 81-83 (J.Goldberg), 93 (J.Or).</w:t>
      </w:r>
    </w:p>
  </w:footnote>
  <w:footnote w:id="92">
    <w:p w:rsidR="009D3D9C" w:rsidRDefault="009D3D9C" w:rsidP="00047B6D">
      <w:pPr>
        <w:pStyle w:val="a3"/>
        <w:bidi w:val="0"/>
        <w:jc w:val="both"/>
      </w:pPr>
      <w:r>
        <w:rPr>
          <w:rStyle w:val="a5"/>
        </w:rPr>
        <w:footnoteRef/>
      </w:r>
      <w:r>
        <w:rPr>
          <w:rtl/>
        </w:rPr>
        <w:t xml:space="preserve"> </w:t>
      </w:r>
      <w:r w:rsidRPr="003D4612">
        <w:rPr>
          <w:rFonts w:asciiTheme="majorBidi" w:hAnsiTheme="majorBidi" w:cstheme="majorBidi"/>
        </w:rPr>
        <w:t xml:space="preserve">HCJ 10784/02 </w:t>
      </w:r>
      <w:r w:rsidRPr="003D4612">
        <w:rPr>
          <w:rFonts w:asciiTheme="majorBidi" w:hAnsiTheme="majorBidi" w:cstheme="majorBidi"/>
          <w:smallCaps/>
        </w:rPr>
        <w:t xml:space="preserve">Keren Kayemeth LeIsrael v. </w:t>
      </w:r>
      <w:r w:rsidRPr="003D4612">
        <w:rPr>
          <w:rFonts w:asciiTheme="majorBidi" w:hAnsiTheme="majorBidi" w:cstheme="majorBidi"/>
          <w:i/>
          <w:iCs/>
          <w:smallCaps/>
        </w:rPr>
        <w:t>Atarim</w:t>
      </w:r>
      <w:r w:rsidRPr="003D4612">
        <w:rPr>
          <w:rFonts w:asciiTheme="majorBidi" w:hAnsiTheme="majorBidi" w:cstheme="majorBidi"/>
          <w:smallCaps/>
        </w:rPr>
        <w:t xml:space="preserve"> on the Tel Aviv Coast</w:t>
      </w:r>
      <w:r>
        <w:rPr>
          <w:rFonts w:asciiTheme="majorBidi" w:hAnsiTheme="majorBidi" w:cstheme="majorBidi"/>
          <w:smallCaps/>
        </w:rPr>
        <w:t>-</w:t>
      </w:r>
      <w:r w:rsidRPr="003D4612">
        <w:rPr>
          <w:rFonts w:asciiTheme="majorBidi" w:hAnsiTheme="majorBidi" w:cstheme="majorBidi"/>
          <w:smallCaps/>
        </w:rPr>
        <w:t>Tourism Development Company in Tel Aviv Jaffa</w:t>
      </w:r>
      <w:r w:rsidRPr="003D4612">
        <w:rPr>
          <w:rFonts w:asciiTheme="majorBidi" w:hAnsiTheme="majorBidi" w:cstheme="majorBidi"/>
        </w:rPr>
        <w:t xml:space="preserve">, PD </w:t>
      </w:r>
      <w:r>
        <w:rPr>
          <w:rFonts w:asciiTheme="majorBidi" w:hAnsiTheme="majorBidi" w:cstheme="majorBidi"/>
        </w:rPr>
        <w:t>58</w:t>
      </w:r>
      <w:r w:rsidRPr="003D4612">
        <w:rPr>
          <w:rFonts w:asciiTheme="majorBidi" w:hAnsiTheme="majorBidi" w:cstheme="majorBidi"/>
        </w:rPr>
        <w:t>(3) 757</w:t>
      </w:r>
      <w:r>
        <w:rPr>
          <w:rFonts w:asciiTheme="majorBidi" w:hAnsiTheme="majorBidi" w:cstheme="majorBidi"/>
        </w:rPr>
        <w:t>, 767-768</w:t>
      </w:r>
      <w:r w:rsidRPr="003D4612">
        <w:rPr>
          <w:rFonts w:asciiTheme="majorBidi" w:hAnsiTheme="majorBidi" w:cstheme="majorBidi"/>
        </w:rPr>
        <w:t xml:space="preserve"> (2004)</w:t>
      </w:r>
      <w:r>
        <w:rPr>
          <w:rFonts w:asciiTheme="majorBidi" w:hAnsiTheme="majorBidi" w:cstheme="majorBidi"/>
        </w:rPr>
        <w:t>(Hebrew)</w:t>
      </w:r>
      <w:r>
        <w:t>;</w:t>
      </w:r>
      <w:r w:rsidRPr="00047B6D">
        <w:rPr>
          <w:rFonts w:asciiTheme="majorBidi" w:hAnsiTheme="majorBidi" w:cstheme="majorBidi"/>
        </w:rPr>
        <w:t xml:space="preserve"> A.A.A 859/11 </w:t>
      </w:r>
      <w:r w:rsidRPr="00047B6D">
        <w:rPr>
          <w:rFonts w:asciiTheme="majorBidi" w:hAnsiTheme="majorBidi" w:cstheme="majorBidi"/>
          <w:smallCaps/>
        </w:rPr>
        <w:t>Rabbi HaLevi Krakovsky v. Local Planning and Building Committee Tel Aviv-Jaffa</w:t>
      </w:r>
      <w:r w:rsidRPr="00047B6D">
        <w:rPr>
          <w:rFonts w:asciiTheme="majorBidi" w:hAnsiTheme="majorBidi" w:cstheme="majorBidi"/>
        </w:rPr>
        <w:t xml:space="preserve"> (Nevo, 22.7.2013)</w:t>
      </w:r>
      <w:r>
        <w:rPr>
          <w:rFonts w:asciiTheme="majorBidi" w:hAnsiTheme="majorBidi" w:cstheme="majorBidi"/>
        </w:rPr>
        <w:t>(Hebrew)</w:t>
      </w:r>
      <w:r w:rsidRPr="00047B6D">
        <w:rPr>
          <w:rFonts w:asciiTheme="majorBidi" w:hAnsiTheme="majorBidi" w:cstheme="majorBidi"/>
        </w:rPr>
        <w:t>.</w:t>
      </w:r>
    </w:p>
  </w:footnote>
  <w:footnote w:id="93">
    <w:p w:rsidR="009D3D9C" w:rsidRPr="00EC1919" w:rsidRDefault="009D3D9C" w:rsidP="00B0680A">
      <w:pPr>
        <w:pStyle w:val="a3"/>
        <w:bidi w:val="0"/>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 xml:space="preserve">Ibid, at 765-766; </w:t>
      </w:r>
      <w:r w:rsidRPr="00755CD9">
        <w:rPr>
          <w:rFonts w:asciiTheme="majorBidi" w:hAnsiTheme="majorBidi" w:cstheme="majorBidi"/>
          <w:smallCaps/>
        </w:rPr>
        <w:t>Nusseibeh</w:t>
      </w:r>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_Ref518645762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82</w:t>
      </w:r>
      <w:r>
        <w:rPr>
          <w:rFonts w:asciiTheme="majorBidi" w:hAnsiTheme="majorBidi" w:cstheme="majorBidi"/>
        </w:rPr>
        <w:fldChar w:fldCharType="end"/>
      </w:r>
      <w:r>
        <w:rPr>
          <w:rFonts w:asciiTheme="majorBidi" w:hAnsiTheme="majorBidi" w:cstheme="majorBidi"/>
        </w:rPr>
        <w:t xml:space="preserve">, at 79; HCJ 3421/05 </w:t>
      </w:r>
      <w:r>
        <w:rPr>
          <w:rFonts w:asciiTheme="majorBidi" w:hAnsiTheme="majorBidi" w:cstheme="majorBidi"/>
          <w:smallCaps/>
        </w:rPr>
        <w:t>Mahul v. Finance Minister</w:t>
      </w:r>
      <w:r>
        <w:rPr>
          <w:rFonts w:asciiTheme="majorBidi" w:hAnsiTheme="majorBidi" w:cstheme="majorBidi"/>
        </w:rPr>
        <w:t>, J. Arbel par. 33 (18.6.2009).</w:t>
      </w:r>
    </w:p>
  </w:footnote>
  <w:footnote w:id="94">
    <w:p w:rsidR="009D3D9C" w:rsidRPr="00EC1919" w:rsidRDefault="009D3D9C" w:rsidP="00B0680A">
      <w:pPr>
        <w:pStyle w:val="a3"/>
        <w:bidi w:val="0"/>
        <w:rPr>
          <w:rFonts w:asciiTheme="majorBidi" w:hAnsiTheme="majorBidi" w:cstheme="majorBidi"/>
          <w:rtl/>
        </w:rPr>
      </w:pPr>
      <w:r w:rsidRPr="00EC1919">
        <w:rPr>
          <w:rStyle w:val="a5"/>
          <w:rFonts w:asciiTheme="majorBidi" w:hAnsiTheme="majorBidi" w:cstheme="majorBidi"/>
        </w:rPr>
        <w:footnoteRef/>
      </w:r>
      <w:r w:rsidRPr="00B0680A">
        <w:rPr>
          <w:rFonts w:asciiTheme="majorBidi" w:hAnsiTheme="majorBidi" w:cstheme="majorBidi"/>
        </w:rPr>
        <w:t>Amendment of Land (Expropriation) Ordinance (No. 3</w:t>
      </w:r>
      <w:r>
        <w:rPr>
          <w:rFonts w:asciiTheme="majorBidi" w:hAnsiTheme="majorBidi" w:cstheme="majorBidi"/>
        </w:rPr>
        <w:t>) Law 2010–5770 SH 346 (Isr.) (H</w:t>
      </w:r>
      <w:r w:rsidRPr="00B0680A">
        <w:rPr>
          <w:rFonts w:asciiTheme="majorBidi" w:hAnsiTheme="majorBidi" w:cstheme="majorBidi"/>
        </w:rPr>
        <w:t>ereinafter</w:t>
      </w:r>
      <w:r>
        <w:rPr>
          <w:rFonts w:asciiTheme="majorBidi" w:hAnsiTheme="majorBidi" w:cstheme="majorBidi"/>
        </w:rPr>
        <w:t xml:space="preserve">: </w:t>
      </w:r>
      <w:r w:rsidRPr="00B0680A">
        <w:rPr>
          <w:rFonts w:asciiTheme="majorBidi" w:hAnsiTheme="majorBidi" w:cstheme="majorBidi"/>
        </w:rPr>
        <w:t xml:space="preserve"> The </w:t>
      </w:r>
      <w:r>
        <w:rPr>
          <w:rFonts w:asciiTheme="majorBidi" w:hAnsiTheme="majorBidi" w:cstheme="majorBidi"/>
        </w:rPr>
        <w:t xml:space="preserve">2010 </w:t>
      </w:r>
      <w:r w:rsidRPr="00B0680A">
        <w:rPr>
          <w:rFonts w:asciiTheme="majorBidi" w:hAnsiTheme="majorBidi" w:cstheme="majorBidi"/>
        </w:rPr>
        <w:t>Amending Law).</w:t>
      </w:r>
      <w:r w:rsidRPr="00EC1919">
        <w:rPr>
          <w:rFonts w:asciiTheme="majorBidi" w:hAnsiTheme="majorBidi" w:cstheme="majorBidi"/>
          <w:rtl/>
        </w:rPr>
        <w:t xml:space="preserve"> </w:t>
      </w:r>
    </w:p>
  </w:footnote>
  <w:footnote w:id="95">
    <w:p w:rsidR="009D3D9C" w:rsidRPr="00755CD9" w:rsidRDefault="009D3D9C" w:rsidP="007F2C05">
      <w:pPr>
        <w:pStyle w:val="a3"/>
        <w:bidi w:val="0"/>
        <w:rPr>
          <w:rFonts w:asciiTheme="majorBidi" w:hAnsiTheme="majorBidi" w:cstheme="majorBidi"/>
          <w:rtl/>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B0680A">
        <w:rPr>
          <w:rFonts w:asciiTheme="majorBidi" w:hAnsiTheme="majorBidi" w:cstheme="majorBidi"/>
          <w:smallCaps/>
        </w:rPr>
        <w:t>Karsik</w:t>
      </w:r>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_Ref518647705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2</w:t>
      </w:r>
      <w:r>
        <w:rPr>
          <w:rFonts w:asciiTheme="majorBidi" w:hAnsiTheme="majorBidi" w:cstheme="majorBidi"/>
        </w:rPr>
        <w:fldChar w:fldCharType="end"/>
      </w:r>
      <w:r>
        <w:rPr>
          <w:rFonts w:asciiTheme="majorBidi" w:hAnsiTheme="majorBidi" w:cstheme="majorBidi"/>
        </w:rPr>
        <w:t>, at par. 31 J.Heshin; Ho</w:t>
      </w:r>
      <w:r w:rsidRPr="005A5E4F">
        <w:rPr>
          <w:rFonts w:asciiTheme="majorBidi" w:hAnsiTheme="majorBidi" w:cstheme="majorBidi"/>
        </w:rPr>
        <w:t>lz</w:t>
      </w:r>
      <w:r>
        <w:rPr>
          <w:rFonts w:asciiTheme="majorBidi" w:hAnsiTheme="majorBidi" w:cstheme="majorBidi"/>
        </w:rPr>
        <w:t>m</w:t>
      </w:r>
      <w:r w:rsidRPr="005A5E4F">
        <w:rPr>
          <w:rFonts w:asciiTheme="majorBidi" w:hAnsiTheme="majorBidi" w:cstheme="majorBidi"/>
        </w:rPr>
        <w:t>an-Gazit</w:t>
      </w:r>
      <w:r>
        <w:rPr>
          <w:rFonts w:asciiTheme="majorBidi" w:hAnsiTheme="majorBidi" w:cstheme="majorBidi"/>
        </w:rPr>
        <w:t xml:space="preserve"> , supra note </w:t>
      </w:r>
      <w:r>
        <w:rPr>
          <w:rFonts w:asciiTheme="majorBidi" w:hAnsiTheme="majorBidi" w:cstheme="majorBidi"/>
        </w:rPr>
        <w:fldChar w:fldCharType="begin"/>
      </w:r>
      <w:r>
        <w:rPr>
          <w:rFonts w:asciiTheme="majorBidi" w:hAnsiTheme="majorBidi" w:cstheme="majorBidi"/>
        </w:rPr>
        <w:instrText xml:space="preserve"> NOTEREF _Ref518643409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83</w:t>
      </w:r>
      <w:r>
        <w:rPr>
          <w:rFonts w:asciiTheme="majorBidi" w:hAnsiTheme="majorBidi" w:cstheme="majorBidi"/>
        </w:rPr>
        <w:fldChar w:fldCharType="end"/>
      </w:r>
      <w:r>
        <w:rPr>
          <w:rFonts w:asciiTheme="majorBidi" w:hAnsiTheme="majorBidi" w:cstheme="majorBidi"/>
        </w:rPr>
        <w:t xml:space="preserve">, at </w:t>
      </w:r>
      <w:r w:rsidRPr="00B53BE5">
        <w:rPr>
          <w:rFonts w:asciiTheme="majorBidi" w:hAnsiTheme="majorBidi" w:cstheme="majorBidi"/>
          <w:highlight w:val="yellow"/>
        </w:rPr>
        <w:t>???</w:t>
      </w:r>
      <w:r>
        <w:rPr>
          <w:rFonts w:asciiTheme="majorBidi" w:hAnsiTheme="majorBidi" w:cstheme="majorBidi"/>
        </w:rPr>
        <w:t xml:space="preserve">; </w:t>
      </w:r>
      <w:r w:rsidRPr="007F2C05">
        <w:rPr>
          <w:rFonts w:asciiTheme="majorBidi" w:hAnsiTheme="majorBidi" w:cstheme="majorBidi"/>
        </w:rPr>
        <w:t xml:space="preserve">Danielle Marx </w:t>
      </w:r>
      <w:r w:rsidRPr="007F2C05">
        <w:rPr>
          <w:rFonts w:asciiTheme="majorBidi" w:hAnsiTheme="majorBidi" w:cstheme="majorBidi"/>
          <w:i/>
          <w:iCs/>
        </w:rPr>
        <w:t>Takings and the Requirement of Ongoing Public Purpose: The Effect of the Constitutionalization of the Right to Property on the Law of Takings (Karsik v. the State of Israel, Israel Land Authority 55(II) P.D. 625)</w:t>
      </w:r>
      <w:r w:rsidRPr="007F2C05">
        <w:rPr>
          <w:rFonts w:asciiTheme="majorBidi" w:hAnsiTheme="majorBidi" w:cstheme="majorBidi"/>
        </w:rPr>
        <w:t xml:space="preserve">, 36 </w:t>
      </w:r>
      <w:r w:rsidRPr="007F2C05">
        <w:rPr>
          <w:rFonts w:asciiTheme="majorBidi" w:hAnsiTheme="majorBidi" w:cstheme="majorBidi"/>
          <w:smallCaps/>
        </w:rPr>
        <w:t>Isr. L. Rev.</w:t>
      </w:r>
      <w:r w:rsidRPr="007F2C05">
        <w:rPr>
          <w:rFonts w:asciiTheme="majorBidi" w:hAnsiTheme="majorBidi" w:cstheme="majorBidi"/>
        </w:rPr>
        <w:t xml:space="preserve"> 149 (2002)</w:t>
      </w:r>
      <w:r>
        <w:rPr>
          <w:rFonts w:asciiTheme="majorBidi" w:hAnsiTheme="majorBidi" w:cstheme="majorBidi"/>
        </w:rPr>
        <w:t>.</w:t>
      </w:r>
    </w:p>
  </w:footnote>
  <w:footnote w:id="96">
    <w:p w:rsidR="009D3D9C" w:rsidRPr="00EC1919" w:rsidRDefault="009D3D9C" w:rsidP="007F2C05">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B0680A">
        <w:rPr>
          <w:rFonts w:asciiTheme="majorBidi" w:hAnsiTheme="majorBidi" w:cstheme="majorBidi"/>
          <w:smallCaps/>
        </w:rPr>
        <w:t>Karsik</w:t>
      </w:r>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_Ref518647705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2</w:t>
      </w:r>
      <w:r>
        <w:rPr>
          <w:rFonts w:asciiTheme="majorBidi" w:hAnsiTheme="majorBidi" w:cstheme="majorBidi"/>
        </w:rPr>
        <w:fldChar w:fldCharType="end"/>
      </w:r>
      <w:r>
        <w:rPr>
          <w:rFonts w:asciiTheme="majorBidi" w:hAnsiTheme="majorBidi" w:cstheme="majorBidi"/>
        </w:rPr>
        <w:t>, at par. 91 J. Heshin;</w:t>
      </w:r>
      <w:r>
        <w:rPr>
          <w:rFonts w:asciiTheme="majorBidi" w:hAnsiTheme="majorBidi" w:cstheme="majorBidi"/>
          <w:b/>
          <w:bCs/>
        </w:rPr>
        <w:t xml:space="preserve"> </w:t>
      </w:r>
      <w:r w:rsidRPr="00B0680A">
        <w:rPr>
          <w:rFonts w:asciiTheme="majorBidi" w:hAnsiTheme="majorBidi" w:cstheme="majorBidi"/>
        </w:rPr>
        <w:t xml:space="preserve">The </w:t>
      </w:r>
      <w:r>
        <w:rPr>
          <w:rFonts w:asciiTheme="majorBidi" w:hAnsiTheme="majorBidi" w:cstheme="majorBidi"/>
        </w:rPr>
        <w:t xml:space="preserve">2010 </w:t>
      </w:r>
      <w:r w:rsidRPr="00B0680A">
        <w:rPr>
          <w:rFonts w:asciiTheme="majorBidi" w:hAnsiTheme="majorBidi" w:cstheme="majorBidi"/>
        </w:rPr>
        <w:t>Amending Law</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_Ref518648326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94</w:t>
      </w:r>
      <w:r>
        <w:rPr>
          <w:rFonts w:asciiTheme="majorBidi" w:hAnsiTheme="majorBidi" w:cstheme="majorBidi"/>
        </w:rPr>
        <w:fldChar w:fldCharType="end"/>
      </w:r>
      <w:r>
        <w:rPr>
          <w:rFonts w:asciiTheme="majorBidi" w:hAnsiTheme="majorBidi" w:cstheme="majorBidi"/>
        </w:rPr>
        <w:t>;</w:t>
      </w:r>
      <w:r>
        <w:rPr>
          <w:rFonts w:asciiTheme="majorBidi" w:hAnsiTheme="majorBidi" w:cstheme="majorBidi"/>
          <w:b/>
          <w:bCs/>
        </w:rPr>
        <w:t xml:space="preserve"> </w:t>
      </w:r>
      <w:r>
        <w:rPr>
          <w:rFonts w:asciiTheme="majorBidi" w:hAnsiTheme="majorBidi" w:cstheme="majorBidi"/>
          <w:lang w:bidi="ar-SY"/>
        </w:rPr>
        <w:t xml:space="preserve">Haim Sandberg, </w:t>
      </w:r>
      <w:r>
        <w:rPr>
          <w:rFonts w:asciiTheme="majorBidi" w:hAnsiTheme="majorBidi" w:cstheme="majorBidi"/>
          <w:i/>
          <w:iCs/>
          <w:lang w:bidi="ar-SY"/>
        </w:rPr>
        <w:t>Strategic Considerations behind Normative Explanations – Lessons From Israel's Supreme Court Takings Cas</w:t>
      </w:r>
      <w:r>
        <w:rPr>
          <w:rFonts w:asciiTheme="majorBidi" w:hAnsiTheme="majorBidi" w:cstheme="majorBidi"/>
          <w:lang w:bidi="ar-SY"/>
        </w:rPr>
        <w:t xml:space="preserve">e, </w:t>
      </w:r>
      <w:r>
        <w:rPr>
          <w:rFonts w:asciiTheme="majorBidi" w:hAnsiTheme="majorBidi" w:cstheme="majorBidi"/>
          <w:smallCaps/>
          <w:lang w:bidi="ar-SY"/>
        </w:rPr>
        <w:t>11 International Journal of Constitutional Law 751</w:t>
      </w:r>
      <w:r>
        <w:rPr>
          <w:rFonts w:asciiTheme="majorBidi" w:hAnsiTheme="majorBidi" w:cstheme="majorBidi"/>
          <w:lang w:bidi="ar-SY"/>
        </w:rPr>
        <w:t xml:space="preserve"> (2013).</w:t>
      </w:r>
    </w:p>
  </w:footnote>
  <w:footnote w:id="97">
    <w:p w:rsidR="009D3D9C" w:rsidRPr="00573BE3" w:rsidRDefault="009D3D9C" w:rsidP="00573BE3">
      <w:pPr>
        <w:pStyle w:val="a3"/>
        <w:bidi w:val="0"/>
        <w:jc w:val="both"/>
        <w:rPr>
          <w:rFonts w:asciiTheme="majorBidi" w:hAnsiTheme="majorBidi" w:cstheme="majorBidi"/>
          <w:rtl/>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rPr>
        <w:t xml:space="preserve"> HCJ 2254/13 </w:t>
      </w:r>
      <w:r w:rsidRPr="00573BE3">
        <w:rPr>
          <w:rFonts w:asciiTheme="majorBidi" w:hAnsiTheme="majorBidi" w:cstheme="majorBidi"/>
          <w:smallCaps/>
        </w:rPr>
        <w:t>Samuel v. Minister of Finance</w:t>
      </w:r>
      <w:r>
        <w:rPr>
          <w:rFonts w:asciiTheme="majorBidi" w:hAnsiTheme="majorBidi" w:cstheme="majorBidi"/>
        </w:rPr>
        <w:t xml:space="preserve"> (15.5.2014)(Hebrew).</w:t>
      </w:r>
    </w:p>
  </w:footnote>
  <w:footnote w:id="98">
    <w:p w:rsidR="009D3D9C" w:rsidRPr="00EC1919" w:rsidRDefault="009D3D9C" w:rsidP="00573BE3">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w:t>
      </w:r>
      <w:r w:rsidRPr="004E7B4E">
        <w:rPr>
          <w:rFonts w:asciiTheme="majorBidi" w:hAnsiTheme="majorBidi" w:cstheme="majorBidi"/>
        </w:rPr>
        <w:t xml:space="preserve">Supra note </w:t>
      </w:r>
      <w:r w:rsidRPr="004E7B4E">
        <w:rPr>
          <w:rFonts w:asciiTheme="majorBidi" w:hAnsiTheme="majorBidi" w:cstheme="majorBidi"/>
        </w:rPr>
        <w:fldChar w:fldCharType="begin"/>
      </w:r>
      <w:r w:rsidRPr="004E7B4E">
        <w:rPr>
          <w:rFonts w:asciiTheme="majorBidi" w:hAnsiTheme="majorBidi" w:cstheme="majorBidi"/>
        </w:rPr>
        <w:instrText xml:space="preserve"> NOTEREF _Ref518640772 \h </w:instrText>
      </w:r>
      <w:r>
        <w:rPr>
          <w:rFonts w:asciiTheme="majorBidi" w:hAnsiTheme="majorBidi" w:cstheme="majorBidi"/>
        </w:rPr>
        <w:instrText xml:space="preserve"> \* MERGEFORMAT </w:instrText>
      </w:r>
      <w:r w:rsidRPr="004E7B4E">
        <w:rPr>
          <w:rFonts w:asciiTheme="majorBidi" w:hAnsiTheme="majorBidi" w:cstheme="majorBidi"/>
        </w:rPr>
      </w:r>
      <w:r w:rsidRPr="004E7B4E">
        <w:rPr>
          <w:rFonts w:asciiTheme="majorBidi" w:hAnsiTheme="majorBidi" w:cstheme="majorBidi"/>
        </w:rPr>
        <w:fldChar w:fldCharType="separate"/>
      </w:r>
      <w:r w:rsidR="00141AEA">
        <w:rPr>
          <w:rFonts w:asciiTheme="majorBidi" w:hAnsiTheme="majorBidi" w:cstheme="majorBidi"/>
        </w:rPr>
        <w:t>80</w:t>
      </w:r>
      <w:r w:rsidRPr="004E7B4E">
        <w:rPr>
          <w:rFonts w:asciiTheme="majorBidi" w:hAnsiTheme="majorBidi" w:cstheme="majorBidi"/>
        </w:rPr>
        <w:fldChar w:fldCharType="end"/>
      </w:r>
      <w:r>
        <w:rPr>
          <w:rFonts w:asciiTheme="majorBidi" w:hAnsiTheme="majorBidi" w:cstheme="majorBidi"/>
        </w:rPr>
        <w:t xml:space="preserve">; Alterman, </w:t>
      </w:r>
      <w:r w:rsidRPr="00BA1836">
        <w:rPr>
          <w:rFonts w:asciiTheme="majorBidi" w:hAnsiTheme="majorBidi" w:cstheme="majorBidi"/>
          <w:smallCaps/>
        </w:rPr>
        <w:t>Takings i</w:t>
      </w:r>
      <w:r>
        <w:rPr>
          <w:rFonts w:asciiTheme="majorBidi" w:hAnsiTheme="majorBidi" w:cstheme="majorBidi"/>
          <w:smallCaps/>
        </w:rPr>
        <w:t xml:space="preserve">nternational,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_Ref518637374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79</w:t>
      </w:r>
      <w:r>
        <w:rPr>
          <w:rFonts w:asciiTheme="majorBidi" w:hAnsiTheme="majorBidi" w:cstheme="majorBidi"/>
        </w:rPr>
        <w:fldChar w:fldCharType="end"/>
      </w:r>
      <w:r>
        <w:rPr>
          <w:rFonts w:asciiTheme="majorBidi" w:hAnsiTheme="majorBidi" w:cstheme="majorBidi"/>
        </w:rPr>
        <w:t>, at 318, 325-330.</w:t>
      </w:r>
    </w:p>
  </w:footnote>
  <w:footnote w:id="99">
    <w:p w:rsidR="009D3D9C" w:rsidRPr="00EC1919" w:rsidRDefault="009D3D9C" w:rsidP="00573BE3">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215B59">
        <w:rPr>
          <w:rFonts w:asciiTheme="majorBidi" w:hAnsiTheme="majorBidi" w:cstheme="majorBidi"/>
        </w:rPr>
        <w:t>Lands (Expropriation) Ordinance, 1943,</w:t>
      </w:r>
      <w:r>
        <w:rPr>
          <w:rFonts w:asciiTheme="majorBidi" w:hAnsiTheme="majorBidi" w:cstheme="majorBidi"/>
        </w:rPr>
        <w:t xml:space="preserve"> § 20; </w:t>
      </w:r>
      <w:r w:rsidRPr="00215B59">
        <w:rPr>
          <w:rFonts w:asciiTheme="majorBidi" w:hAnsiTheme="majorBidi" w:cstheme="majorBidi"/>
        </w:rPr>
        <w:t xml:space="preserve">Planning and Building law 5725-1965, </w:t>
      </w:r>
      <w:r>
        <w:rPr>
          <w:rFonts w:asciiTheme="majorBidi" w:hAnsiTheme="majorBidi" w:cstheme="majorBidi"/>
        </w:rPr>
        <w:t>§190.</w:t>
      </w:r>
    </w:p>
  </w:footnote>
  <w:footnote w:id="100">
    <w:p w:rsidR="009D3D9C" w:rsidRPr="00EC1919" w:rsidRDefault="009D3D9C" w:rsidP="00573BE3">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215B59">
        <w:rPr>
          <w:rFonts w:asciiTheme="majorBidi" w:hAnsiTheme="majorBidi" w:cstheme="majorBidi"/>
        </w:rPr>
        <w:t xml:space="preserve">Planning and Building law 5725-1965, </w:t>
      </w:r>
      <w:r>
        <w:rPr>
          <w:rFonts w:asciiTheme="majorBidi" w:hAnsiTheme="majorBidi" w:cstheme="majorBidi"/>
        </w:rPr>
        <w:t xml:space="preserve">§200; Alterman, </w:t>
      </w:r>
      <w:r w:rsidRPr="00BA1836">
        <w:rPr>
          <w:rFonts w:asciiTheme="majorBidi" w:hAnsiTheme="majorBidi" w:cstheme="majorBidi"/>
          <w:smallCaps/>
        </w:rPr>
        <w:t>Takings i</w:t>
      </w:r>
      <w:r>
        <w:rPr>
          <w:rFonts w:asciiTheme="majorBidi" w:hAnsiTheme="majorBidi" w:cstheme="majorBidi"/>
          <w:smallCaps/>
        </w:rPr>
        <w:t xml:space="preserve">nternational,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_Ref518637374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79</w:t>
      </w:r>
      <w:r>
        <w:rPr>
          <w:rFonts w:asciiTheme="majorBidi" w:hAnsiTheme="majorBidi" w:cstheme="majorBidi"/>
        </w:rPr>
        <w:fldChar w:fldCharType="end"/>
      </w:r>
      <w:r>
        <w:rPr>
          <w:rFonts w:asciiTheme="majorBidi" w:hAnsiTheme="majorBidi" w:cstheme="majorBidi"/>
        </w:rPr>
        <w:t>, at 332-333.</w:t>
      </w:r>
    </w:p>
  </w:footnote>
  <w:footnote w:id="101">
    <w:p w:rsidR="009D3D9C" w:rsidRPr="00EC1919" w:rsidRDefault="009D3D9C" w:rsidP="0007795E">
      <w:pPr>
        <w:pStyle w:val="a3"/>
        <w:bidi w:val="0"/>
        <w:jc w:val="both"/>
        <w:rPr>
          <w:rFonts w:asciiTheme="majorBidi" w:hAnsiTheme="majorBidi" w:cstheme="majorBidi"/>
          <w:rtl/>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E87D40">
        <w:rPr>
          <w:rFonts w:asciiTheme="majorBidi" w:hAnsiTheme="majorBidi" w:cstheme="majorBidi"/>
        </w:rPr>
        <w:t>C</w:t>
      </w:r>
      <w:r>
        <w:rPr>
          <w:rFonts w:asciiTheme="majorBidi" w:hAnsiTheme="majorBidi" w:cstheme="majorBidi"/>
        </w:rPr>
        <w:t>.</w:t>
      </w:r>
      <w:r w:rsidRPr="00E87D40">
        <w:rPr>
          <w:rFonts w:asciiTheme="majorBidi" w:hAnsiTheme="majorBidi" w:cstheme="majorBidi"/>
        </w:rPr>
        <w:t>A</w:t>
      </w:r>
      <w:r>
        <w:rPr>
          <w:rFonts w:asciiTheme="majorBidi" w:hAnsiTheme="majorBidi" w:cstheme="majorBidi"/>
        </w:rPr>
        <w:t>.</w:t>
      </w:r>
      <w:r w:rsidRPr="00E87D40">
        <w:rPr>
          <w:rFonts w:asciiTheme="majorBidi" w:hAnsiTheme="majorBidi" w:cstheme="majorBidi"/>
        </w:rPr>
        <w:t xml:space="preserve"> 377/79 </w:t>
      </w:r>
      <w:r w:rsidRPr="00E87D40">
        <w:rPr>
          <w:rFonts w:asciiTheme="majorBidi" w:hAnsiTheme="majorBidi" w:cstheme="majorBidi"/>
          <w:smallCaps/>
        </w:rPr>
        <w:t>Faiser v. Local Construction and Planning Committee Ramat Gan</w:t>
      </w:r>
      <w:r w:rsidRPr="00E87D40">
        <w:rPr>
          <w:rFonts w:asciiTheme="majorBidi" w:hAnsiTheme="majorBidi" w:cstheme="majorBidi"/>
        </w:rPr>
        <w:t xml:space="preserve">, </w:t>
      </w:r>
      <w:r>
        <w:rPr>
          <w:rFonts w:asciiTheme="majorBidi" w:hAnsiTheme="majorBidi" w:cstheme="majorBidi"/>
        </w:rPr>
        <w:t>PD</w:t>
      </w:r>
      <w:r w:rsidRPr="00E87D40">
        <w:rPr>
          <w:rFonts w:asciiTheme="majorBidi" w:hAnsiTheme="majorBidi" w:cstheme="majorBidi"/>
        </w:rPr>
        <w:t xml:space="preserve"> 35(3) 645</w:t>
      </w:r>
      <w:r>
        <w:rPr>
          <w:rFonts w:asciiTheme="majorBidi" w:hAnsiTheme="majorBidi" w:cstheme="majorBidi"/>
        </w:rPr>
        <w:t xml:space="preserve"> (1981)</w:t>
      </w:r>
      <w:r>
        <w:rPr>
          <w:rFonts w:ascii="Trade Gothic W01 Roman" w:hAnsi="Trade Gothic W01 Roman"/>
          <w:color w:val="606060"/>
          <w:sz w:val="21"/>
          <w:szCs w:val="21"/>
        </w:rPr>
        <w:t>.</w:t>
      </w:r>
    </w:p>
  </w:footnote>
  <w:footnote w:id="102">
    <w:p w:rsidR="009D3D9C" w:rsidRPr="00EC1919" w:rsidRDefault="009D3D9C" w:rsidP="00047B6D">
      <w:pPr>
        <w:pStyle w:val="a3"/>
        <w:bidi w:val="0"/>
        <w:jc w:val="both"/>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w:t>
      </w:r>
      <w:r w:rsidRPr="0007795E">
        <w:rPr>
          <w:rFonts w:asciiTheme="majorBidi" w:hAnsiTheme="majorBidi" w:cstheme="majorBidi"/>
        </w:rPr>
        <w:t>C</w:t>
      </w:r>
      <w:r>
        <w:rPr>
          <w:rFonts w:asciiTheme="majorBidi" w:hAnsiTheme="majorBidi" w:cstheme="majorBidi"/>
        </w:rPr>
        <w:t>.</w:t>
      </w:r>
      <w:r w:rsidRPr="0007795E">
        <w:rPr>
          <w:rFonts w:asciiTheme="majorBidi" w:hAnsiTheme="majorBidi" w:cstheme="majorBidi"/>
        </w:rPr>
        <w:t>A</w:t>
      </w:r>
      <w:r>
        <w:rPr>
          <w:rFonts w:asciiTheme="majorBidi" w:hAnsiTheme="majorBidi" w:cstheme="majorBidi"/>
        </w:rPr>
        <w:t>.</w:t>
      </w:r>
      <w:r w:rsidRPr="0007795E">
        <w:rPr>
          <w:rFonts w:asciiTheme="majorBidi" w:hAnsiTheme="majorBidi" w:cstheme="majorBidi"/>
        </w:rPr>
        <w:t xml:space="preserve"> 5546/97 </w:t>
      </w:r>
      <w:r w:rsidRPr="00047B6D">
        <w:rPr>
          <w:rFonts w:asciiTheme="majorBidi" w:hAnsiTheme="majorBidi" w:cstheme="majorBidi"/>
          <w:smallCaps/>
        </w:rPr>
        <w:t>Kiryat Ata Planning and Building Commission v. Holzman</w:t>
      </w:r>
      <w:r w:rsidRPr="0007795E">
        <w:rPr>
          <w:rFonts w:asciiTheme="majorBidi" w:hAnsiTheme="majorBidi" w:cstheme="majorBidi"/>
        </w:rPr>
        <w:t xml:space="preserve"> 55[4] PD 629 </w:t>
      </w:r>
      <w:r>
        <w:rPr>
          <w:rFonts w:asciiTheme="majorBidi" w:hAnsiTheme="majorBidi" w:cstheme="majorBidi"/>
        </w:rPr>
        <w:t xml:space="preserve">(2001); English officialtTranslation: </w:t>
      </w:r>
      <w:hyperlink r:id="rId27" w:history="1">
        <w:r w:rsidRPr="00454093">
          <w:rPr>
            <w:rStyle w:val="Hyperlink"/>
            <w:rFonts w:asciiTheme="majorBidi" w:hAnsiTheme="majorBidi" w:cstheme="majorBidi"/>
          </w:rPr>
          <w:t>http://elyon1.court.gov.il/files_eng/97/460/055/l06/97055460.l06.pdf</w:t>
        </w:r>
      </w:hyperlink>
      <w:r>
        <w:rPr>
          <w:rFonts w:asciiTheme="majorBidi" w:hAnsiTheme="majorBidi" w:cstheme="majorBidi"/>
        </w:rPr>
        <w:t xml:space="preserve">; </w:t>
      </w:r>
      <w:r w:rsidRPr="00EC302E">
        <w:rPr>
          <w:rFonts w:ascii="Times New Roman" w:hAnsi="Times New Roman" w:cs="Times New Roman"/>
          <w:smallCaps/>
        </w:rPr>
        <w:t>VERSA-Opinions of The Supreme Court of Israel, Translated Opinions,</w:t>
      </w:r>
      <w:r w:rsidRPr="00EC1919">
        <w:rPr>
          <w:rFonts w:asciiTheme="majorBidi" w:hAnsiTheme="majorBidi" w:cstheme="majorBidi"/>
          <w:rtl/>
        </w:rPr>
        <w:t xml:space="preserve"> </w:t>
      </w:r>
      <w:hyperlink r:id="rId28" w:history="1">
        <w:r w:rsidRPr="00454093">
          <w:rPr>
            <w:rStyle w:val="Hyperlink"/>
            <w:rFonts w:asciiTheme="majorBidi" w:hAnsiTheme="majorBidi" w:cstheme="majorBidi"/>
          </w:rPr>
          <w:t>http://versa.cardozo.yu.edu/opinions/local-building-v-holzman</w:t>
        </w:r>
      </w:hyperlink>
      <w:r>
        <w:rPr>
          <w:rFonts w:asciiTheme="majorBidi" w:hAnsiTheme="majorBidi" w:cstheme="majorBidi"/>
        </w:rPr>
        <w:t>.</w:t>
      </w:r>
    </w:p>
  </w:footnote>
  <w:footnote w:id="103">
    <w:p w:rsidR="009D3D9C" w:rsidRPr="00EC1919" w:rsidRDefault="009D3D9C" w:rsidP="00047B6D">
      <w:pPr>
        <w:pStyle w:val="a3"/>
        <w:bidi w:val="0"/>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Pr>
          <w:rFonts w:asciiTheme="majorBidi" w:hAnsiTheme="majorBidi" w:cstheme="majorBidi" w:hint="cs"/>
        </w:rPr>
        <w:t>I</w:t>
      </w:r>
      <w:r>
        <w:rPr>
          <w:rFonts w:asciiTheme="majorBidi" w:hAnsiTheme="majorBidi" w:cstheme="majorBidi"/>
        </w:rPr>
        <w:t xml:space="preserve">bid, at pars. </w:t>
      </w:r>
      <w:r w:rsidRPr="00C25D72">
        <w:rPr>
          <w:rFonts w:asciiTheme="majorBidi" w:hAnsiTheme="majorBidi" w:cstheme="majorBidi"/>
        </w:rPr>
        <w:t>7-8 J. Barak; par. 9 J. Dorner.</w:t>
      </w:r>
    </w:p>
  </w:footnote>
  <w:footnote w:id="104">
    <w:p w:rsidR="009D3D9C" w:rsidRPr="00EC1919" w:rsidRDefault="009D3D9C" w:rsidP="00047B6D">
      <w:pPr>
        <w:pStyle w:val="a3"/>
        <w:bidi w:val="0"/>
        <w:jc w:val="both"/>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 </w:t>
      </w:r>
      <w:r w:rsidRPr="00047B6D">
        <w:rPr>
          <w:rFonts w:asciiTheme="majorBidi" w:hAnsiTheme="majorBidi" w:cstheme="majorBidi"/>
        </w:rPr>
        <w:t xml:space="preserve">CA 8622/07 </w:t>
      </w:r>
      <w:r w:rsidRPr="00047B6D">
        <w:rPr>
          <w:rFonts w:asciiTheme="majorBidi" w:hAnsiTheme="majorBidi" w:cstheme="majorBidi"/>
          <w:smallCaps/>
        </w:rPr>
        <w:t>Rotman v. The Israel National Roads Company Ltd.</w:t>
      </w:r>
      <w:r>
        <w:rPr>
          <w:rFonts w:asciiTheme="majorBidi" w:hAnsiTheme="majorBidi" w:cstheme="majorBidi"/>
        </w:rPr>
        <w:t>, par 110 J. Fogelman</w:t>
      </w:r>
      <w:r w:rsidRPr="00047B6D">
        <w:rPr>
          <w:rFonts w:asciiTheme="majorBidi" w:hAnsiTheme="majorBidi" w:cstheme="majorBidi"/>
        </w:rPr>
        <w:t xml:space="preserve"> (</w:t>
      </w:r>
      <w:r>
        <w:rPr>
          <w:rFonts w:asciiTheme="majorBidi" w:hAnsiTheme="majorBidi" w:cstheme="majorBidi"/>
        </w:rPr>
        <w:t xml:space="preserve">Nevo, </w:t>
      </w:r>
      <w:r w:rsidRPr="00047B6D">
        <w:rPr>
          <w:rFonts w:asciiTheme="majorBidi" w:hAnsiTheme="majorBidi" w:cstheme="majorBidi"/>
        </w:rPr>
        <w:t>14</w:t>
      </w:r>
      <w:r>
        <w:rPr>
          <w:rFonts w:asciiTheme="majorBidi" w:hAnsiTheme="majorBidi" w:cstheme="majorBidi"/>
        </w:rPr>
        <w:t>.5.</w:t>
      </w:r>
      <w:r w:rsidRPr="00047B6D">
        <w:rPr>
          <w:rFonts w:asciiTheme="majorBidi" w:hAnsiTheme="majorBidi" w:cstheme="majorBidi"/>
        </w:rPr>
        <w:t xml:space="preserve"> 2012)</w:t>
      </w:r>
      <w:r>
        <w:rPr>
          <w:rFonts w:asciiTheme="majorBidi" w:hAnsiTheme="majorBidi" w:cstheme="majorBidi"/>
        </w:rPr>
        <w:t>.</w:t>
      </w:r>
    </w:p>
  </w:footnote>
  <w:footnote w:id="105">
    <w:p w:rsidR="009D3D9C" w:rsidRPr="00EC1919" w:rsidRDefault="009D3D9C" w:rsidP="00C25D72">
      <w:pPr>
        <w:pStyle w:val="a3"/>
        <w:bidi w:val="0"/>
        <w:rPr>
          <w:rFonts w:asciiTheme="majorBidi" w:hAnsiTheme="majorBidi" w:cstheme="majorBidi"/>
        </w:rPr>
      </w:pPr>
      <w:r w:rsidRPr="00EC1919">
        <w:rPr>
          <w:rStyle w:val="a5"/>
          <w:rFonts w:asciiTheme="majorBidi" w:hAnsiTheme="majorBidi" w:cstheme="majorBidi"/>
        </w:rPr>
        <w:footnoteRef/>
      </w:r>
      <w:r w:rsidRPr="00B0680A">
        <w:rPr>
          <w:rFonts w:asciiTheme="majorBidi" w:hAnsiTheme="majorBidi" w:cstheme="majorBidi"/>
        </w:rPr>
        <w:t xml:space="preserve">The </w:t>
      </w:r>
      <w:r>
        <w:rPr>
          <w:rFonts w:asciiTheme="majorBidi" w:hAnsiTheme="majorBidi" w:cstheme="majorBidi"/>
        </w:rPr>
        <w:t xml:space="preserve">2010 </w:t>
      </w:r>
      <w:r w:rsidRPr="00B0680A">
        <w:rPr>
          <w:rFonts w:asciiTheme="majorBidi" w:hAnsiTheme="majorBidi" w:cstheme="majorBidi"/>
        </w:rPr>
        <w:t>Amending Law</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_Ref518648326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94</w:t>
      </w:r>
      <w:r>
        <w:rPr>
          <w:rFonts w:asciiTheme="majorBidi" w:hAnsiTheme="majorBidi" w:cstheme="majorBidi"/>
        </w:rPr>
        <w:fldChar w:fldCharType="end"/>
      </w:r>
      <w:r>
        <w:rPr>
          <w:rFonts w:asciiTheme="majorBidi" w:hAnsiTheme="majorBidi" w:cstheme="majorBidi"/>
        </w:rPr>
        <w:t>,</w:t>
      </w:r>
      <w:r w:rsidRPr="00EC1919">
        <w:rPr>
          <w:rFonts w:asciiTheme="majorBidi" w:hAnsiTheme="majorBidi" w:cstheme="majorBidi"/>
          <w:rtl/>
        </w:rPr>
        <w:t xml:space="preserve"> </w:t>
      </w:r>
      <w:r>
        <w:rPr>
          <w:rFonts w:asciiTheme="majorBidi" w:hAnsiTheme="majorBidi" w:cstheme="majorBidi"/>
        </w:rPr>
        <w:t xml:space="preserve">§ 23(5). </w:t>
      </w:r>
    </w:p>
  </w:footnote>
  <w:footnote w:id="106">
    <w:p w:rsidR="009D3D9C" w:rsidRDefault="009D3D9C" w:rsidP="004B25C1">
      <w:pPr>
        <w:pStyle w:val="a3"/>
        <w:bidi w:val="0"/>
        <w:jc w:val="both"/>
      </w:pPr>
      <w:r>
        <w:rPr>
          <w:rStyle w:val="a5"/>
        </w:rPr>
        <w:footnoteRef/>
      </w:r>
      <w:r>
        <w:rPr>
          <w:rtl/>
        </w:rPr>
        <w:t xml:space="preserve"> </w:t>
      </w:r>
      <w:r w:rsidRPr="004B25C1">
        <w:rPr>
          <w:rFonts w:asciiTheme="majorBidi" w:hAnsiTheme="majorBidi" w:cstheme="majorBidi"/>
        </w:rPr>
        <w:t>Ronit Levine-Schnur</w:t>
      </w:r>
      <w:r>
        <w:rPr>
          <w:rFonts w:asciiTheme="majorBidi" w:hAnsiTheme="majorBidi" w:cstheme="majorBidi"/>
        </w:rPr>
        <w:t>,</w:t>
      </w:r>
      <w:r w:rsidRPr="004B25C1">
        <w:rPr>
          <w:rFonts w:asciiTheme="majorBidi" w:hAnsiTheme="majorBidi" w:cstheme="majorBidi"/>
        </w:rPr>
        <w:t> Gideon Parchomovsky</w:t>
      </w:r>
      <w:r>
        <w:rPr>
          <w:rFonts w:asciiTheme="majorBidi" w:hAnsiTheme="majorBidi" w:cstheme="majorBidi"/>
        </w:rPr>
        <w:t xml:space="preserve"> </w:t>
      </w:r>
      <w:r w:rsidRPr="004B25C1">
        <w:rPr>
          <w:rFonts w:asciiTheme="majorBidi" w:hAnsiTheme="majorBidi" w:cstheme="majorBidi"/>
          <w:i/>
          <w:iCs/>
        </w:rPr>
        <w:t>Is the Government Fiscally Blind? An Empirical Examination of the Effect of the Compensation Requirement on Eminent-Domain Exercises</w:t>
      </w:r>
      <w:r>
        <w:rPr>
          <w:rFonts w:asciiTheme="majorBidi" w:hAnsiTheme="majorBidi" w:cstheme="majorBidi"/>
        </w:rPr>
        <w:t xml:space="preserve"> </w:t>
      </w:r>
      <w:r w:rsidRPr="004B25C1">
        <w:rPr>
          <w:rFonts w:asciiTheme="majorBidi" w:hAnsiTheme="majorBidi" w:cstheme="majorBidi"/>
        </w:rPr>
        <w:t xml:space="preserve">45 </w:t>
      </w:r>
      <w:r w:rsidRPr="004B25C1">
        <w:rPr>
          <w:rFonts w:asciiTheme="majorBidi" w:hAnsiTheme="majorBidi" w:cstheme="majorBidi"/>
          <w:smallCaps/>
        </w:rPr>
        <w:t>Journal of Legal Studies</w:t>
      </w:r>
      <w:r w:rsidRPr="004B25C1">
        <w:rPr>
          <w:rFonts w:asciiTheme="majorBidi" w:hAnsiTheme="majorBidi" w:cstheme="majorBidi"/>
        </w:rPr>
        <w:t xml:space="preserve"> 439, 458-463 (2016)</w:t>
      </w:r>
      <w:r>
        <w:rPr>
          <w:rFonts w:asciiTheme="majorBidi" w:hAnsiTheme="majorBidi" w:cstheme="majorBidi"/>
        </w:rPr>
        <w:t>.</w:t>
      </w:r>
    </w:p>
  </w:footnote>
  <w:footnote w:id="107">
    <w:p w:rsidR="009D3D9C" w:rsidRDefault="009D3D9C" w:rsidP="00196E29">
      <w:pPr>
        <w:pStyle w:val="a3"/>
        <w:bidi w:val="0"/>
      </w:pPr>
      <w:r>
        <w:rPr>
          <w:rStyle w:val="a5"/>
        </w:rPr>
        <w:footnoteRef/>
      </w:r>
      <w:r>
        <w:rPr>
          <w:rtl/>
        </w:rPr>
        <w:t xml:space="preserve"> </w:t>
      </w:r>
      <w:r w:rsidRPr="00196E29">
        <w:rPr>
          <w:rFonts w:asciiTheme="majorBidi" w:hAnsiTheme="majorBidi" w:cstheme="majorBidi"/>
        </w:rPr>
        <w:t xml:space="preserve">Supra note </w:t>
      </w:r>
      <w:r w:rsidRPr="00196E29">
        <w:rPr>
          <w:rFonts w:asciiTheme="majorBidi" w:hAnsiTheme="majorBidi" w:cstheme="majorBidi"/>
        </w:rPr>
        <w:fldChar w:fldCharType="begin"/>
      </w:r>
      <w:r w:rsidRPr="00196E29">
        <w:rPr>
          <w:rFonts w:asciiTheme="majorBidi" w:hAnsiTheme="majorBidi" w:cstheme="majorBidi"/>
        </w:rPr>
        <w:instrText xml:space="preserve"> NOTEREF _Ref518654781 \h </w:instrText>
      </w:r>
      <w:r>
        <w:rPr>
          <w:rFonts w:asciiTheme="majorBidi" w:hAnsiTheme="majorBidi" w:cstheme="majorBidi"/>
        </w:rPr>
        <w:instrText xml:space="preserve"> \* MERGEFORMAT </w:instrText>
      </w:r>
      <w:r w:rsidRPr="00196E29">
        <w:rPr>
          <w:rFonts w:asciiTheme="majorBidi" w:hAnsiTheme="majorBidi" w:cstheme="majorBidi"/>
        </w:rPr>
      </w:r>
      <w:r w:rsidRPr="00196E29">
        <w:rPr>
          <w:rFonts w:asciiTheme="majorBidi" w:hAnsiTheme="majorBidi" w:cstheme="majorBidi"/>
        </w:rPr>
        <w:fldChar w:fldCharType="separate"/>
      </w:r>
      <w:r w:rsidR="00141AEA">
        <w:rPr>
          <w:rFonts w:asciiTheme="majorBidi" w:hAnsiTheme="majorBidi" w:cstheme="majorBidi"/>
        </w:rPr>
        <w:t>100</w:t>
      </w:r>
      <w:r w:rsidRPr="00196E29">
        <w:rPr>
          <w:rFonts w:asciiTheme="majorBidi" w:hAnsiTheme="majorBidi" w:cstheme="majorBidi"/>
        </w:rPr>
        <w:fldChar w:fldCharType="end"/>
      </w:r>
      <w:r w:rsidRPr="00196E29">
        <w:rPr>
          <w:rFonts w:asciiTheme="majorBidi" w:hAnsiTheme="majorBidi" w:cstheme="majorBidi"/>
        </w:rPr>
        <w:t>.</w:t>
      </w:r>
    </w:p>
  </w:footnote>
  <w:footnote w:id="108">
    <w:p w:rsidR="009D3D9C" w:rsidRPr="00EC1919" w:rsidRDefault="009D3D9C" w:rsidP="00DB0D2C">
      <w:pPr>
        <w:pStyle w:val="a3"/>
        <w:bidi w:val="0"/>
        <w:jc w:val="both"/>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 </w:t>
      </w:r>
      <w:r w:rsidRPr="00196E29">
        <w:rPr>
          <w:rFonts w:asciiTheme="majorBidi" w:hAnsiTheme="majorBidi" w:cstheme="majorBidi"/>
        </w:rPr>
        <w:t xml:space="preserve">CA 3901/96 </w:t>
      </w:r>
      <w:r w:rsidRPr="00DB0D2C">
        <w:rPr>
          <w:rFonts w:asciiTheme="majorBidi" w:hAnsiTheme="majorBidi" w:cstheme="majorBidi"/>
          <w:smallCaps/>
        </w:rPr>
        <w:t>Ranana Local Planning Committee v. Horowitz</w:t>
      </w:r>
      <w:r w:rsidRPr="00196E29">
        <w:rPr>
          <w:rFonts w:asciiTheme="majorBidi" w:hAnsiTheme="majorBidi" w:cstheme="majorBidi"/>
        </w:rPr>
        <w:t>, PD 56(4) 913</w:t>
      </w:r>
      <w:r>
        <w:rPr>
          <w:rFonts w:asciiTheme="majorBidi" w:hAnsiTheme="majorBidi" w:cstheme="majorBidi"/>
        </w:rPr>
        <w:t>, 928-930 (</w:t>
      </w:r>
      <w:r w:rsidRPr="00196E29">
        <w:rPr>
          <w:rFonts w:asciiTheme="majorBidi" w:hAnsiTheme="majorBidi" w:cstheme="majorBidi"/>
        </w:rPr>
        <w:t>2002)</w:t>
      </w:r>
      <w:r>
        <w:rPr>
          <w:rFonts w:asciiTheme="majorBidi" w:hAnsiTheme="majorBidi" w:cstheme="majorBidi"/>
        </w:rPr>
        <w:t xml:space="preserve"> </w:t>
      </w:r>
      <w:r w:rsidRPr="00196E29">
        <w:rPr>
          <w:rFonts w:asciiTheme="majorBidi" w:hAnsiTheme="majorBidi" w:cstheme="majorBidi"/>
        </w:rPr>
        <w:t>(</w:t>
      </w:r>
      <w:r>
        <w:rPr>
          <w:rFonts w:asciiTheme="majorBidi" w:hAnsiTheme="majorBidi" w:cstheme="majorBidi"/>
        </w:rPr>
        <w:t>Hebrew</w:t>
      </w:r>
      <w:r w:rsidRPr="00196E29">
        <w:rPr>
          <w:rFonts w:asciiTheme="majorBidi" w:hAnsiTheme="majorBidi" w:cstheme="majorBidi"/>
        </w:rPr>
        <w:t>)</w:t>
      </w:r>
      <w:r>
        <w:rPr>
          <w:rFonts w:asciiTheme="majorBidi" w:hAnsiTheme="majorBidi" w:cstheme="majorBidi"/>
        </w:rPr>
        <w:t>.</w:t>
      </w:r>
    </w:p>
  </w:footnote>
  <w:footnote w:id="109">
    <w:p w:rsidR="009D3D9C" w:rsidRDefault="009D3D9C" w:rsidP="00DB0D2C">
      <w:pPr>
        <w:pStyle w:val="a3"/>
        <w:bidi w:val="0"/>
      </w:pPr>
      <w:r>
        <w:rPr>
          <w:rStyle w:val="a5"/>
        </w:rPr>
        <w:footnoteRef/>
      </w:r>
      <w:r>
        <w:rPr>
          <w:rtl/>
        </w:rPr>
        <w:t xml:space="preserve"> </w:t>
      </w:r>
      <w:r>
        <w:t xml:space="preserve"> </w:t>
      </w:r>
      <w:r>
        <w:rPr>
          <w:rFonts w:asciiTheme="majorBidi" w:hAnsiTheme="majorBidi" w:cstheme="majorBidi"/>
        </w:rPr>
        <w:t>Ibid, at</w:t>
      </w:r>
      <w:r>
        <w:t xml:space="preserve"> </w:t>
      </w:r>
      <w:r w:rsidRPr="00DB0D2C">
        <w:rPr>
          <w:rFonts w:asciiTheme="majorBidi" w:hAnsiTheme="majorBidi" w:cstheme="majorBidi"/>
        </w:rPr>
        <w:t>937-939.</w:t>
      </w:r>
    </w:p>
  </w:footnote>
  <w:footnote w:id="110">
    <w:p w:rsidR="009D3D9C" w:rsidRPr="00EC1919" w:rsidRDefault="009D3D9C" w:rsidP="00DB0D2C">
      <w:pPr>
        <w:pStyle w:val="a3"/>
        <w:bidi w:val="0"/>
        <w:rPr>
          <w:rFonts w:asciiTheme="majorBidi" w:hAnsiTheme="majorBidi" w:cstheme="majorBidi"/>
        </w:rPr>
      </w:pPr>
      <w:r w:rsidRPr="00EC1919">
        <w:rPr>
          <w:rStyle w:val="a5"/>
          <w:rFonts w:asciiTheme="majorBidi" w:hAnsiTheme="majorBidi" w:cstheme="majorBidi"/>
        </w:rPr>
        <w:footnoteRef/>
      </w:r>
      <w:r>
        <w:rPr>
          <w:rFonts w:asciiTheme="majorBidi" w:hAnsiTheme="majorBidi" w:cstheme="majorBidi"/>
        </w:rPr>
        <w:t xml:space="preserve"> Ibid, at 942-944.</w:t>
      </w:r>
      <w:r w:rsidRPr="00EC1919">
        <w:rPr>
          <w:rFonts w:asciiTheme="majorBidi" w:hAnsiTheme="majorBidi" w:cstheme="majorBidi"/>
          <w:rtl/>
        </w:rPr>
        <w:t xml:space="preserve"> </w:t>
      </w:r>
    </w:p>
  </w:footnote>
  <w:footnote w:id="111">
    <w:p w:rsidR="009D3D9C" w:rsidRPr="00EC1919" w:rsidRDefault="009D3D9C" w:rsidP="00DB0D2C">
      <w:pPr>
        <w:pStyle w:val="a3"/>
        <w:bidi w:val="0"/>
        <w:jc w:val="both"/>
        <w:rPr>
          <w:rFonts w:asciiTheme="majorBidi" w:hAnsiTheme="majorBidi" w:cstheme="majorBidi"/>
        </w:rPr>
      </w:pPr>
      <w:r w:rsidRPr="00EC1919">
        <w:rPr>
          <w:rStyle w:val="a5"/>
          <w:rFonts w:asciiTheme="majorBidi" w:hAnsiTheme="majorBidi" w:cstheme="majorBidi"/>
        </w:rPr>
        <w:footnoteRef/>
      </w:r>
      <w:r w:rsidRPr="00EC1919">
        <w:rPr>
          <w:rFonts w:asciiTheme="majorBidi" w:hAnsiTheme="majorBidi" w:cstheme="majorBidi"/>
          <w:rtl/>
        </w:rPr>
        <w:t xml:space="preserve"> </w:t>
      </w:r>
      <w:r w:rsidRPr="00196E29">
        <w:rPr>
          <w:rFonts w:asciiTheme="majorBidi" w:hAnsiTheme="majorBidi" w:cstheme="majorBidi"/>
        </w:rPr>
        <w:t xml:space="preserve">SCA 1333/02 </w:t>
      </w:r>
      <w:r w:rsidRPr="00DB0D2C">
        <w:rPr>
          <w:rFonts w:asciiTheme="majorBidi" w:hAnsiTheme="majorBidi" w:cstheme="majorBidi"/>
          <w:smallCaps/>
        </w:rPr>
        <w:t>Ranana Local Planning Committee v. Horowitz</w:t>
      </w:r>
      <w:r>
        <w:rPr>
          <w:rFonts w:asciiTheme="majorBidi" w:hAnsiTheme="majorBidi" w:cstheme="majorBidi"/>
        </w:rPr>
        <w:t xml:space="preserve">, PD </w:t>
      </w:r>
      <w:r w:rsidRPr="00196E29">
        <w:rPr>
          <w:rFonts w:asciiTheme="majorBidi" w:hAnsiTheme="majorBidi" w:cstheme="majorBidi"/>
        </w:rPr>
        <w:t>68(6) 289 (2004) (</w:t>
      </w:r>
      <w:r>
        <w:rPr>
          <w:rFonts w:asciiTheme="majorBidi" w:hAnsiTheme="majorBidi" w:cstheme="majorBidi"/>
        </w:rPr>
        <w:t>Hebrew</w:t>
      </w:r>
      <w:r w:rsidRPr="00196E29">
        <w:rPr>
          <w:rFonts w:asciiTheme="majorBidi" w:hAnsiTheme="majorBidi" w:cstheme="majorBidi"/>
        </w:rPr>
        <w:t>)</w:t>
      </w:r>
      <w:r>
        <w:rPr>
          <w:rFonts w:asciiTheme="majorBidi" w:hAnsiTheme="majorBidi" w:cstheme="majorBidi"/>
        </w:rPr>
        <w:t>;</w:t>
      </w:r>
      <w:r w:rsidRPr="00EC1919">
        <w:rPr>
          <w:rFonts w:asciiTheme="majorBidi" w:hAnsiTheme="majorBidi" w:cstheme="majorBidi"/>
          <w:rtl/>
        </w:rPr>
        <w:t xml:space="preserve"> </w:t>
      </w:r>
      <w:r>
        <w:rPr>
          <w:rFonts w:asciiTheme="majorBidi" w:hAnsiTheme="majorBidi" w:cstheme="majorBidi"/>
        </w:rPr>
        <w:t xml:space="preserve">Alterman, </w:t>
      </w:r>
      <w:r w:rsidRPr="00BA1836">
        <w:rPr>
          <w:rFonts w:asciiTheme="majorBidi" w:hAnsiTheme="majorBidi" w:cstheme="majorBidi"/>
          <w:smallCaps/>
        </w:rPr>
        <w:t>Takings i</w:t>
      </w:r>
      <w:r>
        <w:rPr>
          <w:rFonts w:asciiTheme="majorBidi" w:hAnsiTheme="majorBidi" w:cstheme="majorBidi"/>
          <w:smallCaps/>
        </w:rPr>
        <w:t xml:space="preserve">nternational,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_Ref518637374 \h </w:instrText>
      </w:r>
      <w:r>
        <w:rPr>
          <w:rFonts w:asciiTheme="majorBidi" w:hAnsiTheme="majorBidi" w:cstheme="majorBidi"/>
        </w:rPr>
      </w:r>
      <w:r>
        <w:rPr>
          <w:rFonts w:asciiTheme="majorBidi" w:hAnsiTheme="majorBidi" w:cstheme="majorBidi"/>
        </w:rPr>
        <w:fldChar w:fldCharType="separate"/>
      </w:r>
      <w:r w:rsidR="00141AEA">
        <w:rPr>
          <w:rFonts w:asciiTheme="majorBidi" w:hAnsiTheme="majorBidi" w:cstheme="majorBidi"/>
        </w:rPr>
        <w:t>79</w:t>
      </w:r>
      <w:r>
        <w:rPr>
          <w:rFonts w:asciiTheme="majorBidi" w:hAnsiTheme="majorBidi" w:cstheme="majorBidi"/>
        </w:rPr>
        <w:fldChar w:fldCharType="end"/>
      </w:r>
      <w:r>
        <w:rPr>
          <w:rFonts w:asciiTheme="majorBidi" w:hAnsiTheme="majorBidi" w:cstheme="majorBidi"/>
        </w:rPr>
        <w:t xml:space="preserve">, at 335. </w:t>
      </w:r>
    </w:p>
  </w:footnote>
  <w:footnote w:id="112">
    <w:p w:rsidR="009D3D9C" w:rsidRPr="00EC1919" w:rsidRDefault="009D3D9C" w:rsidP="003039D5">
      <w:pPr>
        <w:pStyle w:val="a3"/>
        <w:bidi w:val="0"/>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Ibid, at 315-316.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404FB"/>
    <w:multiLevelType w:val="hybridMultilevel"/>
    <w:tmpl w:val="4E9C22FA"/>
    <w:lvl w:ilvl="0" w:tplc="0409000F">
      <w:start w:val="1"/>
      <w:numFmt w:val="decimal"/>
      <w:lvlText w:val="%1."/>
      <w:lvlJc w:val="left"/>
      <w:pPr>
        <w:ind w:left="771" w:hanging="360"/>
      </w:pPr>
    </w:lvl>
    <w:lvl w:ilvl="1" w:tplc="04090019">
      <w:start w:val="1"/>
      <w:numFmt w:val="lowerLetter"/>
      <w:lvlText w:val="%2."/>
      <w:lvlJc w:val="left"/>
      <w:pPr>
        <w:ind w:left="1491" w:hanging="360"/>
      </w:pPr>
    </w:lvl>
    <w:lvl w:ilvl="2" w:tplc="0409001B">
      <w:start w:val="1"/>
      <w:numFmt w:val="lowerRoman"/>
      <w:lvlText w:val="%3."/>
      <w:lvlJc w:val="right"/>
      <w:pPr>
        <w:ind w:left="2211" w:hanging="180"/>
      </w:pPr>
    </w:lvl>
    <w:lvl w:ilvl="3" w:tplc="0409000F">
      <w:start w:val="1"/>
      <w:numFmt w:val="decimal"/>
      <w:lvlText w:val="%4."/>
      <w:lvlJc w:val="left"/>
      <w:pPr>
        <w:ind w:left="2931" w:hanging="360"/>
      </w:pPr>
    </w:lvl>
    <w:lvl w:ilvl="4" w:tplc="04090019">
      <w:start w:val="1"/>
      <w:numFmt w:val="lowerLetter"/>
      <w:lvlText w:val="%5."/>
      <w:lvlJc w:val="left"/>
      <w:pPr>
        <w:ind w:left="3651" w:hanging="360"/>
      </w:pPr>
    </w:lvl>
    <w:lvl w:ilvl="5" w:tplc="0409001B">
      <w:start w:val="1"/>
      <w:numFmt w:val="lowerRoman"/>
      <w:lvlText w:val="%6."/>
      <w:lvlJc w:val="right"/>
      <w:pPr>
        <w:ind w:left="4371" w:hanging="180"/>
      </w:pPr>
    </w:lvl>
    <w:lvl w:ilvl="6" w:tplc="0409000F">
      <w:start w:val="1"/>
      <w:numFmt w:val="decimal"/>
      <w:lvlText w:val="%7."/>
      <w:lvlJc w:val="left"/>
      <w:pPr>
        <w:ind w:left="5091" w:hanging="360"/>
      </w:pPr>
    </w:lvl>
    <w:lvl w:ilvl="7" w:tplc="04090019">
      <w:start w:val="1"/>
      <w:numFmt w:val="lowerLetter"/>
      <w:lvlText w:val="%8."/>
      <w:lvlJc w:val="left"/>
      <w:pPr>
        <w:ind w:left="5811" w:hanging="360"/>
      </w:pPr>
    </w:lvl>
    <w:lvl w:ilvl="8" w:tplc="0409001B">
      <w:start w:val="1"/>
      <w:numFmt w:val="lowerRoman"/>
      <w:lvlText w:val="%9."/>
      <w:lvlJc w:val="right"/>
      <w:pPr>
        <w:ind w:left="6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FE"/>
    <w:rsid w:val="00007158"/>
    <w:rsid w:val="0002288E"/>
    <w:rsid w:val="000271B4"/>
    <w:rsid w:val="00047B6D"/>
    <w:rsid w:val="00050D7D"/>
    <w:rsid w:val="00057B5D"/>
    <w:rsid w:val="0007795E"/>
    <w:rsid w:val="00091DDE"/>
    <w:rsid w:val="00094054"/>
    <w:rsid w:val="000B036B"/>
    <w:rsid w:val="000B2A4F"/>
    <w:rsid w:val="000B5E5B"/>
    <w:rsid w:val="000C1C36"/>
    <w:rsid w:val="000E57CA"/>
    <w:rsid w:val="000E7024"/>
    <w:rsid w:val="000F154C"/>
    <w:rsid w:val="00116850"/>
    <w:rsid w:val="0014169F"/>
    <w:rsid w:val="00141A1A"/>
    <w:rsid w:val="00141AEA"/>
    <w:rsid w:val="00144D25"/>
    <w:rsid w:val="00150C7A"/>
    <w:rsid w:val="00150E5A"/>
    <w:rsid w:val="00151240"/>
    <w:rsid w:val="001705D1"/>
    <w:rsid w:val="00180501"/>
    <w:rsid w:val="001839C5"/>
    <w:rsid w:val="0018420F"/>
    <w:rsid w:val="0018524E"/>
    <w:rsid w:val="00196439"/>
    <w:rsid w:val="00196E29"/>
    <w:rsid w:val="001A4FE0"/>
    <w:rsid w:val="001B7A56"/>
    <w:rsid w:val="001B7F64"/>
    <w:rsid w:val="001C09E7"/>
    <w:rsid w:val="001C79F8"/>
    <w:rsid w:val="001D1388"/>
    <w:rsid w:val="001E67EA"/>
    <w:rsid w:val="001F0978"/>
    <w:rsid w:val="002004EF"/>
    <w:rsid w:val="00215B59"/>
    <w:rsid w:val="00220955"/>
    <w:rsid w:val="00221BBD"/>
    <w:rsid w:val="00223AFB"/>
    <w:rsid w:val="00236572"/>
    <w:rsid w:val="00240665"/>
    <w:rsid w:val="00241BFB"/>
    <w:rsid w:val="0024223D"/>
    <w:rsid w:val="00277D09"/>
    <w:rsid w:val="002A28BB"/>
    <w:rsid w:val="002C133A"/>
    <w:rsid w:val="002D060F"/>
    <w:rsid w:val="003039D5"/>
    <w:rsid w:val="00317816"/>
    <w:rsid w:val="00330B24"/>
    <w:rsid w:val="00342E65"/>
    <w:rsid w:val="00343610"/>
    <w:rsid w:val="003750A0"/>
    <w:rsid w:val="003930D3"/>
    <w:rsid w:val="00394FC1"/>
    <w:rsid w:val="00397534"/>
    <w:rsid w:val="003A3F7A"/>
    <w:rsid w:val="003A61E6"/>
    <w:rsid w:val="003B7C36"/>
    <w:rsid w:val="003B7D60"/>
    <w:rsid w:val="003C1E9E"/>
    <w:rsid w:val="003C5BB3"/>
    <w:rsid w:val="003C6418"/>
    <w:rsid w:val="003D4612"/>
    <w:rsid w:val="003E01D0"/>
    <w:rsid w:val="003E2F55"/>
    <w:rsid w:val="003E5079"/>
    <w:rsid w:val="00412AC4"/>
    <w:rsid w:val="00413977"/>
    <w:rsid w:val="004165E2"/>
    <w:rsid w:val="00422035"/>
    <w:rsid w:val="00422F57"/>
    <w:rsid w:val="004471E0"/>
    <w:rsid w:val="0045467E"/>
    <w:rsid w:val="004B25C1"/>
    <w:rsid w:val="004D49F6"/>
    <w:rsid w:val="004D58E6"/>
    <w:rsid w:val="004E754E"/>
    <w:rsid w:val="004E7B4E"/>
    <w:rsid w:val="004F0269"/>
    <w:rsid w:val="005166EC"/>
    <w:rsid w:val="00517986"/>
    <w:rsid w:val="005226ED"/>
    <w:rsid w:val="00526EF6"/>
    <w:rsid w:val="0053533A"/>
    <w:rsid w:val="005511E7"/>
    <w:rsid w:val="0055362A"/>
    <w:rsid w:val="00573BE3"/>
    <w:rsid w:val="00576AFE"/>
    <w:rsid w:val="00577064"/>
    <w:rsid w:val="00581F8E"/>
    <w:rsid w:val="005960CC"/>
    <w:rsid w:val="005A5E4F"/>
    <w:rsid w:val="005B18F1"/>
    <w:rsid w:val="005B4BA7"/>
    <w:rsid w:val="005B5645"/>
    <w:rsid w:val="005E0977"/>
    <w:rsid w:val="005F0259"/>
    <w:rsid w:val="00600D09"/>
    <w:rsid w:val="006020C7"/>
    <w:rsid w:val="0061088C"/>
    <w:rsid w:val="00625ED3"/>
    <w:rsid w:val="00640DEE"/>
    <w:rsid w:val="00666E69"/>
    <w:rsid w:val="00695546"/>
    <w:rsid w:val="006A4096"/>
    <w:rsid w:val="006C07B0"/>
    <w:rsid w:val="006C698A"/>
    <w:rsid w:val="006D2EBC"/>
    <w:rsid w:val="006D5842"/>
    <w:rsid w:val="006E7D8E"/>
    <w:rsid w:val="006F0112"/>
    <w:rsid w:val="006F0579"/>
    <w:rsid w:val="006F0BD1"/>
    <w:rsid w:val="00701A40"/>
    <w:rsid w:val="007033AE"/>
    <w:rsid w:val="0071261C"/>
    <w:rsid w:val="00725CD5"/>
    <w:rsid w:val="00733FF4"/>
    <w:rsid w:val="00734058"/>
    <w:rsid w:val="00742122"/>
    <w:rsid w:val="00745B9E"/>
    <w:rsid w:val="00755CD9"/>
    <w:rsid w:val="0076334D"/>
    <w:rsid w:val="0077406B"/>
    <w:rsid w:val="007756DA"/>
    <w:rsid w:val="007A0B05"/>
    <w:rsid w:val="007A1F5B"/>
    <w:rsid w:val="007A686B"/>
    <w:rsid w:val="007B6453"/>
    <w:rsid w:val="007C0EA3"/>
    <w:rsid w:val="007C49C5"/>
    <w:rsid w:val="007C6095"/>
    <w:rsid w:val="007C6A22"/>
    <w:rsid w:val="007D311D"/>
    <w:rsid w:val="007F29B3"/>
    <w:rsid w:val="007F2C05"/>
    <w:rsid w:val="007F46A2"/>
    <w:rsid w:val="007F4FB5"/>
    <w:rsid w:val="007F680B"/>
    <w:rsid w:val="007F6B9C"/>
    <w:rsid w:val="008067AC"/>
    <w:rsid w:val="00820E77"/>
    <w:rsid w:val="00824892"/>
    <w:rsid w:val="00845D0B"/>
    <w:rsid w:val="00850A0D"/>
    <w:rsid w:val="00851590"/>
    <w:rsid w:val="00852302"/>
    <w:rsid w:val="00875367"/>
    <w:rsid w:val="00875F6A"/>
    <w:rsid w:val="00883BA8"/>
    <w:rsid w:val="008A381B"/>
    <w:rsid w:val="008E22B9"/>
    <w:rsid w:val="008E3194"/>
    <w:rsid w:val="008E3F00"/>
    <w:rsid w:val="008E6ACE"/>
    <w:rsid w:val="00914C10"/>
    <w:rsid w:val="00921EBA"/>
    <w:rsid w:val="00924903"/>
    <w:rsid w:val="009619E9"/>
    <w:rsid w:val="00961D85"/>
    <w:rsid w:val="009701D3"/>
    <w:rsid w:val="00975A00"/>
    <w:rsid w:val="00993548"/>
    <w:rsid w:val="0099463B"/>
    <w:rsid w:val="009A07F8"/>
    <w:rsid w:val="009A10DB"/>
    <w:rsid w:val="009B6CC7"/>
    <w:rsid w:val="009D3D9C"/>
    <w:rsid w:val="009E0728"/>
    <w:rsid w:val="009E1596"/>
    <w:rsid w:val="009E62FF"/>
    <w:rsid w:val="009F47A3"/>
    <w:rsid w:val="00A01C26"/>
    <w:rsid w:val="00A0589B"/>
    <w:rsid w:val="00A06D6B"/>
    <w:rsid w:val="00A07F3A"/>
    <w:rsid w:val="00A07FCF"/>
    <w:rsid w:val="00A244DB"/>
    <w:rsid w:val="00A251E5"/>
    <w:rsid w:val="00A354FD"/>
    <w:rsid w:val="00A41515"/>
    <w:rsid w:val="00A437CE"/>
    <w:rsid w:val="00A46AB6"/>
    <w:rsid w:val="00A568CC"/>
    <w:rsid w:val="00A61081"/>
    <w:rsid w:val="00A93065"/>
    <w:rsid w:val="00AA77AF"/>
    <w:rsid w:val="00AC0A33"/>
    <w:rsid w:val="00AD185A"/>
    <w:rsid w:val="00AE2B8F"/>
    <w:rsid w:val="00AE7346"/>
    <w:rsid w:val="00AF71BE"/>
    <w:rsid w:val="00B0680A"/>
    <w:rsid w:val="00B13E7D"/>
    <w:rsid w:val="00B21FE2"/>
    <w:rsid w:val="00B265B9"/>
    <w:rsid w:val="00B34049"/>
    <w:rsid w:val="00B523A8"/>
    <w:rsid w:val="00B531F5"/>
    <w:rsid w:val="00B53BE5"/>
    <w:rsid w:val="00B57DB4"/>
    <w:rsid w:val="00B603E4"/>
    <w:rsid w:val="00B60E1C"/>
    <w:rsid w:val="00B659BF"/>
    <w:rsid w:val="00B72F81"/>
    <w:rsid w:val="00B83456"/>
    <w:rsid w:val="00B949D0"/>
    <w:rsid w:val="00BA1836"/>
    <w:rsid w:val="00BA5E25"/>
    <w:rsid w:val="00BC03EA"/>
    <w:rsid w:val="00BD3EC6"/>
    <w:rsid w:val="00BD5300"/>
    <w:rsid w:val="00BF031D"/>
    <w:rsid w:val="00BF1D7D"/>
    <w:rsid w:val="00BF2C64"/>
    <w:rsid w:val="00BF4FC8"/>
    <w:rsid w:val="00BF74C2"/>
    <w:rsid w:val="00C1728D"/>
    <w:rsid w:val="00C23555"/>
    <w:rsid w:val="00C25D72"/>
    <w:rsid w:val="00C304A8"/>
    <w:rsid w:val="00C423C8"/>
    <w:rsid w:val="00C52450"/>
    <w:rsid w:val="00C571DF"/>
    <w:rsid w:val="00C62490"/>
    <w:rsid w:val="00C62E1A"/>
    <w:rsid w:val="00C62E77"/>
    <w:rsid w:val="00C707EA"/>
    <w:rsid w:val="00C82A19"/>
    <w:rsid w:val="00CA3D49"/>
    <w:rsid w:val="00CC3470"/>
    <w:rsid w:val="00CC4084"/>
    <w:rsid w:val="00CD30A4"/>
    <w:rsid w:val="00CD4032"/>
    <w:rsid w:val="00CD7707"/>
    <w:rsid w:val="00CF02D7"/>
    <w:rsid w:val="00CF3F60"/>
    <w:rsid w:val="00CF6529"/>
    <w:rsid w:val="00D14BAF"/>
    <w:rsid w:val="00D20667"/>
    <w:rsid w:val="00D64EBD"/>
    <w:rsid w:val="00D66267"/>
    <w:rsid w:val="00D85CA0"/>
    <w:rsid w:val="00D91AF0"/>
    <w:rsid w:val="00DB0D2C"/>
    <w:rsid w:val="00DC2E19"/>
    <w:rsid w:val="00DD64BC"/>
    <w:rsid w:val="00DF233A"/>
    <w:rsid w:val="00DF4E1E"/>
    <w:rsid w:val="00DF6590"/>
    <w:rsid w:val="00DF7F17"/>
    <w:rsid w:val="00E11F71"/>
    <w:rsid w:val="00E12200"/>
    <w:rsid w:val="00E24D97"/>
    <w:rsid w:val="00E320DE"/>
    <w:rsid w:val="00E321F6"/>
    <w:rsid w:val="00E4003E"/>
    <w:rsid w:val="00E4268B"/>
    <w:rsid w:val="00E42FF8"/>
    <w:rsid w:val="00E87D40"/>
    <w:rsid w:val="00EA3B3F"/>
    <w:rsid w:val="00EB081E"/>
    <w:rsid w:val="00EC1919"/>
    <w:rsid w:val="00EC490A"/>
    <w:rsid w:val="00ED3138"/>
    <w:rsid w:val="00ED7407"/>
    <w:rsid w:val="00EF0C72"/>
    <w:rsid w:val="00F04219"/>
    <w:rsid w:val="00F3106D"/>
    <w:rsid w:val="00F314B8"/>
    <w:rsid w:val="00F34873"/>
    <w:rsid w:val="00F36EE2"/>
    <w:rsid w:val="00F5062B"/>
    <w:rsid w:val="00F649EA"/>
    <w:rsid w:val="00F671CB"/>
    <w:rsid w:val="00F73B2B"/>
    <w:rsid w:val="00F90029"/>
    <w:rsid w:val="00F91C21"/>
    <w:rsid w:val="00F9213D"/>
    <w:rsid w:val="00FA186E"/>
    <w:rsid w:val="00FA1CE5"/>
    <w:rsid w:val="00FA35F8"/>
    <w:rsid w:val="00FA4931"/>
    <w:rsid w:val="00FD7625"/>
    <w:rsid w:val="00FD7A53"/>
    <w:rsid w:val="00FE34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A5EA4A-9A4A-465B-86DC-0B99B164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AFE"/>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5536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178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067AC"/>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76AFE"/>
    <w:rPr>
      <w:rFonts w:asciiTheme="minorHAnsi" w:eastAsiaTheme="minorHAnsi" w:hAnsiTheme="minorHAnsi" w:cstheme="minorBidi"/>
      <w:sz w:val="20"/>
      <w:szCs w:val="20"/>
    </w:rPr>
  </w:style>
  <w:style w:type="character" w:customStyle="1" w:styleId="a4">
    <w:name w:val="טקסט הערת שוליים תו"/>
    <w:basedOn w:val="a0"/>
    <w:link w:val="a3"/>
    <w:rsid w:val="00576AFE"/>
    <w:rPr>
      <w:sz w:val="20"/>
      <w:szCs w:val="20"/>
    </w:rPr>
  </w:style>
  <w:style w:type="character" w:styleId="a5">
    <w:name w:val="footnote reference"/>
    <w:basedOn w:val="a0"/>
    <w:unhideWhenUsed/>
    <w:rsid w:val="00576AFE"/>
    <w:rPr>
      <w:vertAlign w:val="superscript"/>
    </w:rPr>
  </w:style>
  <w:style w:type="character" w:customStyle="1" w:styleId="a6">
    <w:name w:val="מראה_מקום"/>
    <w:basedOn w:val="a0"/>
    <w:rsid w:val="000271B4"/>
    <w:rPr>
      <w:rFonts w:ascii="Times New Roman" w:hAnsi="Times New Roman" w:cs="David"/>
      <w:color w:val="008000"/>
      <w:sz w:val="20"/>
      <w:szCs w:val="20"/>
      <w:u w:val="single" w:color="008000"/>
      <w:vertAlign w:val="baseline"/>
    </w:rPr>
  </w:style>
  <w:style w:type="character" w:customStyle="1" w:styleId="a7">
    <w:name w:val="סוג_הליך"/>
    <w:basedOn w:val="a0"/>
    <w:rsid w:val="000271B4"/>
    <w:rPr>
      <w:rFonts w:ascii="Times New Roman" w:hAnsi="Times New Roman" w:cs="David"/>
      <w:color w:val="FF0000"/>
      <w:sz w:val="20"/>
      <w:szCs w:val="20"/>
      <w:u w:val="single"/>
    </w:rPr>
  </w:style>
  <w:style w:type="paragraph" w:styleId="a8">
    <w:name w:val="Plain Text"/>
    <w:basedOn w:val="a"/>
    <w:link w:val="a9"/>
    <w:rsid w:val="000271B4"/>
    <w:rPr>
      <w:rFonts w:ascii="Courier New" w:hAnsi="Courier New" w:cs="Courier New"/>
      <w:sz w:val="20"/>
      <w:szCs w:val="20"/>
      <w:lang w:eastAsia="he-IL"/>
    </w:rPr>
  </w:style>
  <w:style w:type="character" w:customStyle="1" w:styleId="a9">
    <w:name w:val="טקסט רגיל תו"/>
    <w:basedOn w:val="a0"/>
    <w:link w:val="a8"/>
    <w:semiHidden/>
    <w:rsid w:val="000271B4"/>
    <w:rPr>
      <w:rFonts w:ascii="Courier New" w:eastAsia="Times New Roman" w:hAnsi="Courier New" w:cs="Courier New"/>
      <w:sz w:val="20"/>
      <w:szCs w:val="20"/>
      <w:lang w:eastAsia="he-IL"/>
    </w:rPr>
  </w:style>
  <w:style w:type="character" w:styleId="Hyperlink">
    <w:name w:val="Hyperlink"/>
    <w:basedOn w:val="a0"/>
    <w:rsid w:val="000271B4"/>
    <w:rPr>
      <w:color w:val="0000FF"/>
      <w:u w:val="single"/>
    </w:rPr>
  </w:style>
  <w:style w:type="paragraph" w:styleId="aa">
    <w:name w:val="header"/>
    <w:basedOn w:val="a"/>
    <w:link w:val="ab"/>
    <w:rsid w:val="000271B4"/>
    <w:pPr>
      <w:tabs>
        <w:tab w:val="center" w:pos="4153"/>
        <w:tab w:val="right" w:pos="8306"/>
      </w:tabs>
      <w:jc w:val="both"/>
    </w:pPr>
    <w:rPr>
      <w:rFonts w:cs="David"/>
      <w:sz w:val="20"/>
      <w:szCs w:val="20"/>
      <w:lang w:eastAsia="he-IL"/>
    </w:rPr>
  </w:style>
  <w:style w:type="character" w:customStyle="1" w:styleId="ab">
    <w:name w:val="כותרת עליונה תו"/>
    <w:basedOn w:val="a0"/>
    <w:link w:val="aa"/>
    <w:semiHidden/>
    <w:rsid w:val="000271B4"/>
    <w:rPr>
      <w:rFonts w:ascii="Times New Roman" w:eastAsia="Times New Roman" w:hAnsi="Times New Roman" w:cs="David"/>
      <w:sz w:val="20"/>
      <w:szCs w:val="20"/>
      <w:lang w:eastAsia="he-IL"/>
    </w:rPr>
  </w:style>
  <w:style w:type="paragraph" w:customStyle="1" w:styleId="ac">
    <w:name w:val="אזכורים"/>
    <w:basedOn w:val="a"/>
    <w:rsid w:val="00343610"/>
    <w:pPr>
      <w:tabs>
        <w:tab w:val="left" w:pos="567"/>
      </w:tabs>
      <w:overflowPunct w:val="0"/>
      <w:autoSpaceDE w:val="0"/>
      <w:autoSpaceDN w:val="0"/>
      <w:adjustRightInd w:val="0"/>
      <w:spacing w:after="40" w:line="270" w:lineRule="exact"/>
      <w:ind w:left="567" w:hanging="567"/>
      <w:jc w:val="both"/>
      <w:textAlignment w:val="baseline"/>
    </w:pPr>
    <w:rPr>
      <w:rFonts w:cs="FrankRuehl"/>
      <w:sz w:val="20"/>
      <w:lang w:eastAsia="he-IL"/>
    </w:rPr>
  </w:style>
  <w:style w:type="paragraph" w:customStyle="1" w:styleId="ad">
    <w:name w:val="כללי"/>
    <w:basedOn w:val="a"/>
    <w:rsid w:val="00B21FE2"/>
    <w:pPr>
      <w:overflowPunct w:val="0"/>
      <w:autoSpaceDE w:val="0"/>
      <w:autoSpaceDN w:val="0"/>
      <w:adjustRightInd w:val="0"/>
      <w:spacing w:after="240" w:line="280" w:lineRule="exact"/>
      <w:ind w:firstLine="284"/>
      <w:jc w:val="both"/>
      <w:textAlignment w:val="baseline"/>
    </w:pPr>
    <w:rPr>
      <w:rFonts w:cs="FrankRuehl"/>
      <w:sz w:val="20"/>
      <w:lang w:eastAsia="he-IL"/>
    </w:rPr>
  </w:style>
  <w:style w:type="character" w:customStyle="1" w:styleId="Ruller5">
    <w:name w:val="Ruller5 תו"/>
    <w:link w:val="Ruller50"/>
    <w:locked/>
    <w:rsid w:val="002A28BB"/>
    <w:rPr>
      <w:rFonts w:ascii="Arial TUR" w:hAnsi="Arial TUR" w:cs="FrankRuehl"/>
      <w:spacing w:val="10"/>
      <w:szCs w:val="28"/>
    </w:rPr>
  </w:style>
  <w:style w:type="paragraph" w:customStyle="1" w:styleId="Ruller50">
    <w:name w:val="Ruller5"/>
    <w:basedOn w:val="a"/>
    <w:link w:val="Ruller5"/>
    <w:rsid w:val="002A28BB"/>
    <w:pPr>
      <w:tabs>
        <w:tab w:val="left" w:pos="720"/>
      </w:tabs>
      <w:overflowPunct w:val="0"/>
      <w:autoSpaceDE w:val="0"/>
      <w:autoSpaceDN w:val="0"/>
      <w:adjustRightInd w:val="0"/>
      <w:ind w:left="1642" w:right="1282"/>
      <w:jc w:val="both"/>
    </w:pPr>
    <w:rPr>
      <w:rFonts w:ascii="Arial TUR" w:eastAsiaTheme="minorHAnsi" w:hAnsi="Arial TUR" w:cs="FrankRuehl"/>
      <w:spacing w:val="10"/>
      <w:sz w:val="22"/>
      <w:szCs w:val="28"/>
    </w:rPr>
  </w:style>
  <w:style w:type="character" w:styleId="FollowedHyperlink">
    <w:name w:val="FollowedHyperlink"/>
    <w:basedOn w:val="a0"/>
    <w:uiPriority w:val="99"/>
    <w:semiHidden/>
    <w:unhideWhenUsed/>
    <w:rsid w:val="00921EBA"/>
    <w:rPr>
      <w:color w:val="954F72" w:themeColor="followedHyperlink"/>
      <w:u w:val="single"/>
    </w:rPr>
  </w:style>
  <w:style w:type="character" w:customStyle="1" w:styleId="30">
    <w:name w:val="כותרת 3 תו"/>
    <w:basedOn w:val="a0"/>
    <w:link w:val="3"/>
    <w:uiPriority w:val="9"/>
    <w:rsid w:val="008067AC"/>
    <w:rPr>
      <w:rFonts w:ascii="Times New Roman" w:eastAsia="Times New Roman" w:hAnsi="Times New Roman" w:cs="Times New Roman"/>
      <w:b/>
      <w:bCs/>
      <w:sz w:val="27"/>
      <w:szCs w:val="27"/>
    </w:rPr>
  </w:style>
  <w:style w:type="character" w:customStyle="1" w:styleId="10">
    <w:name w:val="כותרת 1 תו"/>
    <w:basedOn w:val="a0"/>
    <w:link w:val="1"/>
    <w:uiPriority w:val="9"/>
    <w:rsid w:val="0055362A"/>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317816"/>
    <w:rPr>
      <w:rFonts w:asciiTheme="majorHAnsi" w:eastAsiaTheme="majorEastAsia" w:hAnsiTheme="majorHAnsi" w:cstheme="majorBidi"/>
      <w:color w:val="2E74B5" w:themeColor="accent1" w:themeShade="BF"/>
      <w:sz w:val="26"/>
      <w:szCs w:val="26"/>
    </w:rPr>
  </w:style>
  <w:style w:type="character" w:customStyle="1" w:styleId="folderitem">
    <w:name w:val="folderitem"/>
    <w:basedOn w:val="a0"/>
    <w:rsid w:val="00412AC4"/>
  </w:style>
  <w:style w:type="character" w:customStyle="1" w:styleId="gsct1">
    <w:name w:val="gs_ct1"/>
    <w:basedOn w:val="a0"/>
    <w:rsid w:val="00412AC4"/>
  </w:style>
  <w:style w:type="character" w:styleId="HTMLCite">
    <w:name w:val="HTML Cite"/>
    <w:basedOn w:val="a0"/>
    <w:uiPriority w:val="99"/>
    <w:semiHidden/>
    <w:unhideWhenUsed/>
    <w:rsid w:val="009E0728"/>
    <w:rPr>
      <w:i/>
      <w:iCs/>
    </w:rPr>
  </w:style>
  <w:style w:type="character" w:customStyle="1" w:styleId="nlmarticle-title">
    <w:name w:val="nlm_article-title"/>
    <w:basedOn w:val="a0"/>
    <w:rsid w:val="004D49F6"/>
  </w:style>
  <w:style w:type="character" w:customStyle="1" w:styleId="contribdegrees">
    <w:name w:val="contribdegrees"/>
    <w:basedOn w:val="a0"/>
    <w:rsid w:val="004D49F6"/>
  </w:style>
  <w:style w:type="character" w:customStyle="1" w:styleId="addmd">
    <w:name w:val="addmd"/>
    <w:basedOn w:val="a0"/>
    <w:rsid w:val="006E7D8E"/>
  </w:style>
  <w:style w:type="character" w:styleId="ae">
    <w:name w:val="Strong"/>
    <w:basedOn w:val="a0"/>
    <w:uiPriority w:val="22"/>
    <w:qFormat/>
    <w:rsid w:val="003B7D60"/>
    <w:rPr>
      <w:b/>
      <w:bCs/>
    </w:rPr>
  </w:style>
  <w:style w:type="character" w:customStyle="1" w:styleId="article-top-box-data-reporter-lbl-by">
    <w:name w:val="article-top-box-data-reporter-lbl-by"/>
    <w:basedOn w:val="a0"/>
    <w:rsid w:val="008E22B9"/>
  </w:style>
  <w:style w:type="character" w:customStyle="1" w:styleId="italic">
    <w:name w:val="italic"/>
    <w:basedOn w:val="a0"/>
    <w:rsid w:val="00CA3D49"/>
  </w:style>
  <w:style w:type="paragraph" w:styleId="af">
    <w:name w:val="List Paragraph"/>
    <w:basedOn w:val="a"/>
    <w:uiPriority w:val="34"/>
    <w:qFormat/>
    <w:rsid w:val="00B53BE5"/>
    <w:pPr>
      <w:ind w:left="720"/>
      <w:contextualSpacing/>
    </w:pPr>
    <w:rPr>
      <w:noProof/>
      <w:sz w:val="22"/>
      <w:lang w:eastAsia="he-IL"/>
    </w:rPr>
  </w:style>
  <w:style w:type="character" w:styleId="af0">
    <w:name w:val="Emphasis"/>
    <w:basedOn w:val="a0"/>
    <w:uiPriority w:val="20"/>
    <w:qFormat/>
    <w:rsid w:val="00E87D40"/>
    <w:rPr>
      <w:i/>
      <w:iCs/>
    </w:rPr>
  </w:style>
  <w:style w:type="character" w:customStyle="1" w:styleId="entryauthor">
    <w:name w:val="entryauthor"/>
    <w:basedOn w:val="a0"/>
    <w:rsid w:val="004B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037">
      <w:bodyDiv w:val="1"/>
      <w:marLeft w:val="0"/>
      <w:marRight w:val="0"/>
      <w:marTop w:val="0"/>
      <w:marBottom w:val="0"/>
      <w:divBdr>
        <w:top w:val="none" w:sz="0" w:space="0" w:color="auto"/>
        <w:left w:val="none" w:sz="0" w:space="0" w:color="auto"/>
        <w:bottom w:val="none" w:sz="0" w:space="0" w:color="auto"/>
        <w:right w:val="none" w:sz="0" w:space="0" w:color="auto"/>
      </w:divBdr>
    </w:div>
    <w:div w:id="59906729">
      <w:bodyDiv w:val="1"/>
      <w:marLeft w:val="0"/>
      <w:marRight w:val="0"/>
      <w:marTop w:val="0"/>
      <w:marBottom w:val="0"/>
      <w:divBdr>
        <w:top w:val="none" w:sz="0" w:space="0" w:color="auto"/>
        <w:left w:val="none" w:sz="0" w:space="0" w:color="auto"/>
        <w:bottom w:val="none" w:sz="0" w:space="0" w:color="auto"/>
        <w:right w:val="none" w:sz="0" w:space="0" w:color="auto"/>
      </w:divBdr>
    </w:div>
    <w:div w:id="92943165">
      <w:bodyDiv w:val="1"/>
      <w:marLeft w:val="0"/>
      <w:marRight w:val="0"/>
      <w:marTop w:val="0"/>
      <w:marBottom w:val="0"/>
      <w:divBdr>
        <w:top w:val="none" w:sz="0" w:space="0" w:color="auto"/>
        <w:left w:val="none" w:sz="0" w:space="0" w:color="auto"/>
        <w:bottom w:val="none" w:sz="0" w:space="0" w:color="auto"/>
        <w:right w:val="none" w:sz="0" w:space="0" w:color="auto"/>
      </w:divBdr>
    </w:div>
    <w:div w:id="204800380">
      <w:bodyDiv w:val="1"/>
      <w:marLeft w:val="0"/>
      <w:marRight w:val="0"/>
      <w:marTop w:val="0"/>
      <w:marBottom w:val="0"/>
      <w:divBdr>
        <w:top w:val="none" w:sz="0" w:space="0" w:color="auto"/>
        <w:left w:val="none" w:sz="0" w:space="0" w:color="auto"/>
        <w:bottom w:val="none" w:sz="0" w:space="0" w:color="auto"/>
        <w:right w:val="none" w:sz="0" w:space="0" w:color="auto"/>
      </w:divBdr>
    </w:div>
    <w:div w:id="330108138">
      <w:bodyDiv w:val="1"/>
      <w:marLeft w:val="0"/>
      <w:marRight w:val="0"/>
      <w:marTop w:val="0"/>
      <w:marBottom w:val="0"/>
      <w:divBdr>
        <w:top w:val="none" w:sz="0" w:space="0" w:color="auto"/>
        <w:left w:val="none" w:sz="0" w:space="0" w:color="auto"/>
        <w:bottom w:val="none" w:sz="0" w:space="0" w:color="auto"/>
        <w:right w:val="none" w:sz="0" w:space="0" w:color="auto"/>
      </w:divBdr>
    </w:div>
    <w:div w:id="387458540">
      <w:bodyDiv w:val="1"/>
      <w:marLeft w:val="0"/>
      <w:marRight w:val="0"/>
      <w:marTop w:val="0"/>
      <w:marBottom w:val="0"/>
      <w:divBdr>
        <w:top w:val="none" w:sz="0" w:space="0" w:color="auto"/>
        <w:left w:val="none" w:sz="0" w:space="0" w:color="auto"/>
        <w:bottom w:val="none" w:sz="0" w:space="0" w:color="auto"/>
        <w:right w:val="none" w:sz="0" w:space="0" w:color="auto"/>
      </w:divBdr>
    </w:div>
    <w:div w:id="444888447">
      <w:bodyDiv w:val="1"/>
      <w:marLeft w:val="0"/>
      <w:marRight w:val="0"/>
      <w:marTop w:val="0"/>
      <w:marBottom w:val="0"/>
      <w:divBdr>
        <w:top w:val="none" w:sz="0" w:space="0" w:color="auto"/>
        <w:left w:val="none" w:sz="0" w:space="0" w:color="auto"/>
        <w:bottom w:val="none" w:sz="0" w:space="0" w:color="auto"/>
        <w:right w:val="none" w:sz="0" w:space="0" w:color="auto"/>
      </w:divBdr>
      <w:divsChild>
        <w:div w:id="1186360949">
          <w:marLeft w:val="0"/>
          <w:marRight w:val="0"/>
          <w:marTop w:val="0"/>
          <w:marBottom w:val="0"/>
          <w:divBdr>
            <w:top w:val="none" w:sz="0" w:space="0" w:color="auto"/>
            <w:left w:val="none" w:sz="0" w:space="0" w:color="auto"/>
            <w:bottom w:val="none" w:sz="0" w:space="0" w:color="auto"/>
            <w:right w:val="none" w:sz="0" w:space="0" w:color="auto"/>
          </w:divBdr>
          <w:divsChild>
            <w:div w:id="897084839">
              <w:marLeft w:val="0"/>
              <w:marRight w:val="0"/>
              <w:marTop w:val="0"/>
              <w:marBottom w:val="0"/>
              <w:divBdr>
                <w:top w:val="none" w:sz="0" w:space="0" w:color="auto"/>
                <w:left w:val="none" w:sz="0" w:space="0" w:color="auto"/>
                <w:bottom w:val="none" w:sz="0" w:space="0" w:color="auto"/>
                <w:right w:val="none" w:sz="0" w:space="0" w:color="auto"/>
              </w:divBdr>
              <w:divsChild>
                <w:div w:id="158542679">
                  <w:marLeft w:val="0"/>
                  <w:marRight w:val="0"/>
                  <w:marTop w:val="0"/>
                  <w:marBottom w:val="0"/>
                  <w:divBdr>
                    <w:top w:val="none" w:sz="0" w:space="0" w:color="auto"/>
                    <w:left w:val="none" w:sz="0" w:space="0" w:color="auto"/>
                    <w:bottom w:val="none" w:sz="0" w:space="0" w:color="auto"/>
                    <w:right w:val="none" w:sz="0" w:space="0" w:color="auto"/>
                  </w:divBdr>
                  <w:divsChild>
                    <w:div w:id="787237997">
                      <w:marLeft w:val="0"/>
                      <w:marRight w:val="0"/>
                      <w:marTop w:val="0"/>
                      <w:marBottom w:val="0"/>
                      <w:divBdr>
                        <w:top w:val="none" w:sz="0" w:space="0" w:color="auto"/>
                        <w:left w:val="none" w:sz="0" w:space="0" w:color="auto"/>
                        <w:bottom w:val="none" w:sz="0" w:space="0" w:color="auto"/>
                        <w:right w:val="none" w:sz="0" w:space="0" w:color="auto"/>
                      </w:divBdr>
                      <w:divsChild>
                        <w:div w:id="1991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93664">
      <w:bodyDiv w:val="1"/>
      <w:marLeft w:val="0"/>
      <w:marRight w:val="0"/>
      <w:marTop w:val="0"/>
      <w:marBottom w:val="0"/>
      <w:divBdr>
        <w:top w:val="none" w:sz="0" w:space="0" w:color="auto"/>
        <w:left w:val="none" w:sz="0" w:space="0" w:color="auto"/>
        <w:bottom w:val="none" w:sz="0" w:space="0" w:color="auto"/>
        <w:right w:val="none" w:sz="0" w:space="0" w:color="auto"/>
      </w:divBdr>
    </w:div>
    <w:div w:id="573708076">
      <w:bodyDiv w:val="1"/>
      <w:marLeft w:val="0"/>
      <w:marRight w:val="0"/>
      <w:marTop w:val="0"/>
      <w:marBottom w:val="0"/>
      <w:divBdr>
        <w:top w:val="none" w:sz="0" w:space="0" w:color="auto"/>
        <w:left w:val="none" w:sz="0" w:space="0" w:color="auto"/>
        <w:bottom w:val="none" w:sz="0" w:space="0" w:color="auto"/>
        <w:right w:val="none" w:sz="0" w:space="0" w:color="auto"/>
      </w:divBdr>
      <w:divsChild>
        <w:div w:id="362481639">
          <w:marLeft w:val="0"/>
          <w:marRight w:val="0"/>
          <w:marTop w:val="0"/>
          <w:marBottom w:val="0"/>
          <w:divBdr>
            <w:top w:val="none" w:sz="0" w:space="0" w:color="auto"/>
            <w:left w:val="none" w:sz="0" w:space="0" w:color="auto"/>
            <w:bottom w:val="none" w:sz="0" w:space="0" w:color="auto"/>
            <w:right w:val="none" w:sz="0" w:space="0" w:color="auto"/>
          </w:divBdr>
        </w:div>
      </w:divsChild>
    </w:div>
    <w:div w:id="610749438">
      <w:bodyDiv w:val="1"/>
      <w:marLeft w:val="0"/>
      <w:marRight w:val="0"/>
      <w:marTop w:val="0"/>
      <w:marBottom w:val="0"/>
      <w:divBdr>
        <w:top w:val="none" w:sz="0" w:space="0" w:color="auto"/>
        <w:left w:val="none" w:sz="0" w:space="0" w:color="auto"/>
        <w:bottom w:val="none" w:sz="0" w:space="0" w:color="auto"/>
        <w:right w:val="none" w:sz="0" w:space="0" w:color="auto"/>
      </w:divBdr>
    </w:div>
    <w:div w:id="627781868">
      <w:bodyDiv w:val="1"/>
      <w:marLeft w:val="0"/>
      <w:marRight w:val="0"/>
      <w:marTop w:val="0"/>
      <w:marBottom w:val="0"/>
      <w:divBdr>
        <w:top w:val="none" w:sz="0" w:space="0" w:color="auto"/>
        <w:left w:val="none" w:sz="0" w:space="0" w:color="auto"/>
        <w:bottom w:val="none" w:sz="0" w:space="0" w:color="auto"/>
        <w:right w:val="none" w:sz="0" w:space="0" w:color="auto"/>
      </w:divBdr>
    </w:div>
    <w:div w:id="638143981">
      <w:bodyDiv w:val="1"/>
      <w:marLeft w:val="0"/>
      <w:marRight w:val="0"/>
      <w:marTop w:val="0"/>
      <w:marBottom w:val="0"/>
      <w:divBdr>
        <w:top w:val="none" w:sz="0" w:space="0" w:color="auto"/>
        <w:left w:val="none" w:sz="0" w:space="0" w:color="auto"/>
        <w:bottom w:val="none" w:sz="0" w:space="0" w:color="auto"/>
        <w:right w:val="none" w:sz="0" w:space="0" w:color="auto"/>
      </w:divBdr>
    </w:div>
    <w:div w:id="662855889">
      <w:bodyDiv w:val="1"/>
      <w:marLeft w:val="0"/>
      <w:marRight w:val="0"/>
      <w:marTop w:val="0"/>
      <w:marBottom w:val="0"/>
      <w:divBdr>
        <w:top w:val="none" w:sz="0" w:space="0" w:color="auto"/>
        <w:left w:val="none" w:sz="0" w:space="0" w:color="auto"/>
        <w:bottom w:val="none" w:sz="0" w:space="0" w:color="auto"/>
        <w:right w:val="none" w:sz="0" w:space="0" w:color="auto"/>
      </w:divBdr>
    </w:div>
    <w:div w:id="672999568">
      <w:bodyDiv w:val="1"/>
      <w:marLeft w:val="0"/>
      <w:marRight w:val="0"/>
      <w:marTop w:val="0"/>
      <w:marBottom w:val="0"/>
      <w:divBdr>
        <w:top w:val="none" w:sz="0" w:space="0" w:color="auto"/>
        <w:left w:val="none" w:sz="0" w:space="0" w:color="auto"/>
        <w:bottom w:val="none" w:sz="0" w:space="0" w:color="auto"/>
        <w:right w:val="none" w:sz="0" w:space="0" w:color="auto"/>
      </w:divBdr>
    </w:div>
    <w:div w:id="717507057">
      <w:bodyDiv w:val="1"/>
      <w:marLeft w:val="0"/>
      <w:marRight w:val="0"/>
      <w:marTop w:val="0"/>
      <w:marBottom w:val="0"/>
      <w:divBdr>
        <w:top w:val="none" w:sz="0" w:space="0" w:color="auto"/>
        <w:left w:val="none" w:sz="0" w:space="0" w:color="auto"/>
        <w:bottom w:val="none" w:sz="0" w:space="0" w:color="auto"/>
        <w:right w:val="none" w:sz="0" w:space="0" w:color="auto"/>
      </w:divBdr>
    </w:div>
    <w:div w:id="1070274618">
      <w:bodyDiv w:val="1"/>
      <w:marLeft w:val="0"/>
      <w:marRight w:val="0"/>
      <w:marTop w:val="0"/>
      <w:marBottom w:val="0"/>
      <w:divBdr>
        <w:top w:val="none" w:sz="0" w:space="0" w:color="auto"/>
        <w:left w:val="none" w:sz="0" w:space="0" w:color="auto"/>
        <w:bottom w:val="none" w:sz="0" w:space="0" w:color="auto"/>
        <w:right w:val="none" w:sz="0" w:space="0" w:color="auto"/>
      </w:divBdr>
    </w:div>
    <w:div w:id="1092899762">
      <w:bodyDiv w:val="1"/>
      <w:marLeft w:val="0"/>
      <w:marRight w:val="0"/>
      <w:marTop w:val="0"/>
      <w:marBottom w:val="0"/>
      <w:divBdr>
        <w:top w:val="none" w:sz="0" w:space="0" w:color="auto"/>
        <w:left w:val="none" w:sz="0" w:space="0" w:color="auto"/>
        <w:bottom w:val="none" w:sz="0" w:space="0" w:color="auto"/>
        <w:right w:val="none" w:sz="0" w:space="0" w:color="auto"/>
      </w:divBdr>
      <w:divsChild>
        <w:div w:id="474491756">
          <w:marLeft w:val="0"/>
          <w:marRight w:val="0"/>
          <w:marTop w:val="0"/>
          <w:marBottom w:val="0"/>
          <w:divBdr>
            <w:top w:val="none" w:sz="0" w:space="0" w:color="auto"/>
            <w:left w:val="none" w:sz="0" w:space="0" w:color="auto"/>
            <w:bottom w:val="none" w:sz="0" w:space="0" w:color="auto"/>
            <w:right w:val="none" w:sz="0" w:space="0" w:color="auto"/>
          </w:divBdr>
        </w:div>
        <w:div w:id="1061827688">
          <w:marLeft w:val="0"/>
          <w:marRight w:val="0"/>
          <w:marTop w:val="0"/>
          <w:marBottom w:val="0"/>
          <w:divBdr>
            <w:top w:val="none" w:sz="0" w:space="0" w:color="auto"/>
            <w:left w:val="none" w:sz="0" w:space="0" w:color="auto"/>
            <w:bottom w:val="none" w:sz="0" w:space="0" w:color="auto"/>
            <w:right w:val="none" w:sz="0" w:space="0" w:color="auto"/>
          </w:divBdr>
        </w:div>
        <w:div w:id="1982151018">
          <w:marLeft w:val="0"/>
          <w:marRight w:val="0"/>
          <w:marTop w:val="0"/>
          <w:marBottom w:val="0"/>
          <w:divBdr>
            <w:top w:val="none" w:sz="0" w:space="0" w:color="auto"/>
            <w:left w:val="none" w:sz="0" w:space="0" w:color="auto"/>
            <w:bottom w:val="none" w:sz="0" w:space="0" w:color="auto"/>
            <w:right w:val="none" w:sz="0" w:space="0" w:color="auto"/>
          </w:divBdr>
        </w:div>
      </w:divsChild>
    </w:div>
    <w:div w:id="1181772173">
      <w:bodyDiv w:val="1"/>
      <w:marLeft w:val="0"/>
      <w:marRight w:val="0"/>
      <w:marTop w:val="0"/>
      <w:marBottom w:val="0"/>
      <w:divBdr>
        <w:top w:val="none" w:sz="0" w:space="0" w:color="auto"/>
        <w:left w:val="none" w:sz="0" w:space="0" w:color="auto"/>
        <w:bottom w:val="none" w:sz="0" w:space="0" w:color="auto"/>
        <w:right w:val="none" w:sz="0" w:space="0" w:color="auto"/>
      </w:divBdr>
      <w:divsChild>
        <w:div w:id="110631409">
          <w:marLeft w:val="0"/>
          <w:marRight w:val="0"/>
          <w:marTop w:val="0"/>
          <w:marBottom w:val="0"/>
          <w:divBdr>
            <w:top w:val="none" w:sz="0" w:space="0" w:color="auto"/>
            <w:left w:val="none" w:sz="0" w:space="0" w:color="auto"/>
            <w:bottom w:val="none" w:sz="0" w:space="0" w:color="auto"/>
            <w:right w:val="none" w:sz="0" w:space="0" w:color="auto"/>
          </w:divBdr>
        </w:div>
      </w:divsChild>
    </w:div>
    <w:div w:id="1217014865">
      <w:bodyDiv w:val="1"/>
      <w:marLeft w:val="0"/>
      <w:marRight w:val="0"/>
      <w:marTop w:val="0"/>
      <w:marBottom w:val="0"/>
      <w:divBdr>
        <w:top w:val="none" w:sz="0" w:space="0" w:color="auto"/>
        <w:left w:val="none" w:sz="0" w:space="0" w:color="auto"/>
        <w:bottom w:val="none" w:sz="0" w:space="0" w:color="auto"/>
        <w:right w:val="none" w:sz="0" w:space="0" w:color="auto"/>
      </w:divBdr>
    </w:div>
    <w:div w:id="1329988888">
      <w:bodyDiv w:val="1"/>
      <w:marLeft w:val="0"/>
      <w:marRight w:val="0"/>
      <w:marTop w:val="0"/>
      <w:marBottom w:val="0"/>
      <w:divBdr>
        <w:top w:val="none" w:sz="0" w:space="0" w:color="auto"/>
        <w:left w:val="none" w:sz="0" w:space="0" w:color="auto"/>
        <w:bottom w:val="none" w:sz="0" w:space="0" w:color="auto"/>
        <w:right w:val="none" w:sz="0" w:space="0" w:color="auto"/>
      </w:divBdr>
    </w:div>
    <w:div w:id="1352874305">
      <w:bodyDiv w:val="1"/>
      <w:marLeft w:val="0"/>
      <w:marRight w:val="0"/>
      <w:marTop w:val="0"/>
      <w:marBottom w:val="0"/>
      <w:divBdr>
        <w:top w:val="none" w:sz="0" w:space="0" w:color="auto"/>
        <w:left w:val="none" w:sz="0" w:space="0" w:color="auto"/>
        <w:bottom w:val="none" w:sz="0" w:space="0" w:color="auto"/>
        <w:right w:val="none" w:sz="0" w:space="0" w:color="auto"/>
      </w:divBdr>
    </w:div>
    <w:div w:id="1414744946">
      <w:bodyDiv w:val="1"/>
      <w:marLeft w:val="0"/>
      <w:marRight w:val="0"/>
      <w:marTop w:val="0"/>
      <w:marBottom w:val="0"/>
      <w:divBdr>
        <w:top w:val="none" w:sz="0" w:space="0" w:color="auto"/>
        <w:left w:val="none" w:sz="0" w:space="0" w:color="auto"/>
        <w:bottom w:val="none" w:sz="0" w:space="0" w:color="auto"/>
        <w:right w:val="none" w:sz="0" w:space="0" w:color="auto"/>
      </w:divBdr>
    </w:div>
    <w:div w:id="1472595911">
      <w:bodyDiv w:val="1"/>
      <w:marLeft w:val="0"/>
      <w:marRight w:val="0"/>
      <w:marTop w:val="0"/>
      <w:marBottom w:val="0"/>
      <w:divBdr>
        <w:top w:val="none" w:sz="0" w:space="0" w:color="auto"/>
        <w:left w:val="none" w:sz="0" w:space="0" w:color="auto"/>
        <w:bottom w:val="none" w:sz="0" w:space="0" w:color="auto"/>
        <w:right w:val="none" w:sz="0" w:space="0" w:color="auto"/>
      </w:divBdr>
      <w:divsChild>
        <w:div w:id="220792693">
          <w:marLeft w:val="0"/>
          <w:marRight w:val="0"/>
          <w:marTop w:val="0"/>
          <w:marBottom w:val="300"/>
          <w:divBdr>
            <w:top w:val="none" w:sz="0" w:space="0" w:color="auto"/>
            <w:left w:val="none" w:sz="0" w:space="0" w:color="auto"/>
            <w:bottom w:val="none" w:sz="0" w:space="0" w:color="auto"/>
            <w:right w:val="none" w:sz="0" w:space="0" w:color="auto"/>
          </w:divBdr>
        </w:div>
        <w:div w:id="573668276">
          <w:marLeft w:val="0"/>
          <w:marRight w:val="0"/>
          <w:marTop w:val="0"/>
          <w:marBottom w:val="0"/>
          <w:divBdr>
            <w:top w:val="none" w:sz="0" w:space="0" w:color="auto"/>
            <w:left w:val="none" w:sz="0" w:space="0" w:color="auto"/>
            <w:bottom w:val="none" w:sz="0" w:space="0" w:color="auto"/>
            <w:right w:val="none" w:sz="0" w:space="0" w:color="auto"/>
          </w:divBdr>
        </w:div>
        <w:div w:id="735055136">
          <w:marLeft w:val="0"/>
          <w:marRight w:val="0"/>
          <w:marTop w:val="0"/>
          <w:marBottom w:val="300"/>
          <w:divBdr>
            <w:top w:val="none" w:sz="0" w:space="0" w:color="auto"/>
            <w:left w:val="none" w:sz="0" w:space="0" w:color="auto"/>
            <w:bottom w:val="none" w:sz="0" w:space="0" w:color="auto"/>
            <w:right w:val="none" w:sz="0" w:space="0" w:color="auto"/>
          </w:divBdr>
        </w:div>
      </w:divsChild>
    </w:div>
    <w:div w:id="1538932277">
      <w:bodyDiv w:val="1"/>
      <w:marLeft w:val="0"/>
      <w:marRight w:val="0"/>
      <w:marTop w:val="0"/>
      <w:marBottom w:val="0"/>
      <w:divBdr>
        <w:top w:val="none" w:sz="0" w:space="0" w:color="auto"/>
        <w:left w:val="none" w:sz="0" w:space="0" w:color="auto"/>
        <w:bottom w:val="none" w:sz="0" w:space="0" w:color="auto"/>
        <w:right w:val="none" w:sz="0" w:space="0" w:color="auto"/>
      </w:divBdr>
    </w:div>
    <w:div w:id="1550337848">
      <w:bodyDiv w:val="1"/>
      <w:marLeft w:val="0"/>
      <w:marRight w:val="0"/>
      <w:marTop w:val="0"/>
      <w:marBottom w:val="0"/>
      <w:divBdr>
        <w:top w:val="none" w:sz="0" w:space="0" w:color="auto"/>
        <w:left w:val="none" w:sz="0" w:space="0" w:color="auto"/>
        <w:bottom w:val="none" w:sz="0" w:space="0" w:color="auto"/>
        <w:right w:val="none" w:sz="0" w:space="0" w:color="auto"/>
      </w:divBdr>
    </w:div>
    <w:div w:id="1660427116">
      <w:bodyDiv w:val="1"/>
      <w:marLeft w:val="0"/>
      <w:marRight w:val="0"/>
      <w:marTop w:val="0"/>
      <w:marBottom w:val="0"/>
      <w:divBdr>
        <w:top w:val="none" w:sz="0" w:space="0" w:color="auto"/>
        <w:left w:val="none" w:sz="0" w:space="0" w:color="auto"/>
        <w:bottom w:val="none" w:sz="0" w:space="0" w:color="auto"/>
        <w:right w:val="none" w:sz="0" w:space="0" w:color="auto"/>
      </w:divBdr>
    </w:div>
    <w:div w:id="1687557860">
      <w:bodyDiv w:val="1"/>
      <w:marLeft w:val="0"/>
      <w:marRight w:val="0"/>
      <w:marTop w:val="0"/>
      <w:marBottom w:val="0"/>
      <w:divBdr>
        <w:top w:val="none" w:sz="0" w:space="0" w:color="auto"/>
        <w:left w:val="none" w:sz="0" w:space="0" w:color="auto"/>
        <w:bottom w:val="none" w:sz="0" w:space="0" w:color="auto"/>
        <w:right w:val="none" w:sz="0" w:space="0" w:color="auto"/>
      </w:divBdr>
    </w:div>
    <w:div w:id="1690521851">
      <w:bodyDiv w:val="1"/>
      <w:marLeft w:val="0"/>
      <w:marRight w:val="0"/>
      <w:marTop w:val="0"/>
      <w:marBottom w:val="0"/>
      <w:divBdr>
        <w:top w:val="none" w:sz="0" w:space="0" w:color="auto"/>
        <w:left w:val="none" w:sz="0" w:space="0" w:color="auto"/>
        <w:bottom w:val="none" w:sz="0" w:space="0" w:color="auto"/>
        <w:right w:val="none" w:sz="0" w:space="0" w:color="auto"/>
      </w:divBdr>
      <w:divsChild>
        <w:div w:id="1912278246">
          <w:marLeft w:val="0"/>
          <w:marRight w:val="0"/>
          <w:marTop w:val="0"/>
          <w:marBottom w:val="0"/>
          <w:divBdr>
            <w:top w:val="none" w:sz="0" w:space="0" w:color="auto"/>
            <w:left w:val="none" w:sz="0" w:space="0" w:color="auto"/>
            <w:bottom w:val="none" w:sz="0" w:space="0" w:color="auto"/>
            <w:right w:val="none" w:sz="0" w:space="0" w:color="auto"/>
          </w:divBdr>
          <w:divsChild>
            <w:div w:id="12897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3017">
      <w:bodyDiv w:val="1"/>
      <w:marLeft w:val="0"/>
      <w:marRight w:val="0"/>
      <w:marTop w:val="0"/>
      <w:marBottom w:val="0"/>
      <w:divBdr>
        <w:top w:val="none" w:sz="0" w:space="0" w:color="auto"/>
        <w:left w:val="none" w:sz="0" w:space="0" w:color="auto"/>
        <w:bottom w:val="none" w:sz="0" w:space="0" w:color="auto"/>
        <w:right w:val="none" w:sz="0" w:space="0" w:color="auto"/>
      </w:divBdr>
    </w:div>
    <w:div w:id="1821574845">
      <w:bodyDiv w:val="1"/>
      <w:marLeft w:val="0"/>
      <w:marRight w:val="0"/>
      <w:marTop w:val="0"/>
      <w:marBottom w:val="0"/>
      <w:divBdr>
        <w:top w:val="none" w:sz="0" w:space="0" w:color="auto"/>
        <w:left w:val="none" w:sz="0" w:space="0" w:color="auto"/>
        <w:bottom w:val="none" w:sz="0" w:space="0" w:color="auto"/>
        <w:right w:val="none" w:sz="0" w:space="0" w:color="auto"/>
      </w:divBdr>
    </w:div>
    <w:div w:id="1872105841">
      <w:bodyDiv w:val="1"/>
      <w:marLeft w:val="0"/>
      <w:marRight w:val="0"/>
      <w:marTop w:val="0"/>
      <w:marBottom w:val="0"/>
      <w:divBdr>
        <w:top w:val="none" w:sz="0" w:space="0" w:color="auto"/>
        <w:left w:val="none" w:sz="0" w:space="0" w:color="auto"/>
        <w:bottom w:val="none" w:sz="0" w:space="0" w:color="auto"/>
        <w:right w:val="none" w:sz="0" w:space="0" w:color="auto"/>
      </w:divBdr>
    </w:div>
    <w:div w:id="1905682664">
      <w:bodyDiv w:val="1"/>
      <w:marLeft w:val="0"/>
      <w:marRight w:val="0"/>
      <w:marTop w:val="0"/>
      <w:marBottom w:val="0"/>
      <w:divBdr>
        <w:top w:val="none" w:sz="0" w:space="0" w:color="auto"/>
        <w:left w:val="none" w:sz="0" w:space="0" w:color="auto"/>
        <w:bottom w:val="none" w:sz="0" w:space="0" w:color="auto"/>
        <w:right w:val="none" w:sz="0" w:space="0" w:color="auto"/>
      </w:divBdr>
    </w:div>
    <w:div w:id="1989088113">
      <w:bodyDiv w:val="1"/>
      <w:marLeft w:val="0"/>
      <w:marRight w:val="0"/>
      <w:marTop w:val="0"/>
      <w:marBottom w:val="0"/>
      <w:divBdr>
        <w:top w:val="none" w:sz="0" w:space="0" w:color="auto"/>
        <w:left w:val="none" w:sz="0" w:space="0" w:color="auto"/>
        <w:bottom w:val="none" w:sz="0" w:space="0" w:color="auto"/>
        <w:right w:val="none" w:sz="0" w:space="0" w:color="auto"/>
      </w:divBdr>
    </w:div>
    <w:div w:id="1990400339">
      <w:bodyDiv w:val="1"/>
      <w:marLeft w:val="0"/>
      <w:marRight w:val="0"/>
      <w:marTop w:val="0"/>
      <w:marBottom w:val="0"/>
      <w:divBdr>
        <w:top w:val="none" w:sz="0" w:space="0" w:color="auto"/>
        <w:left w:val="none" w:sz="0" w:space="0" w:color="auto"/>
        <w:bottom w:val="none" w:sz="0" w:space="0" w:color="auto"/>
        <w:right w:val="none" w:sz="0" w:space="0" w:color="auto"/>
      </w:divBdr>
    </w:div>
    <w:div w:id="20103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einonline-org.ezproxy.colman.ac.il/HOL/Page?handle=hein.journals/miaicr15&amp;div=14&amp;start_page=303&amp;collection=journals&amp;set_as_cursor=0&amp;men_tab=srchresults" TargetMode="External"/><Relationship Id="rId13" Type="http://schemas.openxmlformats.org/officeDocument/2006/relationships/hyperlink" Target="https://samba.huji.ac.il/+CSCO+1h75676763663A2F2F6A6A6A2E617269622E70622E7679++/books/%d7%9b%d7%aa%d7%91%d7%99%20%d7%a2%d7%aa/%d7%9b%d7%aa%d7%91%d7%99%20%d7%a2%d7%aa/theoretical%20inquiries%20in%20law/vol.%2010.2/til-10-2-653.pdf" TargetMode="External"/><Relationship Id="rId18" Type="http://schemas.openxmlformats.org/officeDocument/2006/relationships/hyperlink" Target="https://www.jpost.com/Diplomatic-Conference/The-fiercest-warrior-against-judicial-activism-515595" TargetMode="External"/><Relationship Id="rId26" Type="http://schemas.openxmlformats.org/officeDocument/2006/relationships/hyperlink" Target="http://www.sviva.gov.il/English/Legislation/Documents/Planning%20and%20Building%20Laws%20and%20Regulations/PlanningAndBuildingLaw1965-Excerpts.pdf" TargetMode="External"/><Relationship Id="rId3" Type="http://schemas.openxmlformats.org/officeDocument/2006/relationships/hyperlink" Target="https://heinonline.org/hol-cgi-bin/get_pdf.cgi?handle=hein.journals/cdozo39&amp;section=34" TargetMode="External"/><Relationship Id="rId21" Type="http://schemas.openxmlformats.org/officeDocument/2006/relationships/hyperlink" Target="https://www.ynetnews.com/articles/0,7340,L-5252771,00.html" TargetMode="External"/><Relationship Id="rId7" Type="http://schemas.openxmlformats.org/officeDocument/2006/relationships/hyperlink" Target="http://versa.cardozo.yu.edu/opinions/united-mizrahi-bank-v-migdal-cooperative-village" TargetMode="External"/><Relationship Id="rId12" Type="http://schemas.openxmlformats.org/officeDocument/2006/relationships/hyperlink" Target="https://www.tandfonline.com/author/Sened%2C+Itai" TargetMode="External"/><Relationship Id="rId17" Type="http://schemas.openxmlformats.org/officeDocument/2006/relationships/hyperlink" Target="https://www.timesofisrael.com/mks-push-ahead-with-bill-curbing-high-court-in-west-bank-land-disputes/" TargetMode="External"/><Relationship Id="rId25" Type="http://schemas.openxmlformats.org/officeDocument/2006/relationships/hyperlink" Target="http://versa.cardozo.yu.edu/opinions/state-israel-v-apropim" TargetMode="External"/><Relationship Id="rId2" Type="http://schemas.openxmlformats.org/officeDocument/2006/relationships/hyperlink" Target="http://versa.cardozo.yu.edu/opinions/karsik-v-state-israel" TargetMode="External"/><Relationship Id="rId16" Type="http://schemas.openxmlformats.org/officeDocument/2006/relationships/hyperlink" Target="javascript:__doLinkPostBack('','mdb~~aph%7C%7Cjdb~~aphjnh%7C%7Css~~JN%20%22Israel%20Affairs%22%7C%7Csl~~jh','');" TargetMode="External"/><Relationship Id="rId20" Type="http://schemas.openxmlformats.org/officeDocument/2006/relationships/hyperlink" Target="http://fs.knesset.gov.il//20/law/20_lst_491213.docx" TargetMode="External"/><Relationship Id="rId1" Type="http://schemas.openxmlformats.org/officeDocument/2006/relationships/hyperlink" Target="http://elyon1.court.gov.il/files_eng/96/900/023/g10/96023900.g10.htm" TargetMode="External"/><Relationship Id="rId6" Type="http://schemas.openxmlformats.org/officeDocument/2006/relationships/hyperlink" Target="http://elyon1.court.gov.il/files_eng/93/210/068/z01/93068210.z01.pdf" TargetMode="External"/><Relationship Id="rId11" Type="http://schemas.openxmlformats.org/officeDocument/2006/relationships/hyperlink" Target="https://www.tandfonline.com/author/Nachmias%2C+David" TargetMode="External"/><Relationship Id="rId24" Type="http://schemas.openxmlformats.org/officeDocument/2006/relationships/hyperlink" Target="https://www.haaretz.com/1.5006533" TargetMode="External"/><Relationship Id="rId5" Type="http://schemas.openxmlformats.org/officeDocument/2006/relationships/hyperlink" Target="http://knesset.gov.il/laws/special/eng/BasicLawLiberty.pdf" TargetMode="External"/><Relationship Id="rId15" Type="http://schemas.openxmlformats.org/officeDocument/2006/relationships/hyperlink" Target="javascript:__doLinkPostBack('','ss~~AR%20%22Dotan%2C%20Yoav%22%7C%7Csl~~rl','');" TargetMode="External"/><Relationship Id="rId23" Type="http://schemas.openxmlformats.org/officeDocument/2006/relationships/hyperlink" Target="https://www.haaretz.com/misc/writers/1.4968505" TargetMode="External"/><Relationship Id="rId28" Type="http://schemas.openxmlformats.org/officeDocument/2006/relationships/hyperlink" Target="http://versa.cardozo.yu.edu/opinions/local-building-v-holzman" TargetMode="External"/><Relationship Id="rId10" Type="http://schemas.openxmlformats.org/officeDocument/2006/relationships/hyperlink" Target="https://heinonline.org/hol-cgi-bin/get_pdf.cgi?handle=hein.journals/telavusl15&amp;section=11" TargetMode="External"/><Relationship Id="rId19" Type="http://schemas.openxmlformats.org/officeDocument/2006/relationships/hyperlink" Target="https://www.jpost.com/Israel-News/Politics-And-Diplomacy/Left-calls-Right-wing-criticism-of-High-Court-criminal-410485" TargetMode="External"/><Relationship Id="rId4" Type="http://schemas.openxmlformats.org/officeDocument/2006/relationships/hyperlink" Target="http://www.kluwerlawonline.com/abstract.php?area=Journals&amp;id=EURO2016008" TargetMode="External"/><Relationship Id="rId9" Type="http://schemas.openxmlformats.org/officeDocument/2006/relationships/hyperlink" Target="http://www.tau.ac.il/law/barakerez/artmarch2010/38.pdf" TargetMode="External"/><Relationship Id="rId14" Type="http://schemas.openxmlformats.org/officeDocument/2006/relationships/hyperlink" Target="https://www.tandfonline.com/doi/pdf/10.1080/13537120208719628" TargetMode="External"/><Relationship Id="rId22" Type="http://schemas.openxmlformats.org/officeDocument/2006/relationships/hyperlink" Target="https://www.jpost.com/Israel-News/Top-Likud-minister-Well-even-go-to-election-to-limit-Supreme-Court-549850" TargetMode="External"/><Relationship Id="rId27" Type="http://schemas.openxmlformats.org/officeDocument/2006/relationships/hyperlink" Target="http://elyon1.court.gov.il/files_eng/97/460/055/l06/97055460.l06.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4574C-F999-4611-91BE-229F346B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6348</Words>
  <Characters>30157</Characters>
  <Application>Microsoft Office Word</Application>
  <DocSecurity>0</DocSecurity>
  <Lines>450</Lines>
  <Paragraphs>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51</cp:revision>
  <dcterms:created xsi:type="dcterms:W3CDTF">2018-07-05T15:48:00Z</dcterms:created>
  <dcterms:modified xsi:type="dcterms:W3CDTF">2018-07-08T08:28:00Z</dcterms:modified>
</cp:coreProperties>
</file>